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SMLOUVA O DÍLO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uzavřená dle ustanovení § 2586 a násl. zákona č. 89/2012 Sb., občanský zákoník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mezi smluvními stranami:</w:t>
      </w:r>
    </w:p>
    <w:p>
      <w:pPr>
        <w:pStyle w:val="LO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1"/>
        <w:tblW w:w="975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2"/>
        <w:gridCol w:w="7487"/>
      </w:tblGrid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Objednatel: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Základní </w:t>
            </w:r>
            <w:r>
              <w:rPr>
                <w:b/>
                <w:color w:val="000000"/>
                <w:sz w:val="22"/>
                <w:szCs w:val="22"/>
              </w:rPr>
              <w:t>š</w:t>
            </w:r>
            <w:r>
              <w:rPr>
                <w:b/>
                <w:sz w:val="22"/>
                <w:szCs w:val="22"/>
              </w:rPr>
              <w:t>kola Šumperk, 8. května 63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8.května 63, 787 01 Šumperk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věcech smluvních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Pavel Křivohlávek, ředitel školy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00852317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sz w:val="22"/>
                <w:szCs w:val="22"/>
              </w:rPr>
              <w:t>xxxxxxxxxxxxxx</w:t>
            </w:r>
          </w:p>
        </w:tc>
      </w:tr>
      <w:tr>
        <w:trPr/>
        <w:tc>
          <w:tcPr>
            <w:tcW w:w="2262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účtu: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</w:rPr>
              <w:t>xxxxxxxxxxxxxx</w:t>
            </w: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LOnormal"/>
        <w:ind w:left="0" w:right="0"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 dalším textu smlouvy uváděna rovněž jako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„objednatel“</w:t>
      </w:r>
    </w:p>
    <w:p>
      <w:pPr>
        <w:pStyle w:val="LO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</w:t>
      </w:r>
    </w:p>
    <w:p>
      <w:pPr>
        <w:pStyle w:val="LO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2"/>
        <w:tblW w:w="975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4"/>
        <w:gridCol w:w="7485"/>
      </w:tblGrid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Zhotovitel: 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highlight w:val="white"/>
              </w:rPr>
              <w:t>Rostislav Pražák</w:t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Sídlo: 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xxxxxxxxxxxxxx</w:t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IČO: 73041408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73041408</w:t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DIČ: CZ7311095759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CZ7311095759</w:t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Bankovní spojení: 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xxxxxxxxxxxx</w:t>
            </w:r>
          </w:p>
        </w:tc>
      </w:tr>
      <w:tr>
        <w:trPr/>
        <w:tc>
          <w:tcPr>
            <w:tcW w:w="2264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Číslo účtu: 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LOnormal"/>
              <w:widowControl w:val="false"/>
              <w:spacing w:lineRule="auto" w:line="240" w:before="40" w:after="0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xxxxxxxxxxxx</w:t>
            </w:r>
          </w:p>
        </w:tc>
      </w:tr>
    </w:tbl>
    <w:p>
      <w:pPr>
        <w:pStyle w:val="LOnormal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ab/>
        <w:tab/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 dalším textu smlouvy uváděna rovněž jako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„zhotovitel“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společně s objednatelem dále jen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„smluvní strany“</w:t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I. Předmět díla</w:t>
      </w:r>
    </w:p>
    <w:p>
      <w:pPr>
        <w:pStyle w:val="LOnormal"/>
        <w:numPr>
          <w:ilvl w:val="0"/>
          <w:numId w:val="12"/>
        </w:numPr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Smluvní strany se dohodly na uzavření této smlouvy o dílo (dále označována jen jako „smlouva“), na základě které se zhotovitel zavazuje provést výrobu a montáž nábytku ve specifikovaných místnostech   v budově Základní školy Šumperk, 8.května 63, 787 01 Šumperk, které jsou uvedeny v obsahu prací v článku 2 této smlouvy.</w:t>
      </w:r>
    </w:p>
    <w:p>
      <w:pPr>
        <w:pStyle w:val="LOnormal"/>
        <w:spacing w:lineRule="auto" w:line="240" w:before="60" w:after="0"/>
        <w:ind w:left="363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Obsah prací: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LOnormal"/>
        <w:numPr>
          <w:ilvl w:val="0"/>
          <w:numId w:val="11"/>
        </w:numPr>
        <w:spacing w:lineRule="auto" w:line="240" w:before="60" w:afterAutospacing="0" w:after="0"/>
        <w:ind w:left="720" w:hanging="360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>4 ks skříní dvoukřídlých s nástavcem v prostorách tělocvičny o velikosti 725 x 960 x 620 mm</w:t>
      </w:r>
    </w:p>
    <w:p>
      <w:pPr>
        <w:pStyle w:val="LOnormal"/>
        <w:numPr>
          <w:ilvl w:val="0"/>
          <w:numId w:val="11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b/>
          <w:b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1 ks skříně dvoukřídlé s nástavcem v prostorách třídy o velikosti 2540 x 1220 x 470 mm</w:t>
      </w:r>
    </w:p>
    <w:p>
      <w:pPr>
        <w:pStyle w:val="LOnormal"/>
        <w:numPr>
          <w:ilvl w:val="0"/>
          <w:numId w:val="11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b/>
          <w:b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1 ks kancelářský stůl v prostorách kabinetu dějepisu o velikosti 1630 x 730 x 760 mm</w:t>
      </w:r>
    </w:p>
    <w:p>
      <w:pPr>
        <w:pStyle w:val="LOnormal"/>
        <w:numPr>
          <w:ilvl w:val="0"/>
          <w:numId w:val="11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b/>
          <w:b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1 ks kontejner se šuplíky v prostorách kabinetu dějepisu o velikosti 730 x 550 x 590 mm</w:t>
      </w:r>
    </w:p>
    <w:p>
      <w:pPr>
        <w:pStyle w:val="LOnormal"/>
        <w:numPr>
          <w:ilvl w:val="0"/>
          <w:numId w:val="11"/>
        </w:numPr>
        <w:spacing w:lineRule="auto" w:line="240" w:beforeAutospacing="0" w:before="0" w:after="0"/>
        <w:ind w:left="720" w:hanging="360"/>
        <w:rPr>
          <w:rFonts w:ascii="Times New Roman" w:hAnsi="Times New Roman" w:eastAsia="Times New Roman" w:cs="Times New Roman"/>
          <w:b/>
          <w:b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1 ks skříňky policové v prostorách kabinetu dějepisu o velikosti 1670 x 750 x 340 mm</w:t>
      </w:r>
    </w:p>
    <w:p>
      <w:pPr>
        <w:pStyle w:val="LOnormal"/>
        <w:spacing w:lineRule="auto" w:line="240" w:before="60" w:after="0"/>
        <w:ind w:left="720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numPr>
          <w:ilvl w:val="0"/>
          <w:numId w:val="12"/>
        </w:numPr>
        <w:spacing w:lineRule="auto" w:line="240" w:before="12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Dále je dílo specifikováno položkovým soupisem a podmínkami realizace zakázky, které zhotovitel převzal před uzavřením této smlouvy od objednatele v jednom vyhotovení (cenová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z w:val="22"/>
          <w:szCs w:val="22"/>
        </w:rPr>
        <w:t>abídka).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Zástupce objednatele je povinen umožnit zhotoviteli přístup k jednotlivým prostorám, ve kterých bude prováděna montáž nábytku.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Objednatel je povinen jednotlivé prostory připravit k montáži nábytku vystěhováním nábytku stávajícího a odpojení výpočetní techniky.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Zástupce objednatele v každém jednotlivém prostoru seznámí zhotovitele s požadavkem na barevné odstíny a vzory jednotlivých skříní a stolu. 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prohlašuje, že si veškeré podklady pro provedení díla výše uvedené řádně prostudoval ještě před uzavřením této smlouvy, a že tyto podklady dostatečně specifikují předmět díla tak, že je zhotovitel schopen podle shora uvedených podkladů realizovat dílo. Jestliže se i přes toto prohlášení zhotovitele v průběhu provádění díla ukáže, že podklady specifikující předmět díla jsou nedostatečné nebo nevhodné, zavazuje se zhotovitel na takové vady podkladů specifikujících předmět díla upozornit bezodkladně objednatele. 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se zavazuje k veškerým dodávkám a plněním, nezbytným k provedení technicky bezvadného díla na základě podkladů při dodržení požadavků na provedení a kvalitu definovaných příslušnými závaznými technickými normami a předpisy. </w:t>
      </w:r>
    </w:p>
    <w:p>
      <w:pPr>
        <w:pStyle w:val="LOnormal"/>
        <w:numPr>
          <w:ilvl w:val="0"/>
          <w:numId w:val="1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Objednatel je oprávněn kdykoli po uzavření této smlouvy jednostranným pokynem zúžit rozsah díla dle této smlouvy a zhotovitel se zavazuje se takovým pokynem objednatele řídit. V tomto případě se cena díla snižuje o částku odpovídající části díla, která nebude na základě pokynu objednatele realizována. Pro stanovení snížení ceny díla se použije oceněný položkový soupis, který tvoří přílohu této smlouvy.</w:t>
      </w:r>
    </w:p>
    <w:p>
      <w:pPr>
        <w:pStyle w:val="LOnormal"/>
        <w:spacing w:lineRule="auto" w:line="240" w:before="60" w:after="0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</w:r>
    </w:p>
    <w:p>
      <w:pPr>
        <w:pStyle w:val="LOnormal"/>
        <w:spacing w:lineRule="auto" w:line="240" w:before="60" w:after="0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</w:r>
    </w:p>
    <w:p>
      <w:pPr>
        <w:pStyle w:val="LOnormal"/>
        <w:spacing w:lineRule="auto" w:line="240" w:before="6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II. Místo plnění zhotovitele</w:t>
      </w:r>
    </w:p>
    <w:p>
      <w:pPr>
        <w:pStyle w:val="Nadpis1"/>
        <w:ind w:left="284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Místem realizace díla je budova Základní školy 8.května 63, 787 01 Šumperk</w:t>
      </w:r>
    </w:p>
    <w:tbl>
      <w:tblPr>
        <w:tblStyle w:val="Table3"/>
        <w:tblW w:w="9333" w:type="dxa"/>
        <w:jc w:val="left"/>
        <w:tblInd w:w="35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3"/>
      </w:tblGrid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left" w:pos="1628" w:leader="none"/>
              </w:tabs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highlight w:val="white"/>
              </w:rPr>
              <w:t>Prostory základní školy:</w:t>
            </w:r>
          </w:p>
        </w:tc>
      </w:tr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left" w:pos="1628" w:leader="none"/>
              </w:tabs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Místnost č. 320 –  oprava vestavěné dvoukřídlé skříně s nástavcem</w:t>
            </w:r>
          </w:p>
        </w:tc>
      </w:tr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left" w:pos="1800" w:leader="none"/>
                <w:tab w:val="left" w:pos="2412" w:leader="none"/>
                <w:tab w:val="left" w:pos="3564" w:leader="none"/>
                <w:tab w:val="left" w:pos="4716" w:leader="none"/>
                <w:tab w:val="left" w:pos="7938" w:leader="none"/>
                <w:tab w:val="left" w:pos="8172" w:leader="none"/>
                <w:tab w:val="left" w:pos="9324" w:leader="none"/>
                <w:tab w:val="left" w:pos="10476" w:leader="none"/>
              </w:tabs>
              <w:spacing w:lineRule="auto" w:line="240" w:before="20" w:after="0"/>
              <w:ind w:left="0" w:right="142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 xml:space="preserve">Místnost č. 307 – kancelářský stůl, kontejner se šuplíky, policová skříňka  </w:t>
            </w:r>
          </w:p>
        </w:tc>
      </w:tr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left" w:pos="1628" w:leader="none"/>
              </w:tabs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Tělocvična – skříň na nářadí dvoukřídlá s nástavcem  4ks</w:t>
            </w:r>
          </w:p>
        </w:tc>
      </w:tr>
    </w:tbl>
    <w:p>
      <w:pPr>
        <w:pStyle w:val="Nadpis2"/>
        <w:spacing w:lineRule="auto" w:line="240" w:before="240" w:after="0"/>
        <w:ind w:left="1437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white"/>
        </w:rPr>
      </w:r>
    </w:p>
    <w:p>
      <w:pPr>
        <w:pStyle w:val="LOnormal"/>
        <w:spacing w:lineRule="auto" w:line="240" w:before="6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III. Doba provedení díla zhotovitelem</w:t>
      </w:r>
    </w:p>
    <w:p>
      <w:pPr>
        <w:pStyle w:val="LOnormal"/>
        <w:numPr>
          <w:ilvl w:val="0"/>
          <w:numId w:val="1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Z</w:t>
      </w:r>
      <w:bookmarkStart w:id="0" w:name="gjdgxs"/>
      <w:bookmarkEnd w:id="0"/>
      <w:r>
        <w:rPr>
          <w:rFonts w:eastAsia="Times New Roman" w:cs="Times New Roman" w:ascii="Times New Roman" w:hAnsi="Times New Roman"/>
          <w:b w:val="false"/>
          <w:sz w:val="22"/>
          <w:szCs w:val="22"/>
        </w:rPr>
        <w:t>hotovitel je povinen zahájit práce na díle až na základě výzvy objednatele k zahájení prací. Zhotovitel se zavazuje zahájit práce do 5 dnů ode dne výzvy. V případě, že zhotovitel nezahájí práce v určeném termínu, považuje se za zahájení prací den následující po uplynutí 5. dne od výzvy.</w:t>
      </w:r>
    </w:p>
    <w:p>
      <w:pPr>
        <w:pStyle w:val="Nadpis1"/>
        <w:keepNext w:val="false"/>
        <w:numPr>
          <w:ilvl w:val="0"/>
          <w:numId w:val="1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provést celkové dílo uvedené v čl. 1 a ve všech prostorách uvedených v článku 2  této smlouvy, tj. dokončené dílo bez jakýchkoli vad a nedodělků.</w:t>
      </w:r>
    </w:p>
    <w:p>
      <w:pPr>
        <w:pStyle w:val="Nadpis1"/>
        <w:keepNext w:val="false"/>
        <w:numPr>
          <w:ilvl w:val="0"/>
          <w:numId w:val="1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Montáž nábytku ve specifikovaných prostorách bude prováděna postupně dle dohody se zástupcem objednatele. Práce budou prováděny maximálně ve 1 kancelářích/prostorách najednou.</w:t>
      </w:r>
    </w:p>
    <w:p>
      <w:pPr>
        <w:pStyle w:val="Nadpis1"/>
        <w:keepNext w:val="false"/>
        <w:numPr>
          <w:ilvl w:val="0"/>
          <w:numId w:val="1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splní svou povinnost provést dílo či dílčí plnění jeho řádným dokončením v rozsahu dle této smlouvy a předáním díla či dílčího plnění objednateli.</w:t>
      </w:r>
    </w:p>
    <w:p>
      <w:pPr>
        <w:pStyle w:val="Nadpis1"/>
        <w:keepNext w:val="false"/>
        <w:numPr>
          <w:ilvl w:val="0"/>
          <w:numId w:val="1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Stolařské práce budou prováděny za provozu, s minimálními nároky na zábory </w:t>
        <w:br/>
        <w:t>a uzavření prostorů.</w:t>
      </w:r>
    </w:p>
    <w:p>
      <w:pPr>
        <w:pStyle w:val="Nadpis1"/>
        <w:keepNext w:val="false"/>
        <w:numPr>
          <w:ilvl w:val="0"/>
          <w:numId w:val="1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dílo popř. dílčí plnění převezme pouze v případě, že na něm nebudou v době převzetí zjevné vady a nedodělky či jiné nedostatky bránící řádnému a bezpečnému užívání díla. Případné drobné vady a nedodělky nebrání převzetí díla a budou uvedeny v předávacím protokolu s dohodnutými termíny jejich odstranění. </w:t>
      </w:r>
    </w:p>
    <w:p>
      <w:pPr>
        <w:pStyle w:val="LOnormal"/>
        <w:numPr>
          <w:ilvl w:val="0"/>
          <w:numId w:val="1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Objednatel je povinen převzít od zhotovitele řádně dokončené dílo i před termínem dokončení, který je sjednán v čl. III odst. 2. této smlouvy.</w:t>
      </w:r>
    </w:p>
    <w:p>
      <w:pPr>
        <w:pStyle w:val="LOnormal"/>
        <w:spacing w:lineRule="auto" w:line="240" w:before="60" w:after="0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</w:r>
    </w:p>
    <w:p>
      <w:pPr>
        <w:pStyle w:val="LOnormal"/>
        <w:spacing w:lineRule="auto" w:line="240" w:before="6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IV. Cena za dílo</w:t>
      </w:r>
    </w:p>
    <w:p>
      <w:pPr>
        <w:pStyle w:val="LOnormal"/>
        <w:numPr>
          <w:ilvl w:val="0"/>
          <w:numId w:val="2"/>
        </w:numPr>
        <w:spacing w:lineRule="auto" w:line="240" w:before="6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Cena za provedení díla dle této smlouvy byla stanovena dohodou obou smluvních stran v celkové výši:</w:t>
      </w:r>
    </w:p>
    <w:p>
      <w:pPr>
        <w:pStyle w:val="LOnormal"/>
        <w:spacing w:lineRule="auto" w:line="240" w:before="60" w:after="0"/>
        <w:ind w:left="363" w:hanging="0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</w:r>
    </w:p>
    <w:tbl>
      <w:tblPr>
        <w:tblStyle w:val="Table4"/>
        <w:tblW w:w="8329" w:type="dxa"/>
        <w:jc w:val="left"/>
        <w:tblInd w:w="85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8"/>
        <w:gridCol w:w="4510"/>
      </w:tblGrid>
      <w:tr>
        <w:trPr>
          <w:trHeight w:val="390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148 38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6,- ..................................................</w:t>
            </w:r>
          </w:p>
        </w:tc>
        <w:tc>
          <w:tcPr>
            <w:tcW w:w="4510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bez DPH</w:t>
            </w:r>
          </w:p>
        </w:tc>
      </w:tr>
      <w:tr>
        <w:trPr>
          <w:trHeight w:val="405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31 161,06- ………………………………</w:t>
            </w:r>
          </w:p>
        </w:tc>
        <w:tc>
          <w:tcPr>
            <w:tcW w:w="4510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DPH 21% </w:t>
            </w:r>
          </w:p>
        </w:tc>
      </w:tr>
      <w:tr>
        <w:trPr/>
        <w:tc>
          <w:tcPr>
            <w:tcW w:w="3818" w:type="dxa"/>
            <w:tcBorders/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179 548, -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…………………………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…….</w:t>
            </w:r>
          </w:p>
        </w:tc>
        <w:tc>
          <w:tcPr>
            <w:tcW w:w="4510" w:type="dxa"/>
            <w:tcBorders/>
            <w:shd w:fill="auto" w:val="clear"/>
            <w:vAlign w:val="bottom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včetně DPH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284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(slovy: Sto čtyřicet osm tisíc tři sta osmdesát šest  korun českých bez DPH).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 ceně díla je zhotovitel oprávněn účtovat daň z přidané hodnoty v souladu s příslušnými právními předpisy.</w:t>
      </w:r>
    </w:p>
    <w:p>
      <w:pPr>
        <w:pStyle w:val="Nadpis1"/>
        <w:keepNext w:val="false"/>
        <w:numPr>
          <w:ilvl w:val="0"/>
          <w:numId w:val="3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ručí za kompletní provedení díla za cenu stanovenou dle čl. IV. odst. 1 této smlouvy. Cena za dílo kryje veškeré náklady, které jsou potřebné pro řádné dokončení díla dle této smlouvy a je tedy cenou pevnou a maximálně přípustnou, kterou je možné měnit jen postupy výslovně předvídanými v této smlouvě. </w:t>
      </w:r>
    </w:p>
    <w:p>
      <w:pPr>
        <w:pStyle w:val="Nadpis1"/>
        <w:keepNext w:val="false"/>
        <w:numPr>
          <w:ilvl w:val="0"/>
          <w:numId w:val="3"/>
        </w:numPr>
        <w:ind w:left="363" w:hanging="363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Cena za dílo musí obsahovat veškeré náklady (dodávky, práce a činnosti potřebné pro řádné splnění veřejné zakázky) uchazeče včetně nákladů na dopravu a administraci.</w:t>
      </w:r>
    </w:p>
    <w:p>
      <w:pPr>
        <w:pStyle w:val="Nadpis1"/>
        <w:keepNext w:val="false"/>
        <w:numPr>
          <w:ilvl w:val="0"/>
          <w:numId w:val="3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Pokud některé z oceněných položek položkového soupisu nebudou realizovány v plném rozsahu, bude ze strany zhotovitele vyčíslena a fakturována skutečná výše nákladů těchto položek.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Cena za dílo je platná po celou dobu realizace díla.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V. Platební podmínky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Smluvní strany se dohodly, že zhotovitel vystaví fakturu na zaplacení celého díla po jeho ukončení a předáním díla objednateli.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se zavazuje provést úhradu faktury za provedené dílo nejpozději však do 14 dní po jejím obdržení, a to na účet zhotovitele uvedený v záhlaví smlouvy.</w:t>
      </w:r>
    </w:p>
    <w:p>
      <w:pPr>
        <w:pStyle w:val="Nadpis1"/>
        <w:numPr>
          <w:ilvl w:val="0"/>
          <w:numId w:val="5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Podmínkou úhrady celkové částky za dílo objednatelem zhotoviteli je věcná správnost všech údajů uvedených na daňových dokladech a účetní úplnost vyžadovaná zákonem o účetnictví.</w:t>
      </w:r>
    </w:p>
    <w:p>
      <w:pPr>
        <w:pStyle w:val="Nadpis1"/>
        <w:numPr>
          <w:ilvl w:val="0"/>
          <w:numId w:val="5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Objednatel nebude poskytovat zhotoviteli jakékoliv zálohy.</w:t>
      </w:r>
    </w:p>
    <w:p>
      <w:pPr>
        <w:pStyle w:val="Nadpis1"/>
        <w:numPr>
          <w:ilvl w:val="0"/>
          <w:numId w:val="5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Veškeré daňové doklady/faktury vystavené zhotovitelem musí mj. obsahovat systémové číslo.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 případě, že faktury budou obsahovat neúplné nebo nesprávné údaje a náležitosti, je objednatel neprodleně po takovém zjištění povinen vrátit příslušnou fakturu zhotoviteli k přepracování s tím, že lhůta splatnosti běží až ode dne doručení přepracované faktury.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VI. Podmínky provádění díla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je povinen provádět dílo odborně a v souladu se svými povinnostmi vyplývajících z této smlouvy a obecně platných právních předpisů.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6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si na svůj náklad zajistí pomocné konstrukce, které jsou nezbytné pro plné provedení díla.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se zavazuje přiměřeným a nebo dohodnutým způsobem při výstavbě díla spolupůsobit </w:t>
        <w:br/>
        <w:t xml:space="preserve">a napomáhat. 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zachovávat čistotu a pořádek, neprodleně odstraňovat na svůj náklad odpady </w:t>
        <w:br/>
        <w:t xml:space="preserve">a nečistoty vzniklé v souvislosti s prováděním díla, neznečišťovat veřejné prostory a v případě jejich znečištění je uklízet. Zhotovitel je zároveň povinen zajistit dodržování bezpečnostních, požárních, ekologických event. dalších předpisů platných v ČR v době provádění prací. 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likvidovat odpady související s prováděním díla v souladu se zákonem </w:t>
        <w:br/>
        <w:t>č. 185/2001 Sb., v platném znění, a v souladu s předpisy souvisejícími.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je oprávněn prostřednictvím svých jmenovaných pracovníků provádět průběžnou kontrolu díla. Uvedení pracovníci jsou oprávněni dát příkaz k přerušení prací, nejsou-li odpovědní pracovníci zhotovitele dosažitelní a je-li zároveň ohrožena bezpečnost prováděného díla, životy nebo zdraví pracovníků, nebo hrozí-li vznik rozsáhlé škody a ohrožení osob v souvislosti s prováděním prací. 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při realizaci díla použít jen výrobky a materiály, které mají takové vlastnosti, aby po celou dobu byla zaručena jejich mechanická pevnost, stabilita, požární bezpečnost a hygienické požadavky a další vlastnosti obvyklé u příslušného druhu výrobků a materiálů. </w:t>
      </w:r>
    </w:p>
    <w:p>
      <w:pPr>
        <w:pStyle w:val="Nadpis1"/>
        <w:keepNext w:val="false"/>
        <w:numPr>
          <w:ilvl w:val="0"/>
          <w:numId w:val="7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odpovídá objednateli a třetím osobám za škody vzniklé porušením jakýchkoliv svých povinností.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prohlašuje a zaručuje se, že všichni jeho zaměstnanci, kteří se budou podílet na provádění díla v prostorách objednatele, byli řádně proškoleni a seznámeni se zásadami dodržování PO, BOZP a že budou zachovávat veškeré bezpečnostní standardy.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VII. Předání a převzetí díla</w:t>
      </w:r>
    </w:p>
    <w:p>
      <w:pPr>
        <w:pStyle w:val="Nadpis1"/>
        <w:numPr>
          <w:ilvl w:val="0"/>
          <w:numId w:val="4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předá dokončené a úplné dílo objednateli ke kontrole. 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případě, že objednatel odmítne dílo převzít, musí písemně nejpozději do 5 dnů ode dne, kdy odmítl dílo převzít, sdělit zhotoviteli důvody, pro které dílo nepřevzal.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VIII. Vady díly a záruky za předmět plnění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odpovídá za to, že dílo v době předání má a po stanovenou dobu bude mít vlastnosti stanovené obecně závaznými předpisy, technickými normami a touto smlouvou, případně vlastnosti obvyklé.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poskytne objednateli na dokončené dílo záruční lhůtu v délce trvání 24 měsíců ode dne předání a převzetí díla.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odpovídá za to, že dílo bude zcela kompletní a bez právních vad. 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Reklamace vad musí být provedena písemně.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odstranit jím uznané reklamované vady ve lhůtě pěti (5) kalendářních dnů od doručení reklamace objednatele.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zavázán odstraňovat vady díla, které se projeví v záruční lhůtě na své náklady.</w:t>
      </w:r>
    </w:p>
    <w:p>
      <w:pPr>
        <w:pStyle w:val="Nadpis1"/>
        <w:keepNext w:val="false"/>
        <w:numPr>
          <w:ilvl w:val="0"/>
          <w:numId w:val="6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povinen v případě prodlení s vyřízením reklamace zaplatit objednateli smluvní pokutu ve výši 1 000,- Kč, a to za každý případ a za každý kalendářní den prodlení. Sjednanou smluvní pokutu je povinen zaplatit do čtrnácti (14) kalendářních dnů ode dne jejího uplatnění.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Reklamace jsou ze strany objednatele řešeny zástupcem objednatele, který je uveden v čl. 10 odst. 2.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IX. Smluvní pokuty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případě, že zhotovitel nesplní svůj závazek provést dílo dle článku 3. odst. 2 této smlouvy, uhradí zhotovitel objednateli smluvní pokutu ve výši 0,5 % z celkové ceny díla (bez DPH) za každý den prodlení se splněním tohoto závazku. Vyúčtovaná smluvní pokuta může být uhrazena formou započtení oproti vyúčtované ceně díla. </w:t>
      </w:r>
    </w:p>
    <w:p>
      <w:pPr>
        <w:pStyle w:val="Nadpis1"/>
        <w:keepNext w:val="false"/>
        <w:numPr>
          <w:ilvl w:val="0"/>
          <w:numId w:val="8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 případě prodlení zhotovitele v dílčích termínech plnění je objednatel oprávněn účtovat zhotoviteli smluvní pokutu ve výši 0,5 % z ceny dílčího plnění (bez DPH) za každý i započatý den prodlení zhotovitele v dílčím termínu plnění. </w:t>
      </w:r>
    </w:p>
    <w:p>
      <w:pPr>
        <w:pStyle w:val="Nadpis1"/>
        <w:keepNext w:val="false"/>
        <w:numPr>
          <w:ilvl w:val="0"/>
          <w:numId w:val="8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 případě prodlení zhotovitele s odstraněním vad v záruční době uhradí zhotovitel objednateli smluvní pokutu ve výši 500 Kč za nedodržení této povinnosti za každý započatý den prodlení. </w:t>
      </w:r>
    </w:p>
    <w:p>
      <w:pPr>
        <w:pStyle w:val="Nadpis1"/>
        <w:numPr>
          <w:ilvl w:val="0"/>
          <w:numId w:val="8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Pro případ prodlení objednatele s úhradou ceny díla se strany dohodly na tom, že zhotoviteli náleží úrok z prodlení z dlužné částky ve výši 1 % p.a. po dobu prvních 30 dnů prodlení objednatele s úhradou ceny díla a dále pak ve výši stanovené předpisy práva občanského.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X. Ostatní ujednání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Zástupci smluvních stran ve věcech smluvních:</w:t>
      </w:r>
    </w:p>
    <w:tbl>
      <w:tblPr>
        <w:tblStyle w:val="Table5"/>
        <w:tblW w:w="8928" w:type="dxa"/>
        <w:jc w:val="left"/>
        <w:tblInd w:w="25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8"/>
        <w:gridCol w:w="6629"/>
      </w:tblGrid>
      <w:tr>
        <w:trPr>
          <w:trHeight w:val="345" w:hRule="atLeast"/>
        </w:trPr>
        <w:tc>
          <w:tcPr>
            <w:tcW w:w="2298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 za zhotovitele: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Rostislav Pražák</w:t>
            </w:r>
          </w:p>
        </w:tc>
      </w:tr>
      <w:tr>
        <w:trPr/>
        <w:tc>
          <w:tcPr>
            <w:tcW w:w="2298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 za objednatele: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Mgr. Pavel Křivohlávek, ředitel školy</w:t>
            </w:r>
          </w:p>
        </w:tc>
      </w:tr>
    </w:tbl>
    <w:p>
      <w:pPr>
        <w:pStyle w:val="Nadpis1"/>
        <w:numPr>
          <w:ilvl w:val="0"/>
          <w:numId w:val="9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Zástupci smluvních stran ve věcech technických:</w:t>
      </w:r>
    </w:p>
    <w:tbl>
      <w:tblPr>
        <w:tblStyle w:val="Table6"/>
        <w:tblW w:w="8928" w:type="dxa"/>
        <w:jc w:val="left"/>
        <w:tblInd w:w="25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8"/>
        <w:gridCol w:w="6629"/>
      </w:tblGrid>
      <w:tr>
        <w:trPr/>
        <w:tc>
          <w:tcPr>
            <w:tcW w:w="2298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 za zhotovitele: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white"/>
              </w:rPr>
              <w:t>Rostislav Pražák</w:t>
            </w:r>
          </w:p>
        </w:tc>
      </w:tr>
      <w:tr>
        <w:trPr/>
        <w:tc>
          <w:tcPr>
            <w:tcW w:w="2298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 za objednatele: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LOnormal"/>
              <w:widowControl w:val="false"/>
              <w:ind w:left="363" w:hang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xxxxxxxxxxxxxxx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zástupce ředitele školy pro věci technické</w:t>
            </w:r>
          </w:p>
        </w:tc>
      </w:tr>
    </w:tbl>
    <w:p>
      <w:pPr>
        <w:pStyle w:val="LOnormal"/>
        <w:spacing w:lineRule="auto" w:line="240" w:before="24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24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XI. Závěrečná ustanovení</w:t>
      </w:r>
    </w:p>
    <w:p>
      <w:pPr>
        <w:pStyle w:val="LOnormal"/>
        <w:numPr>
          <w:ilvl w:val="0"/>
          <w:numId w:val="10"/>
        </w:numPr>
        <w:spacing w:lineRule="auto" w:line="240" w:before="24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Smlouvu lze měnit nebo doplňovat pouze písemnými dodatky podepsanými oprávněnými zástupci obou smluvních stran. </w:t>
      </w:r>
    </w:p>
    <w:p>
      <w:pPr>
        <w:pStyle w:val="Nadpis1"/>
        <w:keepNext w:val="false"/>
        <w:numPr>
          <w:ilvl w:val="0"/>
          <w:numId w:val="10"/>
        </w:numPr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 náležitostech, které nejsou touto smlouvou včetně všech jejích jednotlivých příloh výslovně řešeny, platí příslušná ustanovení občanského zákoníku v platném znění ke dni uzavření smlouvy.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76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se zavazuje, že po celou dobu trvání závazku bude mít účinnou pojistnou smlouvu pro případ způsobení škody v souvislosti s výkonem předmětné smluvní činnosti ve výši minimálně 1 mil. Kč, kterou na vyžádání předloží zástupci objednatele.</w:t>
      </w:r>
    </w:p>
    <w:p>
      <w:pPr>
        <w:pStyle w:val="Nadpis1"/>
        <w:numPr>
          <w:ilvl w:val="0"/>
          <w:numId w:val="10"/>
        </w:numPr>
        <w:ind w:left="363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</w:t>
        <w:br/>
        <w:t xml:space="preserve">v takové neplatnosti nebo neúčinnosti, bude dodatečně zhojena výkladem této smlouvy, který musí respektovat ujednání a zájem smluvních stran. </w:t>
      </w:r>
    </w:p>
    <w:p>
      <w:pPr>
        <w:pStyle w:val="Nadpis1"/>
        <w:numPr>
          <w:ilvl w:val="0"/>
          <w:numId w:val="10"/>
        </w:numPr>
        <w:ind w:left="363" w:hanging="363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Smluvní strany prohlašují, že tato smlouva neobsahuje obchodní tajemství dle ustanovení § 504 zákona č. 89/2012 Sb., občanský zákoník, v platném znění, případně důvěrné informace a souhlasí s jejím zveřejněním v plném rozsahu v registru smluv dle zákona č. 340/2015 Sb, o zvláštních podmínkách účinnosti některých smluv, uveřejňování těchto smluv a o registru smluv (zákon o registru smluv), případně s jejím zveřejněním na internetových stránkách, úřední desce apod.</w:t>
      </w:r>
    </w:p>
    <w:p>
      <w:pPr>
        <w:pStyle w:val="Nadpis1"/>
        <w:numPr>
          <w:ilvl w:val="0"/>
          <w:numId w:val="10"/>
        </w:numPr>
        <w:ind w:left="363" w:hanging="363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Tato smlouva nabývá platnosti dnem podpisu oprávněnými zástupci obou smluvních stran. Smlouva je vyhotovena ve  dvou (2) výtiscích, z nichž jedno (1) vyhotovení obdrží objednatel a jedno (1) zhotovitel.</w:t>
      </w:r>
    </w:p>
    <w:p>
      <w:pPr>
        <w:pStyle w:val="Nadpis1"/>
        <w:keepNext w:val="false"/>
        <w:ind w:left="363" w:hanging="0"/>
        <w:jc w:val="both"/>
        <w:rPr/>
      </w:pPr>
      <w:r>
        <w:rPr/>
      </w:r>
    </w:p>
    <w:p>
      <w:pPr>
        <w:pStyle w:val="LOnormal"/>
        <w:spacing w:lineRule="auto" w:line="240" w:before="24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240" w:after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XII. Závěrečná prohlášení smluvních stran</w:t>
      </w:r>
    </w:p>
    <w:p>
      <w:pPr>
        <w:pStyle w:val="LOnormal"/>
        <w:numPr>
          <w:ilvl w:val="0"/>
          <w:numId w:val="13"/>
        </w:numPr>
        <w:spacing w:lineRule="auto" w:line="240" w:before="240" w:after="0"/>
        <w:ind w:left="363" w:hanging="363"/>
        <w:jc w:val="both"/>
        <w:rPr>
          <w:rFonts w:ascii="Times New Roman" w:hAnsi="Times New Roman" w:eastAsia="Times New Roman" w:cs="Times New Roman"/>
          <w:b w:val="false"/>
          <w:b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Smluvní strany prohlašují, že jsou způsobilé k právním úkonům, a že tato smlouva byla sepsána dle jejich svobodně a vážně projevené vůle, </w:t>
      </w:r>
      <w:r>
        <w:rPr>
          <w:rFonts w:eastAsia="Times New Roman" w:cs="Times New Roman" w:ascii="Times New Roman" w:hAnsi="Times New Roman"/>
          <w:sz w:val="22"/>
          <w:szCs w:val="22"/>
        </w:rPr>
        <w:t>nikoliv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v tísni za nápadně nevýhodných podmínek.</w:t>
      </w:r>
    </w:p>
    <w:p>
      <w:pPr>
        <w:pStyle w:val="Nadpis1"/>
        <w:numPr>
          <w:ilvl w:val="0"/>
          <w:numId w:val="13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Smluvní strany potvrzují rovněž převzetí všech dokumentů nebo podkladů, ať už uvedených nebo neuvedených v této smlouvě, vyžadovaných k řádnému provedení plnění dle této smlouvy. </w:t>
      </w:r>
    </w:p>
    <w:p>
      <w:pPr>
        <w:pStyle w:val="Nadpis1"/>
        <w:numPr>
          <w:ilvl w:val="0"/>
          <w:numId w:val="13"/>
        </w:numPr>
        <w:ind w:left="363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důkaz bezvýhradného souhlasu se všemi ustanoveními této smlouvy připojují smluvní strany, po jejím důkladném přečtení, své vlastnoruční podpisy.</w:t>
      </w:r>
    </w:p>
    <w:p>
      <w:pPr>
        <w:pStyle w:val="LOnormal"/>
        <w:ind w:left="363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363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 Šumperku dne 15.8.2022</w:t>
        <w:tab/>
      </w:r>
    </w:p>
    <w:p>
      <w:pPr>
        <w:pStyle w:val="LOnormal"/>
        <w:ind w:left="363" w:hanging="0"/>
        <w:jc w:val="both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yellow"/>
        </w:rPr>
      </w:r>
    </w:p>
    <w:p>
      <w:pPr>
        <w:pStyle w:val="LOnormal"/>
        <w:ind w:left="363" w:hanging="0"/>
        <w:jc w:val="both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yellow"/>
        </w:rPr>
      </w:r>
    </w:p>
    <w:p>
      <w:pPr>
        <w:pStyle w:val="LOnormal"/>
        <w:ind w:left="363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363" w:hanging="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Za objednatele: Mgr. Pavel Křivohlávek                                                    Za zhotovitele: Rostislav Pražák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b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LOnormal"/>
    <w:qFormat/>
    <w:pPr>
      <w:keepNext w:val="true"/>
      <w:widowControl w:val="false"/>
      <w:bidi w:val="0"/>
      <w:spacing w:lineRule="auto" w:line="240" w:before="60" w:after="0"/>
      <w:ind w:left="0" w:hanging="0"/>
      <w:jc w:val="both"/>
    </w:pPr>
    <w:rPr>
      <w:rFonts w:ascii="Liberation Serif" w:hAnsi="Liberation Serif" w:eastAsia="Liberation Serif" w:cs="Liberation Serif"/>
      <w:color w:val="auto"/>
      <w:kern w:val="0"/>
      <w:sz w:val="20"/>
      <w:szCs w:val="20"/>
      <w:lang w:val="cs-CZ" w:eastAsia="zh-CN" w:bidi="hi-IN"/>
    </w:rPr>
  </w:style>
  <w:style w:type="paragraph" w:styleId="Nadpis2">
    <w:name w:val="Heading 2"/>
    <w:basedOn w:val="Normal"/>
    <w:next w:val="LOnormal"/>
    <w:qFormat/>
    <w:pPr>
      <w:keepNext w:val="true"/>
      <w:widowControl w:val="false"/>
      <w:bidi w:val="0"/>
      <w:spacing w:lineRule="auto" w:line="240" w:before="60" w:after="0"/>
      <w:ind w:left="720" w:hanging="360"/>
      <w:jc w:val="center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cs-CZ" w:eastAsia="zh-CN" w:bidi="hi-IN"/>
    </w:rPr>
  </w:style>
  <w:style w:type="paragraph" w:styleId="Nadpis3">
    <w:name w:val="Heading 3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cs-CZ" w:eastAsia="zh-CN" w:bidi="hi-IN"/>
    </w:rPr>
  </w:style>
  <w:style w:type="paragraph" w:styleId="Nadpis4">
    <w:name w:val="Heading 4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cs-CZ" w:eastAsia="zh-CN" w:bidi="hi-IN"/>
    </w:rPr>
  </w:style>
  <w:style w:type="paragraph" w:styleId="Nadpis5">
    <w:name w:val="Heading 5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cs-CZ" w:eastAsia="zh-CN" w:bidi="hi-IN"/>
    </w:rPr>
  </w:style>
  <w:style w:type="paragraph" w:styleId="Nadpis6">
    <w:name w:val="Heading 6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cs-CZ" w:eastAsia="zh-CN" w:bidi="hi-IN"/>
    </w:rPr>
  </w:style>
  <w:style w:type="character" w:styleId="ListLabel1">
    <w:name w:val="ListLabel 1"/>
    <w:qFormat/>
    <w:rPr>
      <w:rFonts w:ascii="Times New Roman" w:hAnsi="Times New Roman" w:cs="OpenSymbol"/>
      <w:b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b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b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  <w:b/>
      <w:sz w:val="2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LibreOffice/6.1.0.3$Windows_X86_64 LibreOffice_project/efb621ed25068d70781dc026f7e9c5187a4decd1</Application>
  <Pages>5</Pages>
  <Words>2098</Words>
  <Characters>12042</Characters>
  <CharactersWithSpaces>14046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2022-09-12T10:08:20Z</dcterms:modified>
  <cp:revision>9</cp:revision>
  <dc:subject/>
  <dc:title/>
</cp:coreProperties>
</file>