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7D801119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3FBBF155" w14:textId="37E0674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27068641</w:t>
      </w:r>
    </w:p>
    <w:p w14:paraId="4F985C36" w14:textId="167468D3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2455B6">
        <w:rPr>
          <w:rFonts w:eastAsia="Times New Roman"/>
          <w:sz w:val="20"/>
          <w:szCs w:val="20"/>
          <w:lang w:eastAsia="cs-CZ"/>
        </w:rPr>
        <w:t>2</w:t>
      </w:r>
      <w:r w:rsidR="001E7282">
        <w:rPr>
          <w:rFonts w:eastAsia="Times New Roman"/>
          <w:sz w:val="20"/>
          <w:szCs w:val="20"/>
          <w:lang w:eastAsia="cs-CZ"/>
        </w:rPr>
        <w:t>7068641</w:t>
      </w:r>
    </w:p>
    <w:p w14:paraId="5B600E10" w14:textId="64D208B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51000761" w14:textId="774A6DCA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Radek Šubotník, prokurista</w:t>
      </w:r>
    </w:p>
    <w:p w14:paraId="7D62C435" w14:textId="59E68654" w:rsidR="001E7282" w:rsidRDefault="001E7282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527C4348" w14:textId="1EA7606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UniCredit Bank</w:t>
      </w:r>
    </w:p>
    <w:p w14:paraId="042DFE4C" w14:textId="75F0ADC8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2105630382/2700</w:t>
      </w:r>
    </w:p>
    <w:p w14:paraId="7381549E" w14:textId="39220B6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1E7282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1E7282">
        <w:rPr>
          <w:rFonts w:eastAsia="Times New Roman"/>
          <w:sz w:val="20"/>
          <w:szCs w:val="20"/>
          <w:lang w:eastAsia="cs-CZ"/>
        </w:rPr>
        <w:t>93921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28A76102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994BC2">
        <w:rPr>
          <w:rFonts w:ascii="Verdana" w:hAnsi="Verdana"/>
          <w:b/>
          <w:sz w:val="20"/>
          <w:lang w:eastAsia="cs-CZ"/>
        </w:rPr>
        <w:t>Endoskopické vybavení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2B66C7C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9F2A34">
        <w:rPr>
          <w:rFonts w:ascii="Verdana" w:hAnsi="Verdana"/>
          <w:b/>
          <w:i/>
          <w:sz w:val="20"/>
          <w:lang w:eastAsia="cs-CZ"/>
        </w:rPr>
        <w:t xml:space="preserve"> – část 14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14B2E4B3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994BC2">
        <w:rPr>
          <w:rFonts w:ascii="Verdana" w:hAnsi="Verdana"/>
          <w:sz w:val="20"/>
          <w:lang w:eastAsia="cs-CZ"/>
        </w:rPr>
        <w:t>21.50</w:t>
      </w:r>
      <w:r w:rsidR="00AF3B74">
        <w:rPr>
          <w:rFonts w:ascii="Verdana" w:hAnsi="Verdana"/>
          <w:sz w:val="20"/>
          <w:lang w:eastAsia="cs-CZ"/>
        </w:rPr>
        <w:t>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6300E08F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DE3C77" w:rsidRPr="00896C73">
        <w:rPr>
          <w:rFonts w:ascii="Verdana" w:hAnsi="Verdana"/>
          <w:bCs/>
          <w:sz w:val="20"/>
          <w:lang w:eastAsia="cs-CZ"/>
        </w:rPr>
        <w:t>(OÚ)</w:t>
      </w:r>
    </w:p>
    <w:p w14:paraId="3EBFAAD7" w14:textId="55160E5A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DE3C77" w:rsidRPr="00896C73">
        <w:rPr>
          <w:rFonts w:ascii="Verdana" w:hAnsi="Verdana"/>
          <w:bCs/>
          <w:sz w:val="20"/>
          <w:lang w:eastAsia="cs-CZ"/>
        </w:rPr>
        <w:t>(OÚ)</w:t>
      </w:r>
    </w:p>
    <w:p w14:paraId="5A09CE40" w14:textId="79C04000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DE3C77" w:rsidRPr="00896C73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7C9E9424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DE3C77" w:rsidRPr="00896C73">
        <w:rPr>
          <w:rFonts w:ascii="Verdana" w:hAnsi="Verdana"/>
          <w:bCs/>
          <w:sz w:val="20"/>
          <w:lang w:eastAsia="cs-CZ"/>
        </w:rPr>
        <w:t>(OÚ)</w:t>
      </w:r>
    </w:p>
    <w:p w14:paraId="70B2DB80" w14:textId="2FAB0C70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DE3C77" w:rsidRPr="00896C73">
        <w:rPr>
          <w:rFonts w:ascii="Verdana" w:hAnsi="Verdana"/>
          <w:bCs/>
          <w:sz w:val="20"/>
          <w:lang w:eastAsia="cs-CZ"/>
        </w:rPr>
        <w:t>(OÚ)</w:t>
      </w:r>
    </w:p>
    <w:p w14:paraId="189B9EC2" w14:textId="353A4EE8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DE3C77" w:rsidRPr="00896C73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7900DC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7B9CD4DB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A9ED037" w14:textId="77777777" w:rsidR="007900DC" w:rsidRDefault="007900DC" w:rsidP="007900D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49A6B528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809DF2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037FB4C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6EB056CB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7DFE8ED2" w14:textId="77777777" w:rsidR="007900DC" w:rsidRDefault="007900DC" w:rsidP="007900DC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 prokurista                 </w:t>
            </w:r>
          </w:p>
          <w:p w14:paraId="29BA0FD7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61FE8731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429F7D75" w:rsidR="007900DC" w:rsidRPr="002C154A" w:rsidRDefault="007900DC" w:rsidP="007900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7900DC" w:rsidRPr="00F334B9" w:rsidRDefault="007900DC" w:rsidP="007900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900DC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7C9545B4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5A0019B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666A4A7C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1C46A0A3" w14:textId="59F1D7D6" w:rsidR="007900DC" w:rsidRPr="00F334B9" w:rsidRDefault="007900DC" w:rsidP="007900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prokurista                 </w:t>
            </w:r>
          </w:p>
        </w:tc>
        <w:tc>
          <w:tcPr>
            <w:tcW w:w="4606" w:type="dxa"/>
          </w:tcPr>
          <w:p w14:paraId="4EE82219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48C0C1D8" w:rsidR="007900DC" w:rsidRPr="0016146E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a 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9171" w14:textId="77777777" w:rsidR="001022B8" w:rsidRDefault="001022B8">
      <w:r>
        <w:separator/>
      </w:r>
    </w:p>
  </w:endnote>
  <w:endnote w:type="continuationSeparator" w:id="0">
    <w:p w14:paraId="2EC4D6C7" w14:textId="77777777" w:rsidR="001022B8" w:rsidRDefault="0010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DE3C77">
      <w:fldChar w:fldCharType="begin"/>
    </w:r>
    <w:r w:rsidR="00DE3C77">
      <w:instrText xml:space="preserve"> NUMPAGES  \* Arabic  \* MERGEFORMAT </w:instrText>
    </w:r>
    <w:r w:rsidR="00DE3C77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DE3C77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88C7" w14:textId="77777777" w:rsidR="001022B8" w:rsidRDefault="001022B8">
      <w:r>
        <w:separator/>
      </w:r>
    </w:p>
  </w:footnote>
  <w:footnote w:type="continuationSeparator" w:id="0">
    <w:p w14:paraId="2B3541AF" w14:textId="77777777" w:rsidR="001022B8" w:rsidRDefault="0010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6555558">
    <w:abstractNumId w:val="14"/>
  </w:num>
  <w:num w:numId="2" w16cid:durableId="613679379">
    <w:abstractNumId w:val="13"/>
  </w:num>
  <w:num w:numId="3" w16cid:durableId="1010833822">
    <w:abstractNumId w:val="14"/>
  </w:num>
  <w:num w:numId="4" w16cid:durableId="477842">
    <w:abstractNumId w:val="14"/>
  </w:num>
  <w:num w:numId="5" w16cid:durableId="1272668055">
    <w:abstractNumId w:val="14"/>
  </w:num>
  <w:num w:numId="6" w16cid:durableId="526724019">
    <w:abstractNumId w:val="14"/>
  </w:num>
  <w:num w:numId="7" w16cid:durableId="2033022488">
    <w:abstractNumId w:val="14"/>
  </w:num>
  <w:num w:numId="8" w16cid:durableId="170727367">
    <w:abstractNumId w:val="14"/>
  </w:num>
  <w:num w:numId="9" w16cid:durableId="262347861">
    <w:abstractNumId w:val="14"/>
  </w:num>
  <w:num w:numId="10" w16cid:durableId="2095934797">
    <w:abstractNumId w:val="17"/>
  </w:num>
  <w:num w:numId="11" w16cid:durableId="885991596">
    <w:abstractNumId w:val="14"/>
  </w:num>
  <w:num w:numId="12" w16cid:durableId="1504513251">
    <w:abstractNumId w:val="14"/>
  </w:num>
  <w:num w:numId="13" w16cid:durableId="1099641045">
    <w:abstractNumId w:val="14"/>
  </w:num>
  <w:num w:numId="14" w16cid:durableId="1876189003">
    <w:abstractNumId w:val="14"/>
  </w:num>
  <w:num w:numId="15" w16cid:durableId="1267545495">
    <w:abstractNumId w:val="14"/>
  </w:num>
  <w:num w:numId="16" w16cid:durableId="1403796589">
    <w:abstractNumId w:val="18"/>
  </w:num>
  <w:num w:numId="17" w16cid:durableId="368142715">
    <w:abstractNumId w:val="16"/>
  </w:num>
  <w:num w:numId="18" w16cid:durableId="1688212449">
    <w:abstractNumId w:val="14"/>
  </w:num>
  <w:num w:numId="19" w16cid:durableId="429156659">
    <w:abstractNumId w:val="14"/>
  </w:num>
  <w:num w:numId="20" w16cid:durableId="1417362631">
    <w:abstractNumId w:val="14"/>
  </w:num>
  <w:num w:numId="21" w16cid:durableId="210271883">
    <w:abstractNumId w:val="14"/>
  </w:num>
  <w:num w:numId="22" w16cid:durableId="1091321310">
    <w:abstractNumId w:val="22"/>
  </w:num>
  <w:num w:numId="23" w16cid:durableId="1496725375">
    <w:abstractNumId w:val="21"/>
  </w:num>
  <w:num w:numId="24" w16cid:durableId="307126199">
    <w:abstractNumId w:val="20"/>
  </w:num>
  <w:num w:numId="25" w16cid:durableId="352079452">
    <w:abstractNumId w:val="14"/>
  </w:num>
  <w:num w:numId="26" w16cid:durableId="872960974">
    <w:abstractNumId w:val="14"/>
  </w:num>
  <w:num w:numId="27" w16cid:durableId="431511673">
    <w:abstractNumId w:val="14"/>
  </w:num>
  <w:num w:numId="28" w16cid:durableId="1214195413">
    <w:abstractNumId w:val="11"/>
  </w:num>
  <w:num w:numId="29" w16cid:durableId="477575278">
    <w:abstractNumId w:val="19"/>
  </w:num>
  <w:num w:numId="30" w16cid:durableId="1523275279">
    <w:abstractNumId w:val="10"/>
  </w:num>
  <w:num w:numId="31" w16cid:durableId="1802183897">
    <w:abstractNumId w:val="14"/>
  </w:num>
  <w:num w:numId="32" w16cid:durableId="1136213902">
    <w:abstractNumId w:val="14"/>
  </w:num>
  <w:num w:numId="33" w16cid:durableId="686449583">
    <w:abstractNumId w:val="14"/>
  </w:num>
  <w:num w:numId="34" w16cid:durableId="1858346169">
    <w:abstractNumId w:val="14"/>
  </w:num>
  <w:num w:numId="35" w16cid:durableId="1932810866">
    <w:abstractNumId w:val="14"/>
  </w:num>
  <w:num w:numId="36" w16cid:durableId="650787430">
    <w:abstractNumId w:val="14"/>
  </w:num>
  <w:num w:numId="37" w16cid:durableId="1382509981">
    <w:abstractNumId w:val="14"/>
  </w:num>
  <w:num w:numId="38" w16cid:durableId="478767368">
    <w:abstractNumId w:val="14"/>
  </w:num>
  <w:num w:numId="39" w16cid:durableId="501429326">
    <w:abstractNumId w:val="14"/>
  </w:num>
  <w:num w:numId="40" w16cid:durableId="1346251068">
    <w:abstractNumId w:val="14"/>
  </w:num>
  <w:num w:numId="41" w16cid:durableId="345790076">
    <w:abstractNumId w:val="15"/>
  </w:num>
  <w:num w:numId="42" w16cid:durableId="299389343">
    <w:abstractNumId w:val="14"/>
  </w:num>
  <w:num w:numId="43" w16cid:durableId="878007809">
    <w:abstractNumId w:val="14"/>
  </w:num>
  <w:num w:numId="44" w16cid:durableId="1589970691">
    <w:abstractNumId w:val="14"/>
  </w:num>
  <w:num w:numId="45" w16cid:durableId="4805414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22B8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282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C7C4F"/>
    <w:rsid w:val="003D1915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4E2699"/>
    <w:rsid w:val="00500D6E"/>
    <w:rsid w:val="00502EF7"/>
    <w:rsid w:val="00503D62"/>
    <w:rsid w:val="00507B3D"/>
    <w:rsid w:val="00510033"/>
    <w:rsid w:val="00511D1C"/>
    <w:rsid w:val="00515C4F"/>
    <w:rsid w:val="0052107F"/>
    <w:rsid w:val="005252B1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00DC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352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4BC2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9F2A34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418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3B74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048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334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255B"/>
    <w:rsid w:val="00DC3250"/>
    <w:rsid w:val="00DC7214"/>
    <w:rsid w:val="00DE3C77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409C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E6F1A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85B1-94A2-48DD-8415-B30A1355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2359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44</cp:revision>
  <cp:lastPrinted>2022-08-04T05:33:00Z</cp:lastPrinted>
  <dcterms:created xsi:type="dcterms:W3CDTF">2021-10-19T16:42:00Z</dcterms:created>
  <dcterms:modified xsi:type="dcterms:W3CDTF">2022-09-09T13:42:00Z</dcterms:modified>
</cp:coreProperties>
</file>