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076E" w14:textId="77777777" w:rsidR="00BA4C51" w:rsidRPr="00C264BF" w:rsidRDefault="006424FA" w:rsidP="00BA4C51">
      <w:pPr>
        <w:rPr>
          <w:rFonts w:ascii="Arial" w:hAnsi="Arial" w:cs="Arial"/>
        </w:rPr>
      </w:pPr>
      <w:r w:rsidRPr="00A55EEA">
        <w:rPr>
          <w:rFonts w:ascii="Arial" w:hAnsi="Arial" w:cs="Arial"/>
          <w:noProof/>
          <w:lang w:eastAsia="cs-CZ"/>
        </w:rPr>
        <w:drawing>
          <wp:inline distT="0" distB="0" distL="0" distR="0" wp14:anchorId="7E6E6A5A" wp14:editId="6CF2E798">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S/03212/JC/22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03212/JC/22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PPK-698a/31/22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Vyšný 59, 381 01 Český Krumlov</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380 301 038</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RNDr. Jan Flašar  vedoucí oddělení SCHKO Blanský les -  RP Jižní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Jan Indra</w:t>
      </w:r>
    </w:p>
    <w:p w14:paraId="749580C9" w14:textId="77777777" w:rsidR="00BA4C51" w:rsidRPr="00C264BF" w:rsidRDefault="00BA4C51" w:rsidP="00BB63BC">
      <w:pPr>
        <w:spacing w:after="0" w:line="240" w:lineRule="auto"/>
        <w:rPr>
          <w:rFonts w:ascii="Arial" w:hAnsi="Arial" w:cs="Arial"/>
        </w:rPr>
      </w:pPr>
      <w:r w:rsidRPr="00C264BF">
        <w:rPr>
          <w:rFonts w:ascii="Arial" w:hAnsi="Arial" w:cs="Arial"/>
        </w:rPr>
        <w:t>za projekt Jedna příroda (LIFE-IP: N2K Revisited) odpovídá: Ing. Hana Chobotská Ph.D.</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Ing. Martin Pop, Ph.D.</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74592360</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Nová Ves  21, 39701 Písek</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Ing. Martin Pop, Ph.D.</w:t>
      </w:r>
    </w:p>
    <w:p w14:paraId="1E424C7F" w14:textId="6747616A"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D4747A">
        <w:rPr>
          <w:rFonts w:ascii="Arial" w:hAnsi="Arial" w:cs="Arial"/>
        </w:rPr>
        <w:t>xxxxx</w:t>
      </w:r>
      <w:bookmarkStart w:id="0" w:name="_GoBack"/>
      <w:bookmarkEnd w:id="0"/>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 Provedení opatření v rámci projektu Jedna příroda (Integrovaný projekt LIFE pro soustavu Natura 2000 v České republice – LIFE17 IPE/CZ/000005 LIFE-IP: N2K Revisited), aktivita C4 – Management lokalit soustavy Natura 2000.</w:t>
      </w:r>
    </w:p>
    <w:p w14:paraId="09771636" w14:textId="77777777" w:rsidR="00BA4C51" w:rsidRPr="00C264BF" w:rsidRDefault="00BA4C51" w:rsidP="00820E79">
      <w:pPr>
        <w:pStyle w:val="Nadpis2"/>
        <w:numPr>
          <w:ilvl w:val="0"/>
          <w:numId w:val="0"/>
        </w:numPr>
        <w:ind w:left="709"/>
      </w:pPr>
      <w:r w:rsidRPr="00C264BF">
        <w:t>Skupinové oplocení výsadeb a přirozeného zmlazení v lesních porostech ve správě Lesů ČR, s.p.</w:t>
      </w:r>
    </w:p>
    <w:p w14:paraId="389BD7B4" w14:textId="77777777" w:rsidR="00BA4C51" w:rsidRPr="00C264BF" w:rsidRDefault="00BA4C51" w:rsidP="00820E79">
      <w:pPr>
        <w:pStyle w:val="Nadpis2"/>
        <w:numPr>
          <w:ilvl w:val="0"/>
          <w:numId w:val="0"/>
        </w:numPr>
        <w:ind w:left="709"/>
      </w:pPr>
      <w:r w:rsidRPr="00C264BF">
        <w:t>Provedení opatření v:EVL Blanský les;</w:t>
      </w:r>
    </w:p>
    <w:p w14:paraId="4DAEF62C" w14:textId="77777777" w:rsidR="00BA4C51" w:rsidRPr="00C264BF" w:rsidRDefault="00BA4C51" w:rsidP="00820E79">
      <w:pPr>
        <w:pStyle w:val="Nadpis2"/>
        <w:numPr>
          <w:ilvl w:val="0"/>
          <w:numId w:val="0"/>
        </w:numPr>
        <w:ind w:left="709"/>
      </w:pPr>
      <w:r w:rsidRPr="00C264BF">
        <w:t>Konkrétně se bude jednat o podporu předmětu ochrany:9110 Bučiny asociace Luzulo-Fagetum;</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Opatření ke zlepšení druhové skladby lesních porostů.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PPK-698a/31/22.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240 450,- Kč</w:t>
      </w:r>
    </w:p>
    <w:p w14:paraId="1909710B" w14:textId="77777777" w:rsidR="00BA4C51" w:rsidRPr="00C264BF" w:rsidRDefault="00BA4C51" w:rsidP="00820E79">
      <w:pPr>
        <w:pStyle w:val="Nadpis2"/>
        <w:numPr>
          <w:ilvl w:val="0"/>
          <w:numId w:val="0"/>
        </w:numPr>
        <w:ind w:left="709"/>
      </w:pPr>
      <w:r w:rsidRPr="00C264BF">
        <w:t>DPH 21%: 50 494,50 Kč</w:t>
      </w:r>
    </w:p>
    <w:p w14:paraId="1A426FC4" w14:textId="77777777" w:rsidR="00BA4C51" w:rsidRPr="00C264BF" w:rsidRDefault="00BA4C51" w:rsidP="00820E79">
      <w:pPr>
        <w:pStyle w:val="Nadpis2"/>
        <w:numPr>
          <w:ilvl w:val="0"/>
          <w:numId w:val="0"/>
        </w:numPr>
        <w:ind w:left="709"/>
      </w:pPr>
      <w:r w:rsidRPr="00C264BF">
        <w:t>Cena včetně DPH: 290 944,50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11.11. kalendářního roku) na základě předávacího protokolu (nebo na základě protokolu o kontrole dle čl. 6.2) na adresu: Vyšný 59, 381 01 Český Krumlov.</w:t>
      </w:r>
    </w:p>
    <w:p w14:paraId="34F22964" w14:textId="77777777" w:rsidR="00BA4C51" w:rsidRPr="00C264BF" w:rsidRDefault="00BA4C51" w:rsidP="00820E79">
      <w:pPr>
        <w:pStyle w:val="Nadpis2"/>
      </w:pPr>
      <w:r w:rsidRPr="00C264BF">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w:t>
      </w:r>
      <w:r w:rsidRPr="00C264BF">
        <w:lastRenderedPageBreak/>
        <w:t>Integrovaného projektu LIFE - Jedna příroda (LIFE17 IPE/CZ/000005 LIFE-IP: N2K Revisited).“</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31.10.2022.</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15/3 v k.ú. Jaronín, 1588/1 v k.ú. Janské údolí, 1621 v k.ú. Nová Ves u Brloha, 1171/1, 1156/1 v k.ú. Holubov, 1774/1 v k.ú. Třísov.</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lastRenderedPageBreak/>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lastRenderedPageBreak/>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PPK-698a/31/22.</w:t>
      </w:r>
      <w:r w:rsidRPr="00C264BF">
        <w:tab/>
      </w: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Č. Krumlově</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Č. Krumlově</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RNDr. Jan Flašar  vedoucí oddělení SCHKO Blanský les -  RP Jižní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Ing. Martin Pop, Ph.D.</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66D54"/>
    <w:rsid w:val="00122140"/>
    <w:rsid w:val="00150D52"/>
    <w:rsid w:val="00201716"/>
    <w:rsid w:val="00232FCF"/>
    <w:rsid w:val="002537FA"/>
    <w:rsid w:val="00305126"/>
    <w:rsid w:val="0037433A"/>
    <w:rsid w:val="00533C96"/>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D4747A"/>
    <w:rsid w:val="00DD31B4"/>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1736</Words>
  <Characters>10248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 Indra</cp:lastModifiedBy>
  <cp:revision>3</cp:revision>
  <cp:lastPrinted>2022-09-05T12:07:00Z</cp:lastPrinted>
  <dcterms:created xsi:type="dcterms:W3CDTF">2022-09-09T11:03:00Z</dcterms:created>
  <dcterms:modified xsi:type="dcterms:W3CDTF">2022-09-09T11:05:00Z</dcterms:modified>
</cp:coreProperties>
</file>