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01BA4" w14:textId="5B4675FC" w:rsidR="00F554F8" w:rsidRPr="00084257" w:rsidRDefault="00DD34DB" w:rsidP="00F554F8">
      <w:pPr>
        <w:jc w:val="center"/>
        <w:rPr>
          <w:rFonts w:ascii="Effra" w:hAnsi="Effra" w:cs="Effra"/>
          <w:b/>
          <w:bCs/>
          <w:color w:val="000000"/>
          <w:sz w:val="28"/>
          <w:szCs w:val="28"/>
        </w:rPr>
      </w:pPr>
      <w:r>
        <w:rPr>
          <w:rFonts w:ascii="Effra" w:hAnsi="Effra" w:cs="Effra"/>
          <w:b/>
          <w:color w:val="000000"/>
          <w:sz w:val="28"/>
          <w:szCs w:val="28"/>
        </w:rPr>
        <w:t xml:space="preserve">Dodatek č. 1 k </w:t>
      </w:r>
      <w:r w:rsidR="00F554F8" w:rsidRPr="00084257">
        <w:rPr>
          <w:rFonts w:ascii="Effra" w:hAnsi="Effra" w:cs="Effra"/>
          <w:b/>
          <w:color w:val="000000"/>
          <w:sz w:val="28"/>
          <w:szCs w:val="28"/>
        </w:rPr>
        <w:t>Smlouv</w:t>
      </w:r>
      <w:r>
        <w:rPr>
          <w:rFonts w:ascii="Effra" w:hAnsi="Effra" w:cs="Effra"/>
          <w:b/>
          <w:color w:val="000000"/>
          <w:sz w:val="28"/>
          <w:szCs w:val="28"/>
        </w:rPr>
        <w:t>ě</w:t>
      </w:r>
      <w:r w:rsidR="00F554F8" w:rsidRPr="00084257">
        <w:rPr>
          <w:rFonts w:ascii="Effra" w:hAnsi="Effra" w:cs="Effra"/>
          <w:b/>
          <w:color w:val="000000"/>
          <w:sz w:val="28"/>
          <w:szCs w:val="28"/>
        </w:rPr>
        <w:t xml:space="preserve"> </w:t>
      </w:r>
      <w:r>
        <w:rPr>
          <w:rFonts w:ascii="Effra" w:hAnsi="Effra" w:cs="Effra"/>
          <w:b/>
          <w:bCs/>
          <w:color w:val="000000"/>
          <w:sz w:val="28"/>
          <w:szCs w:val="28"/>
        </w:rPr>
        <w:t xml:space="preserve">ze dne </w:t>
      </w:r>
      <w:r w:rsidR="005650E4" w:rsidRPr="00FC23A2">
        <w:rPr>
          <w:rFonts w:ascii="Effra" w:hAnsi="Effra" w:cs="Effra"/>
          <w:b/>
          <w:bCs/>
          <w:color w:val="000000"/>
          <w:sz w:val="28"/>
          <w:szCs w:val="28"/>
        </w:rPr>
        <w:t>3</w:t>
      </w:r>
      <w:r w:rsidR="00FC23A2" w:rsidRPr="00FC23A2">
        <w:rPr>
          <w:rFonts w:ascii="Effra" w:hAnsi="Effra" w:cs="Effra"/>
          <w:b/>
          <w:bCs/>
          <w:color w:val="000000"/>
          <w:sz w:val="28"/>
          <w:szCs w:val="28"/>
        </w:rPr>
        <w:t>0</w:t>
      </w:r>
      <w:r w:rsidR="005650E4" w:rsidRPr="00FC23A2">
        <w:rPr>
          <w:rFonts w:ascii="Effra" w:hAnsi="Effra" w:cs="Effra"/>
          <w:b/>
          <w:bCs/>
          <w:color w:val="000000"/>
          <w:sz w:val="28"/>
          <w:szCs w:val="28"/>
        </w:rPr>
        <w:t>.</w:t>
      </w:r>
      <w:r w:rsidRPr="00FC23A2">
        <w:rPr>
          <w:rFonts w:ascii="Effra" w:hAnsi="Effra" w:cs="Effra"/>
          <w:b/>
          <w:bCs/>
          <w:color w:val="000000"/>
          <w:sz w:val="28"/>
          <w:szCs w:val="28"/>
        </w:rPr>
        <w:t>3. 202</w:t>
      </w:r>
      <w:r w:rsidR="005650E4" w:rsidRPr="00FC23A2">
        <w:rPr>
          <w:rFonts w:ascii="Effra" w:hAnsi="Effra" w:cs="Effra"/>
          <w:b/>
          <w:bCs/>
          <w:color w:val="000000"/>
          <w:sz w:val="28"/>
          <w:szCs w:val="28"/>
        </w:rPr>
        <w:t>2</w:t>
      </w:r>
    </w:p>
    <w:p w14:paraId="4B114B67" w14:textId="77777777" w:rsidR="00F554F8" w:rsidRPr="00084257" w:rsidRDefault="00F554F8" w:rsidP="00F554F8">
      <w:pPr>
        <w:rPr>
          <w:rFonts w:ascii="Effra" w:hAnsi="Effra" w:cs="Effra"/>
          <w:color w:val="000000"/>
        </w:rPr>
      </w:pPr>
    </w:p>
    <w:p w14:paraId="71868CAD" w14:textId="77777777" w:rsidR="00F554F8" w:rsidRPr="00084257" w:rsidRDefault="00F554F8" w:rsidP="00F554F8">
      <w:pPr>
        <w:rPr>
          <w:rFonts w:ascii="Effra" w:hAnsi="Effra" w:cs="Effra"/>
          <w:color w:val="000000"/>
        </w:rPr>
      </w:pPr>
      <w:r w:rsidRPr="00084257">
        <w:rPr>
          <w:rFonts w:ascii="Effra" w:hAnsi="Effra" w:cs="Effra"/>
          <w:color w:val="000000"/>
        </w:rPr>
        <w:t>Smluvní strany:</w:t>
      </w:r>
    </w:p>
    <w:p w14:paraId="51CFB604" w14:textId="77777777" w:rsidR="00F554F8" w:rsidRPr="00084257" w:rsidRDefault="00F554F8" w:rsidP="00F554F8">
      <w:pPr>
        <w:rPr>
          <w:rFonts w:ascii="Effra" w:hAnsi="Effra" w:cs="Effra"/>
          <w:color w:val="000000"/>
        </w:rPr>
      </w:pPr>
    </w:p>
    <w:p w14:paraId="2886AA52" w14:textId="77777777" w:rsidR="00F554F8" w:rsidRPr="00084257" w:rsidRDefault="00F554F8" w:rsidP="00F554F8">
      <w:pPr>
        <w:rPr>
          <w:rStyle w:val="platne1"/>
          <w:rFonts w:ascii="Effra" w:hAnsi="Effra" w:cs="Effra"/>
          <w:color w:val="000000"/>
        </w:rPr>
      </w:pPr>
      <w:r w:rsidRPr="00084257">
        <w:rPr>
          <w:rStyle w:val="nowrap"/>
          <w:rFonts w:ascii="Effra" w:hAnsi="Effra" w:cs="Effra"/>
          <w:b/>
          <w:color w:val="000000"/>
        </w:rPr>
        <w:t>Moravskoslezské Investice a Development, a.s.</w:t>
      </w:r>
    </w:p>
    <w:p w14:paraId="5140D0B9" w14:textId="77777777" w:rsidR="00F554F8" w:rsidRPr="00084257" w:rsidRDefault="00F554F8" w:rsidP="00F554F8">
      <w:pPr>
        <w:rPr>
          <w:rStyle w:val="platne1"/>
          <w:rFonts w:ascii="Effra" w:hAnsi="Effra" w:cs="Effra"/>
          <w:color w:val="000000"/>
        </w:rPr>
      </w:pPr>
      <w:r w:rsidRPr="00084257">
        <w:rPr>
          <w:rStyle w:val="platne1"/>
          <w:rFonts w:ascii="Effra" w:hAnsi="Effra" w:cs="Effra"/>
          <w:color w:val="000000"/>
        </w:rPr>
        <w:t>se sídlem Na Jízdárně 1245/7, Moravská Ostrava, 702 00 Ostrava</w:t>
      </w:r>
    </w:p>
    <w:p w14:paraId="3E94273E" w14:textId="77777777" w:rsidR="00F554F8" w:rsidRPr="00084257" w:rsidRDefault="00F554F8" w:rsidP="00F554F8">
      <w:pPr>
        <w:rPr>
          <w:rFonts w:ascii="Effra" w:hAnsi="Effra" w:cs="Effra"/>
          <w:color w:val="000000"/>
        </w:rPr>
      </w:pPr>
      <w:r w:rsidRPr="00084257">
        <w:rPr>
          <w:rStyle w:val="platne1"/>
          <w:rFonts w:ascii="Effra" w:hAnsi="Effra" w:cs="Effra"/>
          <w:color w:val="000000"/>
        </w:rPr>
        <w:t>IČ 47673168</w:t>
      </w:r>
      <w:r w:rsidRPr="00084257">
        <w:rPr>
          <w:rStyle w:val="nowrap"/>
          <w:rFonts w:ascii="Effra" w:hAnsi="Effra" w:cs="Effra"/>
          <w:color w:val="000000"/>
        </w:rPr>
        <w:t>, DIČ CZ47673168</w:t>
      </w:r>
      <w:r w:rsidRPr="00084257">
        <w:rPr>
          <w:rFonts w:ascii="Effra" w:hAnsi="Effra" w:cs="Effra"/>
          <w:color w:val="000000"/>
        </w:rPr>
        <w:t>, společnost zapsána v OR u KS v Ostravě – oddíl B, vložka 609</w:t>
      </w:r>
    </w:p>
    <w:p w14:paraId="54B24DCA" w14:textId="77777777" w:rsidR="00F554F8" w:rsidRPr="00084257" w:rsidRDefault="00F554F8" w:rsidP="00F554F8">
      <w:pPr>
        <w:rPr>
          <w:rStyle w:val="platne1"/>
          <w:rFonts w:ascii="Effra" w:hAnsi="Effra" w:cs="Effra"/>
          <w:color w:val="000000"/>
        </w:rPr>
      </w:pPr>
      <w:r w:rsidRPr="00084257">
        <w:rPr>
          <w:rFonts w:ascii="Effra" w:hAnsi="Effra" w:cs="Effra"/>
          <w:color w:val="000000"/>
        </w:rPr>
        <w:t xml:space="preserve">bankovní spojení: </w:t>
      </w:r>
      <w:r w:rsidRPr="00084257">
        <w:rPr>
          <w:rFonts w:ascii="Effra" w:hAnsi="Effra" w:cs="Effra"/>
        </w:rPr>
        <w:t>373791183/0300</w:t>
      </w:r>
    </w:p>
    <w:p w14:paraId="1BA1D57B" w14:textId="2A8799CA" w:rsidR="001205F1" w:rsidRDefault="00F554F8" w:rsidP="00CE70FB">
      <w:pPr>
        <w:widowControl w:val="0"/>
        <w:numPr>
          <w:ilvl w:val="12"/>
          <w:numId w:val="0"/>
        </w:numPr>
        <w:tabs>
          <w:tab w:val="num" w:pos="2977"/>
        </w:tabs>
        <w:jc w:val="both"/>
        <w:rPr>
          <w:rStyle w:val="platne1"/>
          <w:rFonts w:ascii="Effra" w:hAnsi="Effra" w:cs="Effra"/>
          <w:color w:val="000000"/>
        </w:rPr>
      </w:pPr>
      <w:r w:rsidRPr="00084257">
        <w:rPr>
          <w:rStyle w:val="platne1"/>
          <w:rFonts w:ascii="Effra" w:hAnsi="Effra" w:cs="Effra"/>
          <w:color w:val="000000"/>
        </w:rPr>
        <w:t>zastoupen</w:t>
      </w:r>
      <w:r w:rsidR="00CE70FB">
        <w:rPr>
          <w:rStyle w:val="platne1"/>
          <w:rFonts w:ascii="Effra" w:hAnsi="Effra" w:cs="Effra"/>
          <w:color w:val="000000"/>
        </w:rPr>
        <w:t xml:space="preserve">: </w:t>
      </w:r>
      <w:r w:rsidR="00CE70FB">
        <w:rPr>
          <w:rStyle w:val="platne1"/>
          <w:rFonts w:ascii="Effra" w:hAnsi="Effra" w:cs="Effra"/>
          <w:color w:val="000000"/>
        </w:rPr>
        <w:tab/>
      </w:r>
      <w:r w:rsidR="001205F1" w:rsidRPr="004F4F61">
        <w:rPr>
          <w:rFonts w:ascii="Tahoma" w:hAnsi="Tahoma" w:cs="Tahoma"/>
          <w:sz w:val="20"/>
          <w:szCs w:val="20"/>
        </w:rPr>
        <w:t xml:space="preserve">Ing. </w:t>
      </w:r>
      <w:r w:rsidR="001205F1">
        <w:rPr>
          <w:rFonts w:ascii="Tahoma" w:hAnsi="Tahoma" w:cs="Tahoma"/>
          <w:sz w:val="20"/>
          <w:szCs w:val="20"/>
        </w:rPr>
        <w:t>VÁCLAV PALIČKA</w:t>
      </w:r>
      <w:r w:rsidR="001205F1" w:rsidRPr="004F4F61">
        <w:rPr>
          <w:rFonts w:ascii="Tahoma" w:hAnsi="Tahoma" w:cs="Tahoma"/>
          <w:sz w:val="20"/>
          <w:szCs w:val="20"/>
        </w:rPr>
        <w:t xml:space="preserve"> – předseda představenstva</w:t>
      </w:r>
    </w:p>
    <w:p w14:paraId="1ED9FF38" w14:textId="2F23A683" w:rsidR="00CE70FB" w:rsidRPr="002F7CB8" w:rsidRDefault="001205F1" w:rsidP="00CE70FB">
      <w:pPr>
        <w:widowControl w:val="0"/>
        <w:numPr>
          <w:ilvl w:val="12"/>
          <w:numId w:val="0"/>
        </w:numPr>
        <w:tabs>
          <w:tab w:val="num" w:pos="2977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CE70FB" w:rsidRPr="002F7CB8">
        <w:rPr>
          <w:rFonts w:ascii="Tahoma" w:hAnsi="Tahoma" w:cs="Tahoma"/>
          <w:sz w:val="20"/>
          <w:szCs w:val="20"/>
        </w:rPr>
        <w:t xml:space="preserve">Ing. TOMÁŠ KOLÁRIK – </w:t>
      </w:r>
      <w:r w:rsidR="00CE70FB" w:rsidRPr="004F4F61">
        <w:rPr>
          <w:rFonts w:ascii="Tahoma" w:hAnsi="Tahoma" w:cs="Tahoma"/>
          <w:sz w:val="20"/>
          <w:szCs w:val="20"/>
        </w:rPr>
        <w:t>místopředseda představenstva</w:t>
      </w:r>
    </w:p>
    <w:p w14:paraId="02AE0DCC" w14:textId="741C70A2" w:rsidR="00CE70FB" w:rsidRPr="002F7CB8" w:rsidRDefault="00CE70FB" w:rsidP="00CE70FB">
      <w:pPr>
        <w:widowControl w:val="0"/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iCs/>
          <w:sz w:val="20"/>
          <w:szCs w:val="20"/>
        </w:rPr>
      </w:pPr>
      <w:r w:rsidRPr="002F7CB8">
        <w:rPr>
          <w:rFonts w:ascii="Tahoma" w:hAnsi="Tahoma" w:cs="Tahoma"/>
          <w:sz w:val="20"/>
          <w:szCs w:val="20"/>
        </w:rPr>
        <w:tab/>
        <w:t>Mgr. PETR BIRKLEN – člen představenstva</w:t>
      </w:r>
    </w:p>
    <w:p w14:paraId="7608D630" w14:textId="77777777" w:rsidR="00F554F8" w:rsidRPr="00084257" w:rsidRDefault="00F554F8" w:rsidP="00F554F8">
      <w:pPr>
        <w:rPr>
          <w:rFonts w:ascii="Effra" w:hAnsi="Effra" w:cs="Effra"/>
        </w:rPr>
      </w:pPr>
    </w:p>
    <w:p w14:paraId="4C0DDC28" w14:textId="77777777" w:rsidR="00F554F8" w:rsidRPr="00084257" w:rsidRDefault="00F554F8" w:rsidP="00F554F8">
      <w:pPr>
        <w:rPr>
          <w:rFonts w:ascii="Effra" w:hAnsi="Effra" w:cs="Effra"/>
        </w:rPr>
      </w:pPr>
      <w:r w:rsidRPr="00084257">
        <w:rPr>
          <w:rStyle w:val="platne1"/>
          <w:rFonts w:ascii="Effra" w:hAnsi="Effra" w:cs="Effra"/>
          <w:color w:val="000000"/>
        </w:rPr>
        <w:t>jako „</w:t>
      </w:r>
      <w:r w:rsidRPr="00084257">
        <w:rPr>
          <w:rStyle w:val="platne1"/>
          <w:rFonts w:ascii="Effra" w:hAnsi="Effra" w:cs="Effra"/>
          <w:b/>
          <w:color w:val="000000"/>
        </w:rPr>
        <w:t>objednatel</w:t>
      </w:r>
      <w:r w:rsidRPr="00084257">
        <w:rPr>
          <w:rStyle w:val="platne1"/>
          <w:rFonts w:ascii="Effra" w:hAnsi="Effra" w:cs="Effra"/>
          <w:color w:val="000000"/>
        </w:rPr>
        <w:t>“ na straně jedné</w:t>
      </w:r>
    </w:p>
    <w:p w14:paraId="4AC3D9F3" w14:textId="77777777" w:rsidR="00F554F8" w:rsidRPr="00084257" w:rsidRDefault="00F554F8" w:rsidP="00F554F8">
      <w:pPr>
        <w:rPr>
          <w:rFonts w:ascii="Effra" w:hAnsi="Effra" w:cs="Effra"/>
        </w:rPr>
      </w:pPr>
    </w:p>
    <w:p w14:paraId="568D1CF0" w14:textId="77777777" w:rsidR="00F554F8" w:rsidRPr="00084257" w:rsidRDefault="00F554F8" w:rsidP="00F554F8">
      <w:pPr>
        <w:rPr>
          <w:rFonts w:ascii="Effra" w:hAnsi="Effra" w:cs="Effra"/>
        </w:rPr>
      </w:pPr>
      <w:r w:rsidRPr="00084257">
        <w:rPr>
          <w:rStyle w:val="platne1"/>
          <w:rFonts w:ascii="Effra" w:hAnsi="Effra" w:cs="Effra"/>
          <w:color w:val="000000"/>
        </w:rPr>
        <w:t>a</w:t>
      </w:r>
    </w:p>
    <w:p w14:paraId="2151EE7D" w14:textId="77777777" w:rsidR="005650E4" w:rsidRPr="005650E4" w:rsidRDefault="005650E4" w:rsidP="005650E4">
      <w:pPr>
        <w:widowControl w:val="0"/>
        <w:spacing w:before="240"/>
        <w:jc w:val="both"/>
        <w:rPr>
          <w:rStyle w:val="nowrap"/>
          <w:rFonts w:ascii="Effra" w:hAnsi="Effra" w:cs="Effra"/>
          <w:b/>
          <w:bCs/>
          <w:color w:val="000000"/>
        </w:rPr>
      </w:pPr>
      <w:r w:rsidRPr="005650E4">
        <w:rPr>
          <w:rStyle w:val="nowrap"/>
          <w:rFonts w:ascii="Effra" w:hAnsi="Effra" w:cs="Effra"/>
          <w:b/>
          <w:bCs/>
          <w:color w:val="000000"/>
        </w:rPr>
        <w:t xml:space="preserve">Společnost </w:t>
      </w:r>
      <w:proofErr w:type="spellStart"/>
      <w:r w:rsidRPr="005650E4">
        <w:rPr>
          <w:rStyle w:val="nowrap"/>
          <w:rFonts w:ascii="Effra" w:hAnsi="Effra" w:cs="Effra"/>
          <w:b/>
          <w:bCs/>
          <w:color w:val="000000"/>
        </w:rPr>
        <w:t>Next</w:t>
      </w:r>
      <w:proofErr w:type="spellEnd"/>
      <w:r w:rsidRPr="005650E4">
        <w:rPr>
          <w:rStyle w:val="nowrap"/>
          <w:rFonts w:ascii="Effra" w:hAnsi="Effra" w:cs="Effra"/>
          <w:b/>
          <w:bCs/>
          <w:color w:val="000000"/>
        </w:rPr>
        <w:t xml:space="preserve"> Studio s.r.o. + </w:t>
      </w:r>
      <w:proofErr w:type="spellStart"/>
      <w:r w:rsidRPr="005650E4">
        <w:rPr>
          <w:rStyle w:val="nowrap"/>
          <w:rFonts w:ascii="Effra" w:hAnsi="Effra" w:cs="Effra"/>
          <w:b/>
          <w:bCs/>
          <w:color w:val="000000"/>
        </w:rPr>
        <w:t>Technoprojekt</w:t>
      </w:r>
      <w:proofErr w:type="spellEnd"/>
      <w:r w:rsidRPr="005650E4">
        <w:rPr>
          <w:rStyle w:val="nowrap"/>
          <w:rFonts w:ascii="Effra" w:hAnsi="Effra" w:cs="Effra"/>
          <w:b/>
          <w:bCs/>
          <w:color w:val="000000"/>
        </w:rPr>
        <w:t>, a.s.</w:t>
      </w:r>
    </w:p>
    <w:p w14:paraId="17FE028E" w14:textId="77777777" w:rsidR="005650E4" w:rsidRPr="00084257" w:rsidRDefault="005650E4" w:rsidP="00F554F8">
      <w:pPr>
        <w:rPr>
          <w:rFonts w:ascii="Effra" w:hAnsi="Effra" w:cs="Effra"/>
        </w:rPr>
      </w:pPr>
    </w:p>
    <w:p w14:paraId="5333B213" w14:textId="0FB77E91" w:rsidR="005650E4" w:rsidRPr="00E06875" w:rsidRDefault="005650E4" w:rsidP="005650E4">
      <w:pPr>
        <w:rPr>
          <w:rStyle w:val="nowrap"/>
          <w:rFonts w:ascii="Effra" w:hAnsi="Effra" w:cs="Effra"/>
          <w:b/>
          <w:color w:val="000000"/>
        </w:rPr>
      </w:pPr>
      <w:proofErr w:type="spellStart"/>
      <w:r w:rsidRPr="00E06875">
        <w:rPr>
          <w:rStyle w:val="nowrap"/>
          <w:rFonts w:ascii="Effra" w:hAnsi="Effra" w:cs="Effra"/>
          <w:b/>
          <w:color w:val="000000"/>
        </w:rPr>
        <w:t>Next</w:t>
      </w:r>
      <w:proofErr w:type="spellEnd"/>
      <w:r w:rsidRPr="00E06875">
        <w:rPr>
          <w:rStyle w:val="nowrap"/>
          <w:rFonts w:ascii="Effra" w:hAnsi="Effra" w:cs="Effra"/>
          <w:b/>
          <w:color w:val="000000"/>
        </w:rPr>
        <w:t xml:space="preserve"> Studio s.r.o.</w:t>
      </w:r>
    </w:p>
    <w:p w14:paraId="01435FF8" w14:textId="6B8098DB" w:rsidR="005650E4" w:rsidRPr="005650E4" w:rsidRDefault="005650E4" w:rsidP="005650E4">
      <w:pPr>
        <w:rPr>
          <w:rStyle w:val="nowrap"/>
          <w:rFonts w:ascii="Effra" w:hAnsi="Effra" w:cs="Effra"/>
          <w:bCs/>
          <w:color w:val="000000"/>
        </w:rPr>
      </w:pPr>
      <w:r w:rsidRPr="005650E4">
        <w:rPr>
          <w:rStyle w:val="nowrap"/>
          <w:rFonts w:ascii="Effra" w:hAnsi="Effra" w:cs="Effra"/>
          <w:bCs/>
          <w:color w:val="000000"/>
        </w:rPr>
        <w:t>se sídlem: Zámostní 1155/27, 710 00 Ostrava – Slezská Ostrava</w:t>
      </w:r>
      <w:r w:rsidRPr="005650E4">
        <w:rPr>
          <w:rStyle w:val="nowrap"/>
          <w:rFonts w:ascii="Effra" w:hAnsi="Effra" w:cs="Effra"/>
          <w:bCs/>
          <w:color w:val="000000"/>
        </w:rPr>
        <w:tab/>
      </w:r>
    </w:p>
    <w:p w14:paraId="10C55123" w14:textId="3F74FE39" w:rsidR="005650E4" w:rsidRPr="005650E4" w:rsidRDefault="005650E4" w:rsidP="005650E4">
      <w:pPr>
        <w:rPr>
          <w:rStyle w:val="nowrap"/>
          <w:rFonts w:ascii="Effra" w:hAnsi="Effra" w:cs="Effra"/>
          <w:bCs/>
          <w:color w:val="000000"/>
        </w:rPr>
      </w:pPr>
      <w:r w:rsidRPr="005650E4">
        <w:rPr>
          <w:rStyle w:val="nowrap"/>
          <w:rFonts w:ascii="Effra" w:hAnsi="Effra" w:cs="Effra"/>
          <w:bCs/>
          <w:color w:val="000000"/>
        </w:rPr>
        <w:t xml:space="preserve">zastoupena: Vojtěchem Lekešem, </w:t>
      </w:r>
      <w:proofErr w:type="spellStart"/>
      <w:r w:rsidRPr="005650E4">
        <w:rPr>
          <w:rStyle w:val="nowrap"/>
          <w:rFonts w:ascii="Effra" w:hAnsi="Effra" w:cs="Effra"/>
          <w:bCs/>
          <w:color w:val="000000"/>
        </w:rPr>
        <w:t>Msc</w:t>
      </w:r>
      <w:proofErr w:type="spellEnd"/>
      <w:r w:rsidRPr="005650E4">
        <w:rPr>
          <w:rStyle w:val="nowrap"/>
          <w:rFonts w:ascii="Effra" w:hAnsi="Effra" w:cs="Effra"/>
          <w:bCs/>
          <w:color w:val="000000"/>
        </w:rPr>
        <w:t>. – jednatelem společnosti</w:t>
      </w:r>
      <w:r w:rsidRPr="005650E4">
        <w:rPr>
          <w:rStyle w:val="nowrap"/>
          <w:rFonts w:ascii="Effra" w:hAnsi="Effra" w:cs="Effra"/>
          <w:bCs/>
          <w:color w:val="000000"/>
        </w:rPr>
        <w:tab/>
      </w:r>
    </w:p>
    <w:p w14:paraId="7CC66D5A" w14:textId="0649A382" w:rsidR="005650E4" w:rsidRPr="005650E4" w:rsidRDefault="005650E4" w:rsidP="005650E4">
      <w:pPr>
        <w:rPr>
          <w:rStyle w:val="nowrap"/>
          <w:rFonts w:ascii="Effra" w:hAnsi="Effra" w:cs="Effra"/>
          <w:bCs/>
          <w:color w:val="000000"/>
        </w:rPr>
      </w:pPr>
      <w:r w:rsidRPr="005650E4">
        <w:rPr>
          <w:rStyle w:val="nowrap"/>
          <w:rFonts w:ascii="Effra" w:hAnsi="Effra" w:cs="Effra"/>
          <w:bCs/>
          <w:color w:val="000000"/>
        </w:rPr>
        <w:t>IČO: 08933481</w:t>
      </w:r>
      <w:r w:rsidRPr="005650E4">
        <w:rPr>
          <w:rStyle w:val="nowrap"/>
          <w:rFonts w:ascii="Effra" w:hAnsi="Effra" w:cs="Effra"/>
          <w:bCs/>
          <w:color w:val="000000"/>
        </w:rPr>
        <w:tab/>
      </w:r>
    </w:p>
    <w:p w14:paraId="635DFF88" w14:textId="52125AB0" w:rsidR="005650E4" w:rsidRPr="005650E4" w:rsidRDefault="005650E4" w:rsidP="005650E4">
      <w:pPr>
        <w:rPr>
          <w:rStyle w:val="nowrap"/>
          <w:rFonts w:ascii="Effra" w:hAnsi="Effra" w:cs="Effra"/>
          <w:bCs/>
          <w:color w:val="000000"/>
        </w:rPr>
      </w:pPr>
      <w:r w:rsidRPr="005650E4">
        <w:rPr>
          <w:rStyle w:val="nowrap"/>
          <w:rFonts w:ascii="Effra" w:hAnsi="Effra" w:cs="Effra"/>
          <w:bCs/>
          <w:color w:val="000000"/>
        </w:rPr>
        <w:t>DIČ: CZ08933481</w:t>
      </w:r>
      <w:r w:rsidRPr="005650E4">
        <w:rPr>
          <w:rStyle w:val="nowrap"/>
          <w:rFonts w:ascii="Effra" w:hAnsi="Effra" w:cs="Effra"/>
          <w:bCs/>
          <w:color w:val="000000"/>
        </w:rPr>
        <w:tab/>
      </w:r>
    </w:p>
    <w:p w14:paraId="2820E0F2" w14:textId="252DEF13" w:rsidR="005650E4" w:rsidRPr="005650E4" w:rsidRDefault="005650E4" w:rsidP="005650E4">
      <w:pPr>
        <w:rPr>
          <w:rStyle w:val="nowrap"/>
          <w:rFonts w:ascii="Effra" w:hAnsi="Effra" w:cs="Effra"/>
          <w:bCs/>
          <w:color w:val="000000"/>
        </w:rPr>
      </w:pPr>
      <w:r w:rsidRPr="005650E4">
        <w:rPr>
          <w:rStyle w:val="nowrap"/>
          <w:rFonts w:ascii="Effra" w:hAnsi="Effra" w:cs="Effra"/>
          <w:bCs/>
          <w:color w:val="000000"/>
        </w:rPr>
        <w:t>bankovní spojení: Fio Banka</w:t>
      </w:r>
      <w:r w:rsidRPr="005650E4">
        <w:rPr>
          <w:rStyle w:val="nowrap"/>
          <w:rFonts w:ascii="Effra" w:hAnsi="Effra" w:cs="Effra"/>
          <w:bCs/>
          <w:color w:val="000000"/>
        </w:rPr>
        <w:tab/>
      </w:r>
    </w:p>
    <w:p w14:paraId="106263E8" w14:textId="6E397D46" w:rsidR="005650E4" w:rsidRPr="005650E4" w:rsidRDefault="005650E4" w:rsidP="005650E4">
      <w:pPr>
        <w:rPr>
          <w:rStyle w:val="nowrap"/>
          <w:rFonts w:ascii="Effra" w:hAnsi="Effra" w:cs="Effra"/>
          <w:bCs/>
          <w:color w:val="000000"/>
        </w:rPr>
      </w:pPr>
      <w:r w:rsidRPr="005650E4">
        <w:rPr>
          <w:rStyle w:val="nowrap"/>
          <w:rFonts w:ascii="Effra" w:hAnsi="Effra" w:cs="Effra"/>
          <w:bCs/>
          <w:color w:val="000000"/>
        </w:rPr>
        <w:t>číslo účtu: 2501771830/2010</w:t>
      </w:r>
      <w:r w:rsidRPr="005650E4">
        <w:rPr>
          <w:rStyle w:val="nowrap"/>
          <w:rFonts w:ascii="Effra" w:hAnsi="Effra" w:cs="Effra"/>
          <w:bCs/>
          <w:color w:val="000000"/>
        </w:rPr>
        <w:tab/>
      </w:r>
    </w:p>
    <w:p w14:paraId="299F7367" w14:textId="77777777" w:rsidR="005650E4" w:rsidRPr="005650E4" w:rsidRDefault="005650E4" w:rsidP="005650E4">
      <w:pPr>
        <w:rPr>
          <w:rStyle w:val="nowrap"/>
          <w:rFonts w:ascii="Effra" w:hAnsi="Effra" w:cs="Effra"/>
          <w:bCs/>
          <w:color w:val="000000"/>
        </w:rPr>
      </w:pPr>
      <w:r w:rsidRPr="005650E4">
        <w:rPr>
          <w:rStyle w:val="nowrap"/>
          <w:rFonts w:ascii="Effra" w:hAnsi="Effra" w:cs="Effra"/>
          <w:bCs/>
          <w:color w:val="000000"/>
        </w:rPr>
        <w:t xml:space="preserve">Zapsána v obchodním rejstříku vedeném Krajským soudem v Ostravě, </w:t>
      </w:r>
      <w:proofErr w:type="spellStart"/>
      <w:r w:rsidRPr="005650E4">
        <w:rPr>
          <w:rStyle w:val="nowrap"/>
          <w:rFonts w:ascii="Effra" w:hAnsi="Effra" w:cs="Effra"/>
          <w:bCs/>
          <w:color w:val="000000"/>
        </w:rPr>
        <w:t>sp</w:t>
      </w:r>
      <w:proofErr w:type="spellEnd"/>
      <w:r w:rsidRPr="005650E4">
        <w:rPr>
          <w:rStyle w:val="nowrap"/>
          <w:rFonts w:ascii="Effra" w:hAnsi="Effra" w:cs="Effra"/>
          <w:bCs/>
          <w:color w:val="000000"/>
        </w:rPr>
        <w:t>. zn. C87353</w:t>
      </w:r>
    </w:p>
    <w:p w14:paraId="64A46677" w14:textId="77777777" w:rsidR="005650E4" w:rsidRPr="005650E4" w:rsidRDefault="005650E4" w:rsidP="005650E4">
      <w:pPr>
        <w:rPr>
          <w:rStyle w:val="nowrap"/>
          <w:rFonts w:ascii="Effra" w:hAnsi="Effra" w:cs="Effra"/>
          <w:bCs/>
          <w:color w:val="000000"/>
        </w:rPr>
      </w:pPr>
    </w:p>
    <w:p w14:paraId="651B1221" w14:textId="0D7F386D" w:rsidR="005650E4" w:rsidRPr="00E06875" w:rsidRDefault="005650E4" w:rsidP="005650E4">
      <w:pPr>
        <w:rPr>
          <w:rStyle w:val="nowrap"/>
          <w:rFonts w:ascii="Effra" w:hAnsi="Effra" w:cs="Effra"/>
          <w:b/>
          <w:color w:val="000000"/>
        </w:rPr>
      </w:pPr>
      <w:proofErr w:type="spellStart"/>
      <w:r w:rsidRPr="00E06875">
        <w:rPr>
          <w:rStyle w:val="nowrap"/>
          <w:rFonts w:ascii="Effra" w:hAnsi="Effra" w:cs="Effra"/>
          <w:b/>
          <w:color w:val="000000"/>
        </w:rPr>
        <w:t>Technoprojekt</w:t>
      </w:r>
      <w:proofErr w:type="spellEnd"/>
      <w:r w:rsidRPr="00E06875">
        <w:rPr>
          <w:rStyle w:val="nowrap"/>
          <w:rFonts w:ascii="Effra" w:hAnsi="Effra" w:cs="Effra"/>
          <w:b/>
          <w:color w:val="000000"/>
        </w:rPr>
        <w:t>, a.s.</w:t>
      </w:r>
    </w:p>
    <w:p w14:paraId="5A93626A" w14:textId="11FBDE44" w:rsidR="005650E4" w:rsidRPr="005650E4" w:rsidRDefault="005650E4" w:rsidP="005650E4">
      <w:pPr>
        <w:rPr>
          <w:rStyle w:val="nowrap"/>
          <w:rFonts w:ascii="Effra" w:hAnsi="Effra" w:cs="Effra"/>
          <w:bCs/>
          <w:color w:val="000000"/>
        </w:rPr>
      </w:pPr>
      <w:r w:rsidRPr="005650E4">
        <w:rPr>
          <w:rStyle w:val="nowrap"/>
          <w:rFonts w:ascii="Effra" w:hAnsi="Effra" w:cs="Effra"/>
          <w:bCs/>
          <w:color w:val="000000"/>
        </w:rPr>
        <w:t>se sídlem: Havlíčkovo nábřeží 2728/38, 702 00 Ostrava – Moravská Ostrava</w:t>
      </w:r>
      <w:r w:rsidRPr="005650E4">
        <w:rPr>
          <w:rStyle w:val="nowrap"/>
          <w:rFonts w:ascii="Effra" w:hAnsi="Effra" w:cs="Effra"/>
          <w:bCs/>
          <w:color w:val="000000"/>
        </w:rPr>
        <w:tab/>
      </w:r>
    </w:p>
    <w:p w14:paraId="633361F5" w14:textId="068A93EC" w:rsidR="005650E4" w:rsidRPr="005650E4" w:rsidRDefault="005650E4" w:rsidP="005650E4">
      <w:pPr>
        <w:rPr>
          <w:rStyle w:val="nowrap"/>
          <w:rFonts w:ascii="Effra" w:hAnsi="Effra" w:cs="Effra"/>
          <w:bCs/>
          <w:color w:val="000000"/>
        </w:rPr>
      </w:pPr>
      <w:r w:rsidRPr="005650E4">
        <w:rPr>
          <w:rStyle w:val="nowrap"/>
          <w:rFonts w:ascii="Effra" w:hAnsi="Effra" w:cs="Effra"/>
          <w:bCs/>
          <w:color w:val="000000"/>
        </w:rPr>
        <w:t xml:space="preserve">zastoupena: Ing. Martinem </w:t>
      </w:r>
      <w:proofErr w:type="spellStart"/>
      <w:r w:rsidRPr="005650E4">
        <w:rPr>
          <w:rStyle w:val="nowrap"/>
          <w:rFonts w:ascii="Effra" w:hAnsi="Effra" w:cs="Effra"/>
          <w:bCs/>
          <w:color w:val="000000"/>
        </w:rPr>
        <w:t>Zuštíkem</w:t>
      </w:r>
      <w:proofErr w:type="spellEnd"/>
      <w:r w:rsidRPr="005650E4">
        <w:rPr>
          <w:rStyle w:val="nowrap"/>
          <w:rFonts w:ascii="Effra" w:hAnsi="Effra" w:cs="Effra"/>
          <w:bCs/>
          <w:color w:val="000000"/>
        </w:rPr>
        <w:t>, předsedou správní rady</w:t>
      </w:r>
      <w:r w:rsidRPr="005650E4">
        <w:rPr>
          <w:rStyle w:val="nowrap"/>
          <w:rFonts w:ascii="Effra" w:hAnsi="Effra" w:cs="Effra"/>
          <w:bCs/>
          <w:color w:val="000000"/>
        </w:rPr>
        <w:tab/>
      </w:r>
    </w:p>
    <w:p w14:paraId="4541F1F5" w14:textId="0D598793" w:rsidR="005650E4" w:rsidRPr="005650E4" w:rsidRDefault="005650E4" w:rsidP="005650E4">
      <w:pPr>
        <w:rPr>
          <w:rStyle w:val="nowrap"/>
          <w:rFonts w:ascii="Effra" w:hAnsi="Effra" w:cs="Effra"/>
          <w:bCs/>
          <w:color w:val="000000"/>
        </w:rPr>
      </w:pPr>
      <w:r w:rsidRPr="005650E4">
        <w:rPr>
          <w:rStyle w:val="nowrap"/>
          <w:rFonts w:ascii="Effra" w:hAnsi="Effra" w:cs="Effra"/>
          <w:bCs/>
          <w:color w:val="000000"/>
        </w:rPr>
        <w:t>IČO: 27810054</w:t>
      </w:r>
      <w:r w:rsidRPr="005650E4">
        <w:rPr>
          <w:rStyle w:val="nowrap"/>
          <w:rFonts w:ascii="Effra" w:hAnsi="Effra" w:cs="Effra"/>
          <w:bCs/>
          <w:color w:val="000000"/>
        </w:rPr>
        <w:tab/>
      </w:r>
    </w:p>
    <w:p w14:paraId="4F62F1F2" w14:textId="3EB2C6C7" w:rsidR="00F554F8" w:rsidRPr="005650E4" w:rsidRDefault="005650E4" w:rsidP="005650E4">
      <w:pPr>
        <w:rPr>
          <w:rFonts w:ascii="Effra" w:hAnsi="Effra" w:cs="Effra"/>
          <w:bCs/>
        </w:rPr>
      </w:pPr>
      <w:r w:rsidRPr="005650E4">
        <w:rPr>
          <w:rStyle w:val="nowrap"/>
          <w:rFonts w:ascii="Effra" w:hAnsi="Effra" w:cs="Effra"/>
          <w:bCs/>
          <w:color w:val="000000"/>
        </w:rPr>
        <w:t>DIČ: CZ27810054</w:t>
      </w:r>
    </w:p>
    <w:p w14:paraId="21E8A7FC" w14:textId="77777777" w:rsidR="00F554F8" w:rsidRPr="00084257" w:rsidRDefault="00F554F8" w:rsidP="00F554F8">
      <w:pPr>
        <w:rPr>
          <w:rFonts w:ascii="Effra" w:hAnsi="Effra" w:cs="Effra"/>
        </w:rPr>
      </w:pPr>
    </w:p>
    <w:p w14:paraId="75812491" w14:textId="77777777" w:rsidR="00F554F8" w:rsidRPr="00084257" w:rsidRDefault="00F554F8" w:rsidP="00F554F8">
      <w:pPr>
        <w:rPr>
          <w:rFonts w:ascii="Effra" w:hAnsi="Effra" w:cs="Effra"/>
        </w:rPr>
      </w:pPr>
      <w:r w:rsidRPr="00084257">
        <w:rPr>
          <w:rStyle w:val="platne1"/>
          <w:rFonts w:ascii="Effra" w:hAnsi="Effra" w:cs="Effra"/>
          <w:color w:val="000000"/>
        </w:rPr>
        <w:t>jako „</w:t>
      </w:r>
      <w:r w:rsidRPr="00084257">
        <w:rPr>
          <w:rStyle w:val="platne1"/>
          <w:rFonts w:ascii="Effra" w:hAnsi="Effra" w:cs="Effra"/>
          <w:b/>
          <w:color w:val="000000"/>
        </w:rPr>
        <w:t>zhotovitel</w:t>
      </w:r>
      <w:r w:rsidRPr="00084257">
        <w:rPr>
          <w:rStyle w:val="platne1"/>
          <w:rFonts w:ascii="Effra" w:hAnsi="Effra" w:cs="Effra"/>
          <w:color w:val="000000"/>
        </w:rPr>
        <w:t>“ na straně druhé,</w:t>
      </w:r>
    </w:p>
    <w:p w14:paraId="7664CD74" w14:textId="77777777" w:rsidR="00F554F8" w:rsidRPr="00084257" w:rsidRDefault="00F554F8" w:rsidP="00F554F8">
      <w:pPr>
        <w:rPr>
          <w:rFonts w:ascii="Effra" w:hAnsi="Effra" w:cs="Effra"/>
        </w:rPr>
      </w:pPr>
    </w:p>
    <w:p w14:paraId="142AC1DF" w14:textId="77777777" w:rsidR="00F554F8" w:rsidRPr="00084257" w:rsidRDefault="00F554F8" w:rsidP="00F554F8">
      <w:pPr>
        <w:rPr>
          <w:rFonts w:ascii="Effra" w:hAnsi="Effra" w:cs="Effra"/>
        </w:rPr>
      </w:pPr>
      <w:r w:rsidRPr="00084257">
        <w:rPr>
          <w:rFonts w:ascii="Effra" w:hAnsi="Effra" w:cs="Effra"/>
        </w:rPr>
        <w:t>společně též jako „</w:t>
      </w:r>
      <w:r w:rsidRPr="00084257">
        <w:rPr>
          <w:rFonts w:ascii="Effra" w:hAnsi="Effra" w:cs="Effra"/>
          <w:b/>
          <w:bCs/>
        </w:rPr>
        <w:t>smluvní strany</w:t>
      </w:r>
      <w:r w:rsidRPr="00084257">
        <w:rPr>
          <w:rFonts w:ascii="Effra" w:hAnsi="Effra" w:cs="Effra"/>
        </w:rPr>
        <w:t>“</w:t>
      </w:r>
    </w:p>
    <w:p w14:paraId="475C3CB0" w14:textId="77777777" w:rsidR="00F554F8" w:rsidRPr="00084257" w:rsidRDefault="00F554F8" w:rsidP="00F554F8">
      <w:pPr>
        <w:rPr>
          <w:rFonts w:ascii="Effra" w:hAnsi="Effra" w:cs="Effra"/>
        </w:rPr>
      </w:pPr>
    </w:p>
    <w:p w14:paraId="3890FA03" w14:textId="7158CDF3" w:rsidR="00F554F8" w:rsidRPr="00084257" w:rsidRDefault="00F554F8" w:rsidP="00A23C17">
      <w:pPr>
        <w:jc w:val="both"/>
        <w:rPr>
          <w:rFonts w:ascii="Effra" w:hAnsi="Effra" w:cs="Effra"/>
        </w:rPr>
      </w:pPr>
      <w:r w:rsidRPr="00084257">
        <w:rPr>
          <w:rStyle w:val="platne1"/>
          <w:rFonts w:ascii="Effra" w:hAnsi="Effra" w:cs="Effra"/>
          <w:color w:val="000000"/>
        </w:rPr>
        <w:t xml:space="preserve">uzavírají </w:t>
      </w:r>
      <w:r w:rsidR="00DD34DB">
        <w:rPr>
          <w:rStyle w:val="platne1"/>
          <w:rFonts w:ascii="Effra" w:hAnsi="Effra" w:cs="Effra"/>
          <w:color w:val="000000"/>
        </w:rPr>
        <w:t xml:space="preserve">tento </w:t>
      </w:r>
      <w:r w:rsidR="00DD34DB" w:rsidRPr="00C32744">
        <w:rPr>
          <w:rStyle w:val="platne1"/>
          <w:rFonts w:ascii="Effra" w:hAnsi="Effra" w:cs="Effra"/>
          <w:b/>
          <w:color w:val="000000"/>
        </w:rPr>
        <w:t>dodatek č. 1 k předmětné smlouvě</w:t>
      </w:r>
      <w:r w:rsidRPr="00084257">
        <w:rPr>
          <w:rStyle w:val="platne1"/>
          <w:rFonts w:ascii="Effra" w:hAnsi="Effra" w:cs="Effra"/>
          <w:color w:val="000000"/>
        </w:rPr>
        <w:t xml:space="preserve"> </w:t>
      </w:r>
      <w:r w:rsidR="00C32744" w:rsidRPr="00C32744">
        <w:rPr>
          <w:rStyle w:val="platne1"/>
          <w:rFonts w:ascii="Effra" w:hAnsi="Effra" w:cs="Effra"/>
          <w:b/>
          <w:color w:val="000000"/>
        </w:rPr>
        <w:t xml:space="preserve">ze </w:t>
      </w:r>
      <w:r w:rsidR="00C32744" w:rsidRPr="00FC23A2">
        <w:rPr>
          <w:rStyle w:val="platne1"/>
          <w:rFonts w:ascii="Effra" w:hAnsi="Effra" w:cs="Effra"/>
          <w:b/>
          <w:color w:val="000000"/>
        </w:rPr>
        <w:t xml:space="preserve">dne </w:t>
      </w:r>
      <w:r w:rsidR="005650E4" w:rsidRPr="00FC23A2">
        <w:rPr>
          <w:rStyle w:val="platne1"/>
          <w:rFonts w:ascii="Effra" w:hAnsi="Effra" w:cs="Effra"/>
          <w:b/>
          <w:color w:val="000000"/>
        </w:rPr>
        <w:t>3</w:t>
      </w:r>
      <w:r w:rsidR="00FC23A2" w:rsidRPr="00FC23A2">
        <w:rPr>
          <w:rStyle w:val="platne1"/>
          <w:rFonts w:ascii="Effra" w:hAnsi="Effra" w:cs="Effra"/>
          <w:b/>
          <w:color w:val="000000"/>
        </w:rPr>
        <w:t>0</w:t>
      </w:r>
      <w:r w:rsidR="00C32744" w:rsidRPr="00FC23A2">
        <w:rPr>
          <w:rStyle w:val="platne1"/>
          <w:rFonts w:ascii="Effra" w:hAnsi="Effra" w:cs="Effra"/>
          <w:b/>
          <w:color w:val="000000"/>
        </w:rPr>
        <w:t>. 3. 202</w:t>
      </w:r>
      <w:r w:rsidR="005650E4" w:rsidRPr="00FC23A2">
        <w:rPr>
          <w:rStyle w:val="platne1"/>
          <w:rFonts w:ascii="Effra" w:hAnsi="Effra" w:cs="Effra"/>
          <w:b/>
          <w:color w:val="000000"/>
        </w:rPr>
        <w:t>2</w:t>
      </w:r>
      <w:r w:rsidR="00C32744">
        <w:rPr>
          <w:rStyle w:val="platne1"/>
          <w:rFonts w:ascii="Effra" w:hAnsi="Effra" w:cs="Effra"/>
          <w:color w:val="000000"/>
        </w:rPr>
        <w:t xml:space="preserve"> </w:t>
      </w:r>
      <w:r w:rsidRPr="00084257">
        <w:rPr>
          <w:rStyle w:val="platne1"/>
          <w:rFonts w:ascii="Effra" w:hAnsi="Effra" w:cs="Effra"/>
          <w:color w:val="000000"/>
        </w:rPr>
        <w:t>v souladu s</w:t>
      </w:r>
      <w:r w:rsidR="00506A91">
        <w:rPr>
          <w:rStyle w:val="platne1"/>
          <w:rFonts w:ascii="Effra" w:hAnsi="Effra" w:cs="Effra"/>
          <w:color w:val="000000"/>
        </w:rPr>
        <w:t> </w:t>
      </w:r>
      <w:r w:rsidRPr="00084257">
        <w:rPr>
          <w:rStyle w:val="platne1"/>
          <w:rFonts w:ascii="Effra" w:hAnsi="Effra" w:cs="Effra"/>
          <w:color w:val="000000"/>
        </w:rPr>
        <w:t>ust</w:t>
      </w:r>
      <w:r w:rsidR="00B85AF0" w:rsidRPr="00084257">
        <w:rPr>
          <w:rStyle w:val="platne1"/>
          <w:rFonts w:ascii="Effra" w:hAnsi="Effra" w:cs="Effra"/>
          <w:color w:val="000000"/>
        </w:rPr>
        <w:t>anovení</w:t>
      </w:r>
      <w:r w:rsidR="00506A91">
        <w:rPr>
          <w:rStyle w:val="platne1"/>
          <w:rFonts w:ascii="Effra" w:hAnsi="Effra" w:cs="Effra"/>
          <w:color w:val="000000"/>
        </w:rPr>
        <w:t>m § 1901 a</w:t>
      </w:r>
      <w:r w:rsidR="00B85AF0" w:rsidRPr="00084257">
        <w:rPr>
          <w:rStyle w:val="platne1"/>
          <w:rFonts w:ascii="Effra" w:hAnsi="Effra" w:cs="Effra"/>
          <w:color w:val="000000"/>
        </w:rPr>
        <w:t xml:space="preserve"> </w:t>
      </w:r>
      <w:r w:rsidRPr="00084257">
        <w:rPr>
          <w:rStyle w:val="platne1"/>
          <w:rFonts w:ascii="Effra" w:hAnsi="Effra" w:cs="Effra"/>
          <w:color w:val="000000"/>
        </w:rPr>
        <w:t>§ 2586 a násl. Zákona č. 89/2012 Sb., občanského zákoníku, ve znění pozdějších předpisů:</w:t>
      </w:r>
    </w:p>
    <w:p w14:paraId="2CD42945" w14:textId="77777777" w:rsidR="00F554F8" w:rsidRPr="00084257" w:rsidRDefault="00F554F8" w:rsidP="00F554F8">
      <w:pPr>
        <w:jc w:val="center"/>
        <w:rPr>
          <w:rStyle w:val="platne1"/>
          <w:rFonts w:ascii="Effra" w:hAnsi="Effra" w:cs="Effra"/>
          <w:b/>
          <w:color w:val="000000"/>
        </w:rPr>
      </w:pPr>
    </w:p>
    <w:p w14:paraId="62401049" w14:textId="2061F45D" w:rsidR="00F554F8" w:rsidRDefault="00F554F8" w:rsidP="00F554F8">
      <w:pPr>
        <w:jc w:val="center"/>
        <w:rPr>
          <w:rStyle w:val="platne1"/>
          <w:rFonts w:ascii="Effra" w:hAnsi="Effra" w:cs="Effra"/>
          <w:b/>
          <w:color w:val="000000"/>
        </w:rPr>
      </w:pPr>
      <w:r w:rsidRPr="00084257">
        <w:rPr>
          <w:rStyle w:val="platne1"/>
          <w:rFonts w:ascii="Effra" w:hAnsi="Effra" w:cs="Effra"/>
          <w:b/>
          <w:color w:val="000000"/>
        </w:rPr>
        <w:t>I.</w:t>
      </w:r>
    </w:p>
    <w:p w14:paraId="373B4AE0" w14:textId="2755B755" w:rsidR="00F0103E" w:rsidRDefault="00F0103E" w:rsidP="00F0103E">
      <w:pPr>
        <w:jc w:val="center"/>
        <w:rPr>
          <w:rStyle w:val="platne1"/>
          <w:rFonts w:ascii="Effra" w:hAnsi="Effra" w:cs="Effra"/>
          <w:b/>
          <w:color w:val="000000"/>
        </w:rPr>
      </w:pPr>
      <w:r>
        <w:rPr>
          <w:rStyle w:val="platne1"/>
          <w:rFonts w:ascii="Effra" w:hAnsi="Effra" w:cs="Effra"/>
          <w:b/>
          <w:color w:val="000000"/>
        </w:rPr>
        <w:t>Úvodní ustanovení</w:t>
      </w:r>
    </w:p>
    <w:p w14:paraId="4EBDA0A7" w14:textId="77777777" w:rsidR="00F554F8" w:rsidRPr="005650E4" w:rsidRDefault="00F554F8" w:rsidP="00F554F8">
      <w:pPr>
        <w:jc w:val="center"/>
        <w:rPr>
          <w:rStyle w:val="platne1"/>
          <w:color w:val="000000"/>
        </w:rPr>
      </w:pPr>
    </w:p>
    <w:p w14:paraId="113EA510" w14:textId="507C730D" w:rsidR="00835F35" w:rsidRPr="00F0103E" w:rsidRDefault="005650E4" w:rsidP="00F0103E">
      <w:pPr>
        <w:pStyle w:val="Odstavecseseznamem"/>
        <w:numPr>
          <w:ilvl w:val="0"/>
          <w:numId w:val="28"/>
        </w:numPr>
        <w:jc w:val="both"/>
        <w:rPr>
          <w:rStyle w:val="platne1"/>
          <w:rFonts w:ascii="Effra" w:hAnsi="Effra" w:cs="Effra"/>
          <w:color w:val="000000"/>
          <w:sz w:val="24"/>
          <w:szCs w:val="24"/>
        </w:rPr>
      </w:pPr>
      <w:r w:rsidRPr="00FC23A2">
        <w:rPr>
          <w:rStyle w:val="platne1"/>
          <w:rFonts w:ascii="Effra" w:hAnsi="Effra" w:cs="Effra"/>
          <w:color w:val="000000"/>
          <w:sz w:val="24"/>
          <w:szCs w:val="24"/>
        </w:rPr>
        <w:t>Dne 3</w:t>
      </w:r>
      <w:r w:rsidR="00FC23A2" w:rsidRPr="00FC23A2">
        <w:rPr>
          <w:rStyle w:val="platne1"/>
          <w:rFonts w:ascii="Effra" w:hAnsi="Effra" w:cs="Effra"/>
          <w:color w:val="000000"/>
          <w:sz w:val="24"/>
          <w:szCs w:val="24"/>
        </w:rPr>
        <w:t>0</w:t>
      </w:r>
      <w:r w:rsidRPr="00FC23A2">
        <w:rPr>
          <w:rStyle w:val="platne1"/>
          <w:rFonts w:ascii="Effra" w:hAnsi="Effra" w:cs="Effra"/>
          <w:color w:val="000000"/>
          <w:sz w:val="24"/>
          <w:szCs w:val="24"/>
        </w:rPr>
        <w:t>.3.2022</w:t>
      </w:r>
      <w:r w:rsidRPr="00F0103E">
        <w:rPr>
          <w:rStyle w:val="platne1"/>
          <w:rFonts w:ascii="Effra" w:hAnsi="Effra" w:cs="Effra"/>
          <w:color w:val="000000"/>
          <w:sz w:val="24"/>
          <w:szCs w:val="24"/>
        </w:rPr>
        <w:t xml:space="preserve"> byla na základě veřejné zakázky </w:t>
      </w:r>
      <w:r w:rsidR="00A64A37" w:rsidRPr="00F0103E">
        <w:rPr>
          <w:rStyle w:val="platne1"/>
          <w:rFonts w:ascii="Effra" w:hAnsi="Effra" w:cs="Effra"/>
          <w:color w:val="000000"/>
          <w:sz w:val="24"/>
          <w:szCs w:val="24"/>
        </w:rPr>
        <w:t>„Komplexní zpracování předprojektové dokumentace – POHO PARK GABRIELA“</w:t>
      </w:r>
      <w:r w:rsidR="00B069D0" w:rsidRPr="00F0103E">
        <w:rPr>
          <w:rStyle w:val="platne1"/>
          <w:rFonts w:ascii="Effra" w:hAnsi="Effra" w:cs="Effra"/>
          <w:color w:val="000000"/>
          <w:sz w:val="24"/>
          <w:szCs w:val="24"/>
        </w:rPr>
        <w:t xml:space="preserve"> mezi objednatelem a zhotovitelem</w:t>
      </w:r>
      <w:r w:rsidR="00A64A37" w:rsidRPr="00F0103E">
        <w:rPr>
          <w:rStyle w:val="platne1"/>
          <w:rFonts w:ascii="Effra" w:hAnsi="Effra" w:cs="Effra"/>
          <w:color w:val="000000"/>
          <w:sz w:val="24"/>
          <w:szCs w:val="24"/>
        </w:rPr>
        <w:t xml:space="preserve"> uzavřena Smlouva na zhotovení předprojektové dokumentace projektu vedeného pod pracovním názvem POHO PARK GABRIELA</w:t>
      </w:r>
      <w:r w:rsidR="00835F35" w:rsidRPr="00F0103E">
        <w:rPr>
          <w:rStyle w:val="platne1"/>
          <w:rFonts w:ascii="Effra" w:hAnsi="Effra" w:cs="Effra"/>
          <w:color w:val="000000"/>
          <w:sz w:val="24"/>
          <w:szCs w:val="24"/>
        </w:rPr>
        <w:t xml:space="preserve"> (dále jen „Smlouva“)</w:t>
      </w:r>
      <w:r w:rsidR="00A64A37" w:rsidRPr="00F0103E">
        <w:rPr>
          <w:rFonts w:ascii="Effra" w:hAnsi="Effra" w:cs="Effra"/>
          <w:i/>
          <w:iCs/>
          <w:sz w:val="24"/>
          <w:szCs w:val="24"/>
        </w:rPr>
        <w:t xml:space="preserve">. </w:t>
      </w:r>
      <w:r w:rsidRPr="00F0103E">
        <w:rPr>
          <w:rStyle w:val="platne1"/>
          <w:rFonts w:ascii="Effra" w:hAnsi="Effra" w:cs="Effra"/>
          <w:color w:val="000000"/>
          <w:sz w:val="24"/>
          <w:szCs w:val="24"/>
        </w:rPr>
        <w:t>Jedn</w:t>
      </w:r>
      <w:r w:rsidR="00B069D0" w:rsidRPr="00F0103E">
        <w:rPr>
          <w:rStyle w:val="platne1"/>
          <w:rFonts w:ascii="Effra" w:hAnsi="Effra" w:cs="Effra"/>
          <w:color w:val="000000"/>
          <w:sz w:val="24"/>
          <w:szCs w:val="24"/>
        </w:rPr>
        <w:t xml:space="preserve">ou </w:t>
      </w:r>
      <w:r w:rsidR="00835F35" w:rsidRPr="00F0103E">
        <w:rPr>
          <w:rStyle w:val="platne1"/>
          <w:rFonts w:ascii="Effra" w:hAnsi="Effra" w:cs="Effra"/>
          <w:color w:val="000000"/>
          <w:sz w:val="24"/>
          <w:szCs w:val="24"/>
        </w:rPr>
        <w:t>částí z</w:t>
      </w:r>
      <w:r w:rsidRPr="00F0103E">
        <w:rPr>
          <w:rStyle w:val="platne1"/>
          <w:rFonts w:ascii="Effra" w:hAnsi="Effra" w:cs="Effra"/>
          <w:color w:val="000000"/>
          <w:sz w:val="24"/>
          <w:szCs w:val="24"/>
        </w:rPr>
        <w:t> výstupů S</w:t>
      </w:r>
      <w:r w:rsidR="00A64A37" w:rsidRPr="00F0103E">
        <w:rPr>
          <w:rStyle w:val="platne1"/>
          <w:rFonts w:ascii="Effra" w:hAnsi="Effra" w:cs="Effra"/>
          <w:color w:val="000000"/>
          <w:sz w:val="24"/>
          <w:szCs w:val="24"/>
        </w:rPr>
        <w:t>mlouvy</w:t>
      </w:r>
      <w:r w:rsidRPr="00F0103E">
        <w:rPr>
          <w:rStyle w:val="platne1"/>
          <w:rFonts w:ascii="Effra" w:hAnsi="Effra" w:cs="Effra"/>
          <w:color w:val="000000"/>
          <w:sz w:val="24"/>
          <w:szCs w:val="24"/>
        </w:rPr>
        <w:t xml:space="preserve"> </w:t>
      </w:r>
      <w:r w:rsidRPr="00F0103E">
        <w:rPr>
          <w:rStyle w:val="platne1"/>
          <w:rFonts w:ascii="Effra" w:hAnsi="Effra" w:cs="Effra"/>
          <w:color w:val="000000"/>
          <w:sz w:val="24"/>
          <w:szCs w:val="24"/>
        </w:rPr>
        <w:lastRenderedPageBreak/>
        <w:t xml:space="preserve">je studie proveditelnosti. Předložení této podrobné studie proveditelnosti a logického rámce </w:t>
      </w:r>
      <w:r w:rsidR="00835F35" w:rsidRPr="00F0103E">
        <w:rPr>
          <w:rStyle w:val="platne1"/>
          <w:rFonts w:ascii="Effra" w:hAnsi="Effra" w:cs="Effra"/>
          <w:color w:val="000000"/>
          <w:sz w:val="24"/>
          <w:szCs w:val="24"/>
        </w:rPr>
        <w:t xml:space="preserve">je </w:t>
      </w:r>
      <w:r w:rsidRPr="00F0103E">
        <w:rPr>
          <w:rStyle w:val="platne1"/>
          <w:rFonts w:ascii="Effra" w:hAnsi="Effra" w:cs="Effra"/>
          <w:color w:val="000000"/>
          <w:sz w:val="24"/>
          <w:szCs w:val="24"/>
        </w:rPr>
        <w:t xml:space="preserve">povinným krokem při předkládání žádosti o podporu strategických projektů do řádných výzev </w:t>
      </w:r>
      <w:bookmarkStart w:id="0" w:name="_Hlk112838314"/>
      <w:r w:rsidRPr="00F0103E">
        <w:rPr>
          <w:rStyle w:val="platne1"/>
          <w:rFonts w:ascii="Effra" w:hAnsi="Effra" w:cs="Effra"/>
          <w:color w:val="000000"/>
          <w:sz w:val="24"/>
          <w:szCs w:val="24"/>
        </w:rPr>
        <w:t>vyhlášených Ministerstvem životního prostředí v rámci Operačního programu Spravedlivá transformace</w:t>
      </w:r>
      <w:r w:rsidR="00835F35" w:rsidRPr="00F0103E">
        <w:rPr>
          <w:rStyle w:val="platne1"/>
          <w:rFonts w:ascii="Effra" w:hAnsi="Effra" w:cs="Effra"/>
          <w:color w:val="000000"/>
          <w:sz w:val="24"/>
          <w:szCs w:val="24"/>
        </w:rPr>
        <w:t xml:space="preserve">. </w:t>
      </w:r>
    </w:p>
    <w:bookmarkEnd w:id="0"/>
    <w:p w14:paraId="3F2420C1" w14:textId="6A66E85C" w:rsidR="005650E4" w:rsidRPr="00F0103E" w:rsidRDefault="00356A59" w:rsidP="00F0103E">
      <w:pPr>
        <w:pStyle w:val="Odstavecseseznamem"/>
        <w:numPr>
          <w:ilvl w:val="0"/>
          <w:numId w:val="28"/>
        </w:numPr>
        <w:jc w:val="both"/>
        <w:rPr>
          <w:rStyle w:val="platne1"/>
          <w:rFonts w:ascii="Effra" w:hAnsi="Effra" w:cs="Effra"/>
          <w:color w:val="000000"/>
          <w:sz w:val="24"/>
          <w:szCs w:val="24"/>
        </w:rPr>
      </w:pPr>
      <w:r>
        <w:rPr>
          <w:rStyle w:val="platne1"/>
          <w:rFonts w:ascii="Effra" w:hAnsi="Effra" w:cs="Effra"/>
          <w:color w:val="000000"/>
          <w:sz w:val="24"/>
          <w:szCs w:val="24"/>
        </w:rPr>
        <w:t xml:space="preserve">Podmínky výzvy výše uvedeného operačního programu tvoří významný podklad pro dokončení studie proveditelnosti. </w:t>
      </w:r>
      <w:r w:rsidR="00B750D1">
        <w:rPr>
          <w:rStyle w:val="platne1"/>
          <w:rFonts w:ascii="Effra" w:hAnsi="Effra" w:cs="Effra"/>
          <w:color w:val="000000"/>
          <w:sz w:val="24"/>
          <w:szCs w:val="24"/>
        </w:rPr>
        <w:t>Proti ohlášenému předpokladu, který platil v době uzavření Smlouvy, došlo z</w:t>
      </w:r>
      <w:r>
        <w:rPr>
          <w:rStyle w:val="platne1"/>
          <w:rFonts w:ascii="Effra" w:hAnsi="Effra" w:cs="Effra"/>
          <w:color w:val="000000"/>
          <w:sz w:val="24"/>
          <w:szCs w:val="24"/>
        </w:rPr>
        <w:t xml:space="preserve">e strany poskytovatele </w:t>
      </w:r>
      <w:r w:rsidR="002F6392">
        <w:rPr>
          <w:rStyle w:val="platne1"/>
          <w:rFonts w:ascii="Effra" w:hAnsi="Effra" w:cs="Effra"/>
          <w:color w:val="000000"/>
          <w:sz w:val="24"/>
          <w:szCs w:val="24"/>
        </w:rPr>
        <w:t>dotace k</w:t>
      </w:r>
      <w:r w:rsidR="00972CBB">
        <w:rPr>
          <w:rStyle w:val="platne1"/>
          <w:rFonts w:ascii="Effra" w:hAnsi="Effra" w:cs="Effra"/>
          <w:color w:val="000000"/>
          <w:sz w:val="24"/>
          <w:szCs w:val="24"/>
        </w:rPr>
        <w:t> výraznému posunu termínu</w:t>
      </w:r>
      <w:r>
        <w:rPr>
          <w:rStyle w:val="platne1"/>
          <w:rFonts w:ascii="Effra" w:hAnsi="Effra" w:cs="Effra"/>
          <w:color w:val="000000"/>
          <w:sz w:val="24"/>
          <w:szCs w:val="24"/>
        </w:rPr>
        <w:t xml:space="preserve"> vyhlášení dotační výzvy </w:t>
      </w:r>
      <w:r w:rsidR="00B750D1">
        <w:rPr>
          <w:rStyle w:val="platne1"/>
          <w:rFonts w:ascii="Effra" w:hAnsi="Effra" w:cs="Effra"/>
          <w:color w:val="000000"/>
          <w:sz w:val="24"/>
          <w:szCs w:val="24"/>
        </w:rPr>
        <w:t>a tím zveřejnění podmínek dotace</w:t>
      </w:r>
      <w:r w:rsidR="00097B38">
        <w:rPr>
          <w:rStyle w:val="platne1"/>
          <w:rFonts w:ascii="Effra" w:hAnsi="Effra" w:cs="Effra"/>
          <w:color w:val="000000"/>
          <w:sz w:val="24"/>
          <w:szCs w:val="24"/>
        </w:rPr>
        <w:t>, když původní termín vyhlášení výzvy byl stanoven na měsíc červen 2022, avšak výzva bude vyhlášena až v měsíci říjnu 2022</w:t>
      </w:r>
      <w:r>
        <w:rPr>
          <w:rStyle w:val="platne1"/>
          <w:rFonts w:ascii="Effra" w:hAnsi="Effra" w:cs="Effra"/>
          <w:color w:val="000000"/>
          <w:sz w:val="24"/>
          <w:szCs w:val="24"/>
        </w:rPr>
        <w:t xml:space="preserve">. </w:t>
      </w:r>
      <w:r w:rsidRPr="00835F35">
        <w:rPr>
          <w:rFonts w:ascii="Effra" w:hAnsi="Effra" w:cs="Effra"/>
          <w:sz w:val="24"/>
          <w:szCs w:val="24"/>
        </w:rPr>
        <w:t xml:space="preserve">Tyto skutečnosti vznikly v důsledku okolností, které </w:t>
      </w:r>
      <w:r w:rsidR="00FC23A2">
        <w:rPr>
          <w:rFonts w:ascii="Effra" w:hAnsi="Effra" w:cs="Effra"/>
          <w:sz w:val="24"/>
          <w:szCs w:val="24"/>
        </w:rPr>
        <w:t>objednatel</w:t>
      </w:r>
      <w:r w:rsidRPr="00835F35">
        <w:rPr>
          <w:rFonts w:ascii="Effra" w:hAnsi="Effra" w:cs="Effra"/>
          <w:sz w:val="24"/>
          <w:szCs w:val="24"/>
        </w:rPr>
        <w:t xml:space="preserve"> jednající s náležitou péčí nemohl předvídat a nemění celkovou povahu veřejné zakázky</w:t>
      </w:r>
      <w:r w:rsidR="004B78B1">
        <w:rPr>
          <w:rFonts w:ascii="Effra" w:hAnsi="Effra" w:cs="Effra"/>
          <w:sz w:val="24"/>
          <w:szCs w:val="24"/>
        </w:rPr>
        <w:t xml:space="preserve"> ani původní hodnotu závazku</w:t>
      </w:r>
      <w:r w:rsidRPr="00835F35">
        <w:rPr>
          <w:rFonts w:ascii="Effra" w:hAnsi="Effra" w:cs="Effra"/>
          <w:sz w:val="24"/>
          <w:szCs w:val="24"/>
        </w:rPr>
        <w:t xml:space="preserve">, avšak jsou nezbytné k dokončení díla. </w:t>
      </w:r>
      <w:r>
        <w:rPr>
          <w:rStyle w:val="platne1"/>
          <w:rFonts w:ascii="Effra" w:hAnsi="Effra" w:cs="Effra"/>
          <w:color w:val="000000"/>
          <w:sz w:val="24"/>
          <w:szCs w:val="24"/>
        </w:rPr>
        <w:t xml:space="preserve"> </w:t>
      </w:r>
      <w:r w:rsidR="00835F35" w:rsidRPr="00F0103E">
        <w:rPr>
          <w:rStyle w:val="platne1"/>
          <w:rFonts w:ascii="Effra" w:hAnsi="Effra" w:cs="Effra"/>
          <w:color w:val="000000"/>
          <w:sz w:val="24"/>
          <w:szCs w:val="24"/>
        </w:rPr>
        <w:t>V souladu s čl. XI</w:t>
      </w:r>
      <w:r w:rsidR="004B78B1">
        <w:rPr>
          <w:rStyle w:val="platne1"/>
          <w:rFonts w:ascii="Effra" w:hAnsi="Effra" w:cs="Effra"/>
          <w:color w:val="000000"/>
          <w:sz w:val="24"/>
          <w:szCs w:val="24"/>
        </w:rPr>
        <w:t>I</w:t>
      </w:r>
      <w:r w:rsidR="00835F35" w:rsidRPr="00F0103E">
        <w:rPr>
          <w:rStyle w:val="platne1"/>
          <w:rFonts w:ascii="Effra" w:hAnsi="Effra" w:cs="Effra"/>
          <w:color w:val="000000"/>
          <w:sz w:val="24"/>
          <w:szCs w:val="24"/>
        </w:rPr>
        <w:t xml:space="preserve">, odst. 1. Smlouvy se </w:t>
      </w:r>
      <w:r>
        <w:rPr>
          <w:rStyle w:val="platne1"/>
          <w:rFonts w:ascii="Effra" w:hAnsi="Effra" w:cs="Effra"/>
          <w:color w:val="000000"/>
          <w:sz w:val="24"/>
          <w:szCs w:val="24"/>
        </w:rPr>
        <w:t xml:space="preserve">proto </w:t>
      </w:r>
      <w:r w:rsidR="00835F35" w:rsidRPr="00F0103E">
        <w:rPr>
          <w:rStyle w:val="platne1"/>
          <w:rFonts w:ascii="Effra" w:hAnsi="Effra" w:cs="Effra"/>
          <w:color w:val="000000"/>
          <w:sz w:val="24"/>
          <w:szCs w:val="24"/>
        </w:rPr>
        <w:t>smluvní strany dohodly na uzavření tohoto dodatku č. 1 (dále jen „Dodatek“).</w:t>
      </w:r>
    </w:p>
    <w:p w14:paraId="5A12BB5F" w14:textId="77777777" w:rsidR="00DD34DB" w:rsidRDefault="00DD34DB" w:rsidP="00F0103E">
      <w:pPr>
        <w:jc w:val="both"/>
      </w:pPr>
    </w:p>
    <w:p w14:paraId="1BAB2306" w14:textId="1E66F180" w:rsidR="00F554F8" w:rsidRDefault="00F554F8" w:rsidP="00F0103E">
      <w:pPr>
        <w:suppressAutoHyphens/>
        <w:spacing w:after="102"/>
        <w:ind w:left="360"/>
        <w:jc w:val="center"/>
        <w:rPr>
          <w:rStyle w:val="platne1"/>
          <w:rFonts w:ascii="Effra" w:hAnsi="Effra" w:cs="Effra"/>
          <w:b/>
          <w:color w:val="000000"/>
        </w:rPr>
      </w:pPr>
      <w:r w:rsidRPr="00084257">
        <w:rPr>
          <w:rStyle w:val="platne1"/>
          <w:rFonts w:ascii="Effra" w:hAnsi="Effra" w:cs="Effra"/>
          <w:b/>
          <w:color w:val="000000"/>
        </w:rPr>
        <w:t>II.</w:t>
      </w:r>
    </w:p>
    <w:p w14:paraId="6E4B8920" w14:textId="236AE658" w:rsidR="00F0103E" w:rsidRPr="00084257" w:rsidRDefault="00F0103E" w:rsidP="00F0103E">
      <w:pPr>
        <w:suppressAutoHyphens/>
        <w:spacing w:after="102"/>
        <w:ind w:left="360"/>
        <w:jc w:val="center"/>
        <w:rPr>
          <w:rStyle w:val="platne1"/>
          <w:rFonts w:ascii="Effra" w:hAnsi="Effra" w:cs="Effra"/>
          <w:b/>
          <w:color w:val="000000"/>
        </w:rPr>
      </w:pPr>
      <w:r>
        <w:rPr>
          <w:rStyle w:val="platne1"/>
          <w:rFonts w:ascii="Effra" w:hAnsi="Effra" w:cs="Effra"/>
          <w:b/>
          <w:color w:val="000000"/>
        </w:rPr>
        <w:t>Předmět dodatku</w:t>
      </w:r>
    </w:p>
    <w:p w14:paraId="7AEBD13D" w14:textId="367999FD" w:rsidR="00835F35" w:rsidRPr="00835F35" w:rsidRDefault="00835F35" w:rsidP="00F0103E">
      <w:pPr>
        <w:pStyle w:val="Odstavecseseznamem"/>
        <w:numPr>
          <w:ilvl w:val="0"/>
          <w:numId w:val="29"/>
        </w:numPr>
        <w:jc w:val="both"/>
        <w:rPr>
          <w:rFonts w:ascii="Effra" w:hAnsi="Effra" w:cs="Effra"/>
          <w:sz w:val="24"/>
          <w:szCs w:val="24"/>
        </w:rPr>
      </w:pPr>
      <w:r w:rsidRPr="00835F35">
        <w:rPr>
          <w:rFonts w:ascii="Effra" w:hAnsi="Effra" w:cs="Effra"/>
          <w:sz w:val="24"/>
          <w:szCs w:val="24"/>
        </w:rPr>
        <w:t>Tímto Dodatkem se smluvní strany dohodly na přerušení prací</w:t>
      </w:r>
      <w:r w:rsidR="00356A59">
        <w:rPr>
          <w:rFonts w:ascii="Effra" w:hAnsi="Effra" w:cs="Effra"/>
          <w:sz w:val="24"/>
          <w:szCs w:val="24"/>
        </w:rPr>
        <w:t xml:space="preserve"> na první části díla, tj. na zpracování studie proveditelnosti</w:t>
      </w:r>
      <w:r w:rsidRPr="00835F35">
        <w:rPr>
          <w:rFonts w:ascii="Effra" w:hAnsi="Effra" w:cs="Effra"/>
          <w:sz w:val="24"/>
          <w:szCs w:val="24"/>
        </w:rPr>
        <w:t xml:space="preserve">. Důvodem je skutečnost, že během prací na předmětu díla dosud nedošlo ze strany poskytovatele dotace ke zveřejnění informací mající vliv na obsah díla. V souvislosti s posunem termínu vyhlášení výzvy </w:t>
      </w:r>
      <w:r w:rsidR="001205F1">
        <w:rPr>
          <w:rFonts w:ascii="Effra" w:hAnsi="Effra" w:cs="Effra"/>
          <w:sz w:val="24"/>
          <w:szCs w:val="24"/>
        </w:rPr>
        <w:t xml:space="preserve">na </w:t>
      </w:r>
      <w:r w:rsidR="001205F1" w:rsidRPr="001205F1">
        <w:rPr>
          <w:rFonts w:ascii="Effra" w:hAnsi="Effra" w:cs="Effra"/>
          <w:sz w:val="24"/>
          <w:szCs w:val="24"/>
        </w:rPr>
        <w:t xml:space="preserve">podporu strategických projektů </w:t>
      </w:r>
      <w:r w:rsidR="001205F1">
        <w:rPr>
          <w:rFonts w:ascii="Effra" w:hAnsi="Effra" w:cs="Effra"/>
          <w:sz w:val="24"/>
          <w:szCs w:val="24"/>
        </w:rPr>
        <w:t>Operačního programu Spravedlivá transformace</w:t>
      </w:r>
      <w:r w:rsidRPr="00835F35">
        <w:rPr>
          <w:rFonts w:ascii="Effra" w:hAnsi="Effra" w:cs="Effra"/>
          <w:sz w:val="24"/>
          <w:szCs w:val="24"/>
        </w:rPr>
        <w:t xml:space="preserve"> a tím i zveřejnění podmínek žádosti o dotaci, pro kterou je studie proveditelnosti připravována, se smluvní strany dohodly na následujícím: </w:t>
      </w:r>
    </w:p>
    <w:p w14:paraId="43C714CF" w14:textId="074FBC99" w:rsidR="00835F35" w:rsidRPr="00835F35" w:rsidRDefault="00835F35" w:rsidP="00F0103E">
      <w:pPr>
        <w:pStyle w:val="Odstavecseseznamem"/>
        <w:numPr>
          <w:ilvl w:val="0"/>
          <w:numId w:val="25"/>
        </w:numPr>
        <w:spacing w:after="120" w:line="240" w:lineRule="auto"/>
        <w:ind w:left="1066" w:hanging="357"/>
        <w:contextualSpacing w:val="0"/>
        <w:jc w:val="both"/>
        <w:rPr>
          <w:rFonts w:ascii="Effra" w:eastAsia="Times New Roman" w:hAnsi="Effra" w:cs="Effra"/>
          <w:sz w:val="24"/>
          <w:szCs w:val="24"/>
        </w:rPr>
      </w:pPr>
      <w:r w:rsidRPr="00835F35">
        <w:rPr>
          <w:rFonts w:ascii="Effra" w:eastAsia="Times New Roman" w:hAnsi="Effra" w:cs="Effra"/>
          <w:sz w:val="24"/>
          <w:szCs w:val="24"/>
        </w:rPr>
        <w:t xml:space="preserve">Práce se přerušují na dobu </w:t>
      </w:r>
      <w:r w:rsidRPr="00835F35">
        <w:rPr>
          <w:rFonts w:ascii="Effra" w:eastAsia="Times New Roman" w:hAnsi="Effra" w:cs="Effra"/>
          <w:b/>
          <w:bCs/>
          <w:sz w:val="24"/>
          <w:szCs w:val="24"/>
        </w:rPr>
        <w:t>max. 60 dnů</w:t>
      </w:r>
      <w:r w:rsidRPr="00835F35">
        <w:rPr>
          <w:rFonts w:ascii="Effra" w:eastAsia="Times New Roman" w:hAnsi="Effra" w:cs="Effra"/>
          <w:sz w:val="24"/>
          <w:szCs w:val="24"/>
        </w:rPr>
        <w:t xml:space="preserve"> od účinnosti tohoto Dodatku z důvodu čekání na zveřejnění podmínek výzvy k podání žádosti o dotaci. Doba přerušení prací se nezapočítává do </w:t>
      </w:r>
      <w:r w:rsidR="00972CBB">
        <w:rPr>
          <w:rFonts w:ascii="Effra" w:eastAsia="Times New Roman" w:hAnsi="Effra" w:cs="Effra"/>
          <w:sz w:val="24"/>
          <w:szCs w:val="24"/>
        </w:rPr>
        <w:t>lhůty k</w:t>
      </w:r>
      <w:r w:rsidRPr="00835F35">
        <w:rPr>
          <w:rFonts w:ascii="Effra" w:eastAsia="Times New Roman" w:hAnsi="Effra" w:cs="Effra"/>
          <w:sz w:val="24"/>
          <w:szCs w:val="24"/>
        </w:rPr>
        <w:t xml:space="preserve"> odevzdání studie proveditelnosti dle čl. IV.</w:t>
      </w:r>
      <w:r w:rsidR="00972CBB">
        <w:rPr>
          <w:rFonts w:ascii="Effra" w:eastAsia="Times New Roman" w:hAnsi="Effra" w:cs="Effra"/>
          <w:sz w:val="24"/>
          <w:szCs w:val="24"/>
        </w:rPr>
        <w:t xml:space="preserve"> Smlouvy.</w:t>
      </w:r>
    </w:p>
    <w:p w14:paraId="47762895" w14:textId="28B8F8D2" w:rsidR="00835F35" w:rsidRPr="00F534C8" w:rsidRDefault="00835F35" w:rsidP="00F534C8">
      <w:pPr>
        <w:pStyle w:val="Odstavecseseznamem"/>
        <w:numPr>
          <w:ilvl w:val="0"/>
          <w:numId w:val="25"/>
        </w:numPr>
        <w:spacing w:after="120" w:line="240" w:lineRule="auto"/>
        <w:ind w:left="1066" w:hanging="357"/>
        <w:contextualSpacing w:val="0"/>
        <w:jc w:val="both"/>
        <w:rPr>
          <w:rFonts w:ascii="Effra" w:eastAsia="Times New Roman" w:hAnsi="Effra" w:cs="Effra"/>
          <w:sz w:val="24"/>
          <w:szCs w:val="24"/>
        </w:rPr>
      </w:pPr>
      <w:r w:rsidRPr="00F534C8">
        <w:rPr>
          <w:rFonts w:ascii="Effra" w:eastAsia="Times New Roman" w:hAnsi="Effra" w:cs="Effra"/>
          <w:sz w:val="24"/>
          <w:szCs w:val="24"/>
        </w:rPr>
        <w:t>Do 10 dnů od přerušení prací zhotovitel elektronicky předloží dokončenou studii proveditelnosti dle do té doby známých předpokládaných požadavků poskytovatele dotace</w:t>
      </w:r>
      <w:r w:rsidR="00972CBB" w:rsidRPr="00F534C8">
        <w:rPr>
          <w:rFonts w:ascii="Effra" w:eastAsia="Times New Roman" w:hAnsi="Effra" w:cs="Effra"/>
          <w:sz w:val="24"/>
          <w:szCs w:val="24"/>
        </w:rPr>
        <w:t xml:space="preserve"> a v souladu s přílohou č. 1 Smlouvy.</w:t>
      </w:r>
    </w:p>
    <w:p w14:paraId="60450DA2" w14:textId="18B2F0E8" w:rsidR="00835F35" w:rsidRPr="007242EE" w:rsidRDefault="00835F35" w:rsidP="00F534C8">
      <w:pPr>
        <w:pStyle w:val="Odstavecseseznamem"/>
        <w:numPr>
          <w:ilvl w:val="0"/>
          <w:numId w:val="25"/>
        </w:numPr>
        <w:spacing w:after="120" w:line="240" w:lineRule="auto"/>
        <w:ind w:left="993" w:hanging="284"/>
        <w:contextualSpacing w:val="0"/>
        <w:jc w:val="both"/>
        <w:rPr>
          <w:rFonts w:ascii="Effra" w:hAnsi="Effra" w:cs="Effra"/>
        </w:rPr>
      </w:pPr>
      <w:r w:rsidRPr="00F534C8">
        <w:rPr>
          <w:rFonts w:ascii="Effra" w:eastAsia="Times New Roman" w:hAnsi="Effra" w:cs="Effra"/>
          <w:sz w:val="24"/>
          <w:szCs w:val="24"/>
        </w:rPr>
        <w:t xml:space="preserve">Opětovné zahájení prací proběhne na základě písemné výzvy objednatele po zveřejnění podmínek dotační výzvy poskytovatelem dotace. Zhotovitel na základě těchto podmínek dopracuje studii proveditelnosti tak, aby byla v souladu s podmínkami </w:t>
      </w:r>
      <w:r w:rsidRPr="007242EE">
        <w:rPr>
          <w:rFonts w:ascii="Effra" w:eastAsia="Times New Roman" w:hAnsi="Effra" w:cs="Effra"/>
          <w:sz w:val="24"/>
          <w:szCs w:val="24"/>
        </w:rPr>
        <w:t>dotace.</w:t>
      </w:r>
      <w:r w:rsidR="003E09A0" w:rsidRPr="007242EE">
        <w:rPr>
          <w:rFonts w:ascii="Effra" w:eastAsia="Times New Roman" w:hAnsi="Effra" w:cs="Effra"/>
          <w:sz w:val="24"/>
          <w:szCs w:val="24"/>
        </w:rPr>
        <w:t xml:space="preserve"> Přičemž se předpokládá, že případn</w:t>
      </w:r>
      <w:r w:rsidR="00153621" w:rsidRPr="007242EE">
        <w:rPr>
          <w:rFonts w:ascii="Effra" w:eastAsia="Times New Roman" w:hAnsi="Effra" w:cs="Effra"/>
          <w:sz w:val="24"/>
          <w:szCs w:val="24"/>
        </w:rPr>
        <w:t>ě</w:t>
      </w:r>
      <w:r w:rsidR="003E09A0" w:rsidRPr="007242EE">
        <w:rPr>
          <w:rFonts w:ascii="Effra" w:eastAsia="Times New Roman" w:hAnsi="Effra" w:cs="Effra"/>
          <w:sz w:val="24"/>
          <w:szCs w:val="24"/>
        </w:rPr>
        <w:t xml:space="preserve"> vyvolané </w:t>
      </w:r>
      <w:r w:rsidR="002F6392" w:rsidRPr="007242EE">
        <w:rPr>
          <w:rFonts w:ascii="Effra" w:eastAsia="Times New Roman" w:hAnsi="Effra" w:cs="Effra"/>
          <w:sz w:val="24"/>
          <w:szCs w:val="24"/>
        </w:rPr>
        <w:t>změny,</w:t>
      </w:r>
      <w:r w:rsidR="003E09A0" w:rsidRPr="007242EE">
        <w:rPr>
          <w:rFonts w:ascii="Effra" w:eastAsia="Times New Roman" w:hAnsi="Effra" w:cs="Effra"/>
          <w:sz w:val="24"/>
          <w:szCs w:val="24"/>
        </w:rPr>
        <w:t xml:space="preserve"> v již předložené studii proveditelnosti</w:t>
      </w:r>
      <w:r w:rsidR="00153621" w:rsidRPr="007242EE">
        <w:rPr>
          <w:rFonts w:ascii="Effra" w:eastAsia="Times New Roman" w:hAnsi="Effra" w:cs="Effra"/>
          <w:sz w:val="24"/>
          <w:szCs w:val="24"/>
        </w:rPr>
        <w:t xml:space="preserve">, </w:t>
      </w:r>
      <w:r w:rsidR="003E09A0" w:rsidRPr="007242EE">
        <w:rPr>
          <w:rFonts w:ascii="Effra" w:eastAsia="Times New Roman" w:hAnsi="Effra" w:cs="Effra"/>
          <w:sz w:val="24"/>
          <w:szCs w:val="24"/>
        </w:rPr>
        <w:t>vlivem podmínek výzvy k podání žádosti o dotaci</w:t>
      </w:r>
      <w:r w:rsidR="00153621" w:rsidRPr="007242EE">
        <w:rPr>
          <w:rFonts w:ascii="Effra" w:eastAsia="Times New Roman" w:hAnsi="Effra" w:cs="Effra"/>
          <w:sz w:val="24"/>
          <w:szCs w:val="24"/>
        </w:rPr>
        <w:t>,</w:t>
      </w:r>
      <w:r w:rsidR="003E09A0" w:rsidRPr="007242EE">
        <w:rPr>
          <w:rFonts w:ascii="Effra" w:eastAsia="Times New Roman" w:hAnsi="Effra" w:cs="Effra"/>
          <w:sz w:val="24"/>
          <w:szCs w:val="24"/>
        </w:rPr>
        <w:t xml:space="preserve"> nebudou zásadního charakteru</w:t>
      </w:r>
      <w:r w:rsidR="00F534C8" w:rsidRPr="007242EE">
        <w:rPr>
          <w:rFonts w:ascii="Effra" w:eastAsia="Times New Roman" w:hAnsi="Effra" w:cs="Effra"/>
          <w:sz w:val="24"/>
          <w:szCs w:val="24"/>
        </w:rPr>
        <w:t>.</w:t>
      </w:r>
    </w:p>
    <w:p w14:paraId="5428E9CD" w14:textId="5DD80008" w:rsidR="00835F35" w:rsidRDefault="00835F35" w:rsidP="00F0103E">
      <w:pPr>
        <w:pStyle w:val="Odstavecseseznamem"/>
        <w:numPr>
          <w:ilvl w:val="0"/>
          <w:numId w:val="29"/>
        </w:numPr>
        <w:jc w:val="both"/>
        <w:rPr>
          <w:rFonts w:ascii="Effra" w:hAnsi="Effra" w:cs="Effra"/>
          <w:sz w:val="24"/>
          <w:szCs w:val="24"/>
        </w:rPr>
      </w:pPr>
      <w:r w:rsidRPr="00835F35">
        <w:rPr>
          <w:rFonts w:ascii="Effra" w:hAnsi="Effra" w:cs="Effra"/>
          <w:sz w:val="24"/>
          <w:szCs w:val="24"/>
        </w:rPr>
        <w:t>V souvislosti s přerušením díla se dále mění platební podmínky v čl. VIII, odst. 2., jehož znění se nahrazuje následujícím:</w:t>
      </w:r>
    </w:p>
    <w:p w14:paraId="42861D14" w14:textId="382C1892" w:rsidR="00F534C8" w:rsidRDefault="00F534C8" w:rsidP="00F534C8">
      <w:pPr>
        <w:jc w:val="both"/>
        <w:rPr>
          <w:rFonts w:ascii="Effra" w:hAnsi="Effra" w:cs="Effra"/>
        </w:rPr>
      </w:pPr>
    </w:p>
    <w:p w14:paraId="0EB76B50" w14:textId="77777777" w:rsidR="00F534C8" w:rsidRPr="00F534C8" w:rsidRDefault="00F534C8" w:rsidP="00F534C8">
      <w:pPr>
        <w:jc w:val="both"/>
        <w:rPr>
          <w:rFonts w:ascii="Effra" w:hAnsi="Effra" w:cs="Effra"/>
        </w:rPr>
      </w:pPr>
    </w:p>
    <w:p w14:paraId="409E312B" w14:textId="77777777" w:rsidR="00835F35" w:rsidRPr="00835F35" w:rsidRDefault="00835F35" w:rsidP="00F0103E">
      <w:pPr>
        <w:pStyle w:val="OdstavecSmlouvy"/>
        <w:spacing w:before="120" w:after="0"/>
        <w:rPr>
          <w:rFonts w:ascii="Effra" w:hAnsi="Effra" w:cs="Effra"/>
          <w:i/>
          <w:iCs/>
        </w:rPr>
      </w:pPr>
      <w:r w:rsidRPr="00835F35">
        <w:rPr>
          <w:rFonts w:ascii="Effra" w:hAnsi="Effra" w:cs="Effra"/>
          <w:i/>
          <w:iCs/>
        </w:rPr>
        <w:lastRenderedPageBreak/>
        <w:t>Cena za dílo bude uhrazena takto:</w:t>
      </w:r>
    </w:p>
    <w:p w14:paraId="0FD11458" w14:textId="79A15B4D" w:rsidR="00835F35" w:rsidRPr="007242EE" w:rsidRDefault="00835F35" w:rsidP="00F0103E">
      <w:pPr>
        <w:pStyle w:val="slovanPododstavecSmlouvy"/>
        <w:numPr>
          <w:ilvl w:val="0"/>
          <w:numId w:val="27"/>
        </w:numPr>
        <w:spacing w:before="120"/>
        <w:ind w:left="714" w:hanging="357"/>
        <w:rPr>
          <w:rFonts w:ascii="Effra" w:hAnsi="Effra" w:cs="Effra"/>
          <w:i/>
          <w:iCs/>
        </w:rPr>
      </w:pPr>
      <w:r w:rsidRPr="007242EE">
        <w:rPr>
          <w:rFonts w:ascii="Effra" w:hAnsi="Effra" w:cs="Effra"/>
          <w:i/>
          <w:iCs/>
        </w:rPr>
        <w:t>po předání a převzetí studie proveditelnosti dle tohoto dodatku</w:t>
      </w:r>
      <w:r w:rsidR="00134B6A" w:rsidRPr="007242EE">
        <w:rPr>
          <w:rFonts w:ascii="Effra" w:hAnsi="Effra" w:cs="Effra"/>
          <w:i/>
          <w:iCs/>
        </w:rPr>
        <w:t xml:space="preserve"> </w:t>
      </w:r>
      <w:r w:rsidRPr="007242EE">
        <w:rPr>
          <w:rFonts w:ascii="Effra" w:hAnsi="Effra" w:cs="Effra"/>
          <w:i/>
          <w:iCs/>
        </w:rPr>
        <w:t xml:space="preserve">bude uhrazena </w:t>
      </w:r>
      <w:r w:rsidR="00134B6A" w:rsidRPr="007242EE">
        <w:rPr>
          <w:rFonts w:ascii="Effra" w:hAnsi="Effra" w:cs="Effra"/>
          <w:i/>
          <w:iCs/>
        </w:rPr>
        <w:t xml:space="preserve">část ceny díla </w:t>
      </w:r>
      <w:r w:rsidRPr="007242EE">
        <w:rPr>
          <w:rFonts w:ascii="Effra" w:hAnsi="Effra" w:cs="Effra"/>
          <w:i/>
          <w:iCs/>
        </w:rPr>
        <w:t xml:space="preserve">ve výši </w:t>
      </w:r>
      <w:r w:rsidR="006F21D7" w:rsidRPr="007242EE">
        <w:rPr>
          <w:rFonts w:ascii="Effra" w:hAnsi="Effra" w:cs="Effra"/>
          <w:i/>
          <w:iCs/>
        </w:rPr>
        <w:t>5</w:t>
      </w:r>
      <w:r w:rsidRPr="007242EE">
        <w:rPr>
          <w:rFonts w:ascii="Effra" w:hAnsi="Effra" w:cs="Effra"/>
          <w:i/>
          <w:iCs/>
        </w:rPr>
        <w:t>0 % ceny první části díla (studie proveditelnosti) dle čl. VII odst. 1 této smlouvy,</w:t>
      </w:r>
      <w:r w:rsidR="00134B6A" w:rsidRPr="007242EE">
        <w:rPr>
          <w:rFonts w:ascii="Effra" w:hAnsi="Effra" w:cs="Effra"/>
          <w:i/>
          <w:iCs/>
        </w:rPr>
        <w:t xml:space="preserve"> s tím, že objednatel již poskytnul zhotoviteli zálohu ve výši 30% ceny části díla,</w:t>
      </w:r>
    </w:p>
    <w:p w14:paraId="63061FA6" w14:textId="788A42F8" w:rsidR="00835F35" w:rsidRPr="00835F35" w:rsidRDefault="00835F35" w:rsidP="00F0103E">
      <w:pPr>
        <w:pStyle w:val="slovanPododstavecSmlouvy"/>
        <w:numPr>
          <w:ilvl w:val="0"/>
          <w:numId w:val="27"/>
        </w:numPr>
        <w:spacing w:before="120"/>
        <w:ind w:left="714" w:hanging="357"/>
        <w:rPr>
          <w:rFonts w:ascii="Effra" w:hAnsi="Effra" w:cs="Effra"/>
          <w:i/>
          <w:iCs/>
        </w:rPr>
      </w:pPr>
      <w:r w:rsidRPr="00835F35">
        <w:rPr>
          <w:rFonts w:ascii="Effra" w:hAnsi="Effra" w:cs="Effra"/>
          <w:i/>
          <w:iCs/>
        </w:rPr>
        <w:t xml:space="preserve">po předání a převzetí studie proveditelnosti dle čl. III odst. 2 bod 2.1 této smlouvy bude uhrazena cena ve výši zbývajících </w:t>
      </w:r>
      <w:r w:rsidR="006F21D7">
        <w:rPr>
          <w:rFonts w:ascii="Effra" w:hAnsi="Effra" w:cs="Effra"/>
          <w:i/>
          <w:iCs/>
        </w:rPr>
        <w:t>2</w:t>
      </w:r>
      <w:r w:rsidRPr="00835F35">
        <w:rPr>
          <w:rFonts w:ascii="Effra" w:hAnsi="Effra" w:cs="Effra"/>
          <w:i/>
          <w:iCs/>
        </w:rPr>
        <w:t>0 % za první část díla dle čl. VII odst. 1 této smlouvy,</w:t>
      </w:r>
    </w:p>
    <w:p w14:paraId="7CF91F88" w14:textId="325DB8FD" w:rsidR="00835F35" w:rsidRPr="007242EE" w:rsidRDefault="00835F35" w:rsidP="00F0103E">
      <w:pPr>
        <w:pStyle w:val="slovanPododstavecSmlouvy"/>
        <w:numPr>
          <w:ilvl w:val="0"/>
          <w:numId w:val="27"/>
        </w:numPr>
        <w:spacing w:before="120"/>
        <w:ind w:left="714" w:hanging="357"/>
        <w:rPr>
          <w:rFonts w:ascii="Effra" w:hAnsi="Effra" w:cs="Effra"/>
          <w:i/>
          <w:iCs/>
        </w:rPr>
      </w:pPr>
      <w:r w:rsidRPr="007242EE">
        <w:rPr>
          <w:rFonts w:ascii="Effra" w:hAnsi="Effra" w:cs="Effra"/>
          <w:i/>
          <w:iCs/>
        </w:rPr>
        <w:t>po předání a převzetí architektonické studie dle čl. III odst. 2 bod 2.2 této smlouvy bude uhrazen</w:t>
      </w:r>
      <w:r w:rsidR="00153621" w:rsidRPr="007242EE">
        <w:rPr>
          <w:rFonts w:ascii="Effra" w:hAnsi="Effra" w:cs="Effra"/>
          <w:i/>
          <w:iCs/>
        </w:rPr>
        <w:t>o</w:t>
      </w:r>
      <w:r w:rsidRPr="007242EE">
        <w:rPr>
          <w:rFonts w:ascii="Effra" w:hAnsi="Effra" w:cs="Effra"/>
          <w:i/>
          <w:iCs/>
        </w:rPr>
        <w:t xml:space="preserve"> zbývajících 70 % </w:t>
      </w:r>
      <w:r w:rsidR="00153621" w:rsidRPr="007242EE">
        <w:rPr>
          <w:rFonts w:ascii="Effra" w:hAnsi="Effra" w:cs="Effra"/>
          <w:i/>
          <w:iCs/>
        </w:rPr>
        <w:t xml:space="preserve">z ceny </w:t>
      </w:r>
      <w:r w:rsidRPr="007242EE">
        <w:rPr>
          <w:rFonts w:ascii="Effra" w:hAnsi="Effra" w:cs="Effra"/>
          <w:i/>
          <w:iCs/>
        </w:rPr>
        <w:t>za druhou část díla dle čl. VII odst. 1 této smlouvy,</w:t>
      </w:r>
      <w:r w:rsidR="00153621" w:rsidRPr="007242EE">
        <w:rPr>
          <w:rFonts w:ascii="Effra" w:hAnsi="Effra" w:cs="Effra"/>
          <w:i/>
          <w:iCs/>
        </w:rPr>
        <w:t xml:space="preserve"> s tím, že objednatel již poskytnul zhotoviteli zálohu ve výši 30% ceny části díla</w:t>
      </w:r>
      <w:r w:rsidR="002E068D" w:rsidRPr="007242EE">
        <w:rPr>
          <w:rFonts w:ascii="Effra" w:hAnsi="Effra" w:cs="Effra"/>
          <w:i/>
          <w:iCs/>
        </w:rPr>
        <w:t>.</w:t>
      </w:r>
    </w:p>
    <w:p w14:paraId="63497DDF" w14:textId="77777777" w:rsidR="00634E90" w:rsidRDefault="00634E90" w:rsidP="00F0103E">
      <w:pPr>
        <w:jc w:val="center"/>
        <w:rPr>
          <w:rStyle w:val="platne1"/>
          <w:rFonts w:ascii="Effra" w:hAnsi="Effra" w:cs="Effra"/>
          <w:b/>
          <w:color w:val="000000"/>
        </w:rPr>
      </w:pPr>
    </w:p>
    <w:p w14:paraId="59ACC0A6" w14:textId="5E7F86F9" w:rsidR="009A5EB5" w:rsidRPr="00A23C17" w:rsidRDefault="009A5EB5" w:rsidP="00F0103E">
      <w:pPr>
        <w:jc w:val="center"/>
        <w:rPr>
          <w:rStyle w:val="platne1"/>
          <w:rFonts w:ascii="Effra" w:hAnsi="Effra" w:cs="Effra"/>
          <w:b/>
          <w:color w:val="000000"/>
        </w:rPr>
      </w:pPr>
      <w:r w:rsidRPr="00A23C17">
        <w:rPr>
          <w:rStyle w:val="platne1"/>
          <w:rFonts w:ascii="Effra" w:hAnsi="Effra" w:cs="Effra"/>
          <w:b/>
          <w:color w:val="000000"/>
        </w:rPr>
        <w:t>I</w:t>
      </w:r>
      <w:r w:rsidR="00F0103E">
        <w:rPr>
          <w:rStyle w:val="platne1"/>
          <w:rFonts w:ascii="Effra" w:hAnsi="Effra" w:cs="Effra"/>
          <w:b/>
          <w:color w:val="000000"/>
        </w:rPr>
        <w:t>II</w:t>
      </w:r>
      <w:r w:rsidRPr="00A23C17">
        <w:rPr>
          <w:rStyle w:val="platne1"/>
          <w:rFonts w:ascii="Effra" w:hAnsi="Effra" w:cs="Effra"/>
          <w:b/>
          <w:color w:val="000000"/>
        </w:rPr>
        <w:t>.</w:t>
      </w:r>
    </w:p>
    <w:p w14:paraId="53678070" w14:textId="6A8189AC" w:rsidR="009A5EB5" w:rsidRDefault="00FE6C86" w:rsidP="00F0103E">
      <w:pPr>
        <w:jc w:val="center"/>
        <w:rPr>
          <w:rStyle w:val="platne1"/>
          <w:rFonts w:ascii="Effra" w:hAnsi="Effra" w:cs="Effra"/>
          <w:b/>
          <w:color w:val="000000"/>
        </w:rPr>
      </w:pPr>
      <w:r>
        <w:rPr>
          <w:rStyle w:val="platne1"/>
          <w:rFonts w:ascii="Effra" w:hAnsi="Effra" w:cs="Effra"/>
          <w:b/>
          <w:color w:val="000000"/>
        </w:rPr>
        <w:t>Závěrečná ustanovení</w:t>
      </w:r>
    </w:p>
    <w:p w14:paraId="44B72440" w14:textId="77777777" w:rsidR="009A5EB5" w:rsidRPr="00A23C17" w:rsidRDefault="009A5EB5" w:rsidP="00F0103E">
      <w:pPr>
        <w:jc w:val="both"/>
        <w:rPr>
          <w:rStyle w:val="platne1"/>
          <w:rFonts w:ascii="Effra" w:hAnsi="Effra" w:cs="Effra"/>
          <w:b/>
          <w:color w:val="000000"/>
        </w:rPr>
      </w:pPr>
    </w:p>
    <w:p w14:paraId="40F683BE" w14:textId="3920AD95" w:rsidR="0000486F" w:rsidRPr="00084257" w:rsidRDefault="00B512C6" w:rsidP="00F0103E">
      <w:pPr>
        <w:numPr>
          <w:ilvl w:val="0"/>
          <w:numId w:val="22"/>
        </w:numPr>
        <w:suppressAutoHyphens/>
        <w:spacing w:after="102"/>
        <w:ind w:left="284"/>
        <w:jc w:val="both"/>
        <w:rPr>
          <w:rStyle w:val="platne1"/>
          <w:rFonts w:ascii="Effra" w:hAnsi="Effra" w:cs="Effra"/>
          <w:color w:val="000000"/>
        </w:rPr>
      </w:pPr>
      <w:r>
        <w:rPr>
          <w:rStyle w:val="platne1"/>
          <w:rFonts w:ascii="Effra" w:hAnsi="Effra" w:cs="Effra"/>
          <w:color w:val="000000"/>
        </w:rPr>
        <w:t>Veškeré o</w:t>
      </w:r>
      <w:r w:rsidR="0000486F">
        <w:rPr>
          <w:rStyle w:val="platne1"/>
          <w:rFonts w:ascii="Effra" w:hAnsi="Effra" w:cs="Effra"/>
          <w:color w:val="000000"/>
        </w:rPr>
        <w:t xml:space="preserve">statní </w:t>
      </w:r>
      <w:r>
        <w:rPr>
          <w:rStyle w:val="platne1"/>
          <w:rFonts w:ascii="Effra" w:hAnsi="Effra" w:cs="Effra"/>
          <w:color w:val="000000"/>
        </w:rPr>
        <w:t xml:space="preserve">závazky vyplývající ze </w:t>
      </w:r>
      <w:r w:rsidR="00835F35">
        <w:rPr>
          <w:rStyle w:val="platne1"/>
          <w:rFonts w:ascii="Effra" w:hAnsi="Effra" w:cs="Effra"/>
          <w:color w:val="000000"/>
        </w:rPr>
        <w:t>S</w:t>
      </w:r>
      <w:r>
        <w:rPr>
          <w:rStyle w:val="platne1"/>
          <w:rFonts w:ascii="Effra" w:hAnsi="Effra" w:cs="Effra"/>
          <w:color w:val="000000"/>
        </w:rPr>
        <w:t xml:space="preserve">mlouvy, které </w:t>
      </w:r>
      <w:r w:rsidR="0000486F">
        <w:rPr>
          <w:rStyle w:val="platne1"/>
          <w:rFonts w:ascii="Effra" w:hAnsi="Effra" w:cs="Effra"/>
          <w:color w:val="000000"/>
        </w:rPr>
        <w:t xml:space="preserve">nejsou </w:t>
      </w:r>
      <w:r w:rsidR="00972CBB">
        <w:rPr>
          <w:rStyle w:val="platne1"/>
          <w:rFonts w:ascii="Effra" w:hAnsi="Effra" w:cs="Effra"/>
          <w:color w:val="000000"/>
        </w:rPr>
        <w:t>D</w:t>
      </w:r>
      <w:r w:rsidR="0000486F">
        <w:rPr>
          <w:rStyle w:val="platne1"/>
          <w:rFonts w:ascii="Effra" w:hAnsi="Effra" w:cs="Effra"/>
          <w:color w:val="000000"/>
        </w:rPr>
        <w:t xml:space="preserve">odatkem </w:t>
      </w:r>
      <w:r>
        <w:rPr>
          <w:rStyle w:val="platne1"/>
          <w:rFonts w:ascii="Effra" w:hAnsi="Effra" w:cs="Effra"/>
          <w:color w:val="000000"/>
        </w:rPr>
        <w:t>výslovně</w:t>
      </w:r>
      <w:r w:rsidR="0000486F">
        <w:rPr>
          <w:rStyle w:val="platne1"/>
          <w:rFonts w:ascii="Effra" w:hAnsi="Effra" w:cs="Effra"/>
          <w:color w:val="000000"/>
        </w:rPr>
        <w:t xml:space="preserve"> dotčeny</w:t>
      </w:r>
      <w:r>
        <w:rPr>
          <w:rStyle w:val="platne1"/>
          <w:rFonts w:ascii="Effra" w:hAnsi="Effra" w:cs="Effra"/>
          <w:color w:val="000000"/>
        </w:rPr>
        <w:t>,</w:t>
      </w:r>
      <w:r w:rsidR="0000486F">
        <w:rPr>
          <w:rStyle w:val="platne1"/>
          <w:rFonts w:ascii="Effra" w:hAnsi="Effra" w:cs="Effra"/>
          <w:color w:val="000000"/>
        </w:rPr>
        <w:t xml:space="preserve"> </w:t>
      </w:r>
      <w:r>
        <w:rPr>
          <w:rStyle w:val="platne1"/>
          <w:rFonts w:ascii="Effra" w:hAnsi="Effra" w:cs="Effra"/>
          <w:color w:val="000000"/>
        </w:rPr>
        <w:t>zůstávají</w:t>
      </w:r>
      <w:r w:rsidR="0000486F">
        <w:rPr>
          <w:rStyle w:val="platne1"/>
          <w:rFonts w:ascii="Effra" w:hAnsi="Effra" w:cs="Effra"/>
          <w:color w:val="000000"/>
        </w:rPr>
        <w:t xml:space="preserve"> beze změn.</w:t>
      </w:r>
    </w:p>
    <w:p w14:paraId="4C28D75B" w14:textId="6F4B4F9C" w:rsidR="009A5EB5" w:rsidRPr="00A23C17" w:rsidRDefault="0062263C" w:rsidP="00F0103E">
      <w:pPr>
        <w:numPr>
          <w:ilvl w:val="0"/>
          <w:numId w:val="22"/>
        </w:numPr>
        <w:suppressAutoHyphens/>
        <w:spacing w:after="102"/>
        <w:ind w:left="284"/>
        <w:jc w:val="both"/>
        <w:rPr>
          <w:rStyle w:val="platne1"/>
          <w:color w:val="000000"/>
        </w:rPr>
      </w:pPr>
      <w:r>
        <w:rPr>
          <w:rStyle w:val="platne1"/>
          <w:rFonts w:ascii="Effra" w:hAnsi="Effra" w:cs="Effra"/>
          <w:color w:val="000000"/>
        </w:rPr>
        <w:t xml:space="preserve">Tento </w:t>
      </w:r>
      <w:r w:rsidR="00972CBB">
        <w:rPr>
          <w:rStyle w:val="platne1"/>
          <w:rFonts w:ascii="Effra" w:hAnsi="Effra" w:cs="Effra"/>
          <w:color w:val="000000"/>
        </w:rPr>
        <w:t>D</w:t>
      </w:r>
      <w:r>
        <w:rPr>
          <w:rStyle w:val="platne1"/>
          <w:rFonts w:ascii="Effra" w:hAnsi="Effra" w:cs="Effra"/>
          <w:color w:val="000000"/>
        </w:rPr>
        <w:t>odatek</w:t>
      </w:r>
      <w:r w:rsidR="00B512C6">
        <w:rPr>
          <w:rStyle w:val="platne1"/>
          <w:rFonts w:ascii="Effra" w:hAnsi="Effra" w:cs="Effra"/>
          <w:color w:val="000000"/>
        </w:rPr>
        <w:t xml:space="preserve"> </w:t>
      </w:r>
      <w:r w:rsidRPr="00A23C17">
        <w:rPr>
          <w:rStyle w:val="platne1"/>
          <w:rFonts w:ascii="Effra" w:hAnsi="Effra" w:cs="Effra"/>
          <w:color w:val="000000"/>
        </w:rPr>
        <w:t>nabývá účinnosti dnem jeho uveřejnění v registru smluv zřízeném na</w:t>
      </w:r>
      <w:r>
        <w:rPr>
          <w:rStyle w:val="platne1"/>
          <w:rFonts w:ascii="Effra" w:hAnsi="Effra" w:cs="Effra"/>
          <w:color w:val="000000"/>
        </w:rPr>
        <w:t xml:space="preserve"> </w:t>
      </w:r>
      <w:r w:rsidRPr="00A23C17">
        <w:rPr>
          <w:rStyle w:val="platne1"/>
          <w:rFonts w:ascii="Effra" w:hAnsi="Effra" w:cs="Effra"/>
          <w:color w:val="000000"/>
        </w:rPr>
        <w:t>základě zákona č. 340/2015 Sb., o registru smluv, v platném znění, jehož správcem je</w:t>
      </w:r>
      <w:r>
        <w:rPr>
          <w:rStyle w:val="platne1"/>
          <w:rFonts w:ascii="Effra" w:hAnsi="Effra" w:cs="Effra"/>
          <w:color w:val="000000"/>
        </w:rPr>
        <w:t xml:space="preserve"> </w:t>
      </w:r>
      <w:r w:rsidRPr="00A23C17">
        <w:rPr>
          <w:rStyle w:val="platne1"/>
          <w:rFonts w:ascii="Effra" w:hAnsi="Effra" w:cs="Effra"/>
          <w:color w:val="000000"/>
        </w:rPr>
        <w:t xml:space="preserve">Ministerstvo vnitra ČR. Objednatel se zavazuje k uveřejnění </w:t>
      </w:r>
      <w:r>
        <w:rPr>
          <w:rStyle w:val="platne1"/>
          <w:rFonts w:ascii="Effra" w:hAnsi="Effra" w:cs="Effra"/>
          <w:color w:val="000000"/>
        </w:rPr>
        <w:t>tohoto dodatku</w:t>
      </w:r>
      <w:r w:rsidRPr="00A23C17">
        <w:rPr>
          <w:rStyle w:val="platne1"/>
          <w:rFonts w:ascii="Effra" w:hAnsi="Effra" w:cs="Effra"/>
          <w:color w:val="000000"/>
        </w:rPr>
        <w:t xml:space="preserve"> v</w:t>
      </w:r>
      <w:r>
        <w:rPr>
          <w:rStyle w:val="platne1"/>
          <w:rFonts w:ascii="Effra" w:hAnsi="Effra" w:cs="Effra"/>
          <w:color w:val="000000"/>
        </w:rPr>
        <w:t> </w:t>
      </w:r>
      <w:r w:rsidRPr="00A23C17">
        <w:rPr>
          <w:rStyle w:val="platne1"/>
          <w:rFonts w:ascii="Effra" w:hAnsi="Effra" w:cs="Effra"/>
          <w:color w:val="000000"/>
        </w:rPr>
        <w:t>registru</w:t>
      </w:r>
      <w:r>
        <w:rPr>
          <w:rStyle w:val="platne1"/>
          <w:rFonts w:ascii="Effra" w:hAnsi="Effra" w:cs="Effra"/>
          <w:color w:val="000000"/>
        </w:rPr>
        <w:t xml:space="preserve"> </w:t>
      </w:r>
      <w:r w:rsidRPr="00A23C17">
        <w:rPr>
          <w:rStyle w:val="platne1"/>
          <w:rFonts w:ascii="Effra" w:hAnsi="Effra" w:cs="Effra"/>
          <w:color w:val="000000"/>
        </w:rPr>
        <w:t>smluv postupem dle § 5 zákona o registru smluv bez zbytečného dokladu po je</w:t>
      </w:r>
      <w:r>
        <w:rPr>
          <w:rStyle w:val="platne1"/>
          <w:rFonts w:ascii="Effra" w:hAnsi="Effra" w:cs="Effra"/>
          <w:color w:val="000000"/>
        </w:rPr>
        <w:t xml:space="preserve">ho </w:t>
      </w:r>
      <w:r w:rsidRPr="00A23C17">
        <w:rPr>
          <w:rStyle w:val="platne1"/>
          <w:rFonts w:ascii="Effra" w:hAnsi="Effra" w:cs="Effra"/>
          <w:color w:val="000000"/>
        </w:rPr>
        <w:t>uzavření.</w:t>
      </w:r>
    </w:p>
    <w:p w14:paraId="55DA94E6" w14:textId="720825C2" w:rsidR="00F554F8" w:rsidRPr="00B512C6" w:rsidRDefault="00F554F8" w:rsidP="00F0103E">
      <w:pPr>
        <w:numPr>
          <w:ilvl w:val="0"/>
          <w:numId w:val="22"/>
        </w:numPr>
        <w:suppressAutoHyphens/>
        <w:spacing w:after="102"/>
        <w:ind w:left="284"/>
        <w:jc w:val="both"/>
        <w:rPr>
          <w:rStyle w:val="nowrap"/>
          <w:rFonts w:ascii="Effra" w:hAnsi="Effra" w:cs="Effra"/>
        </w:rPr>
      </w:pPr>
      <w:r w:rsidRPr="00B512C6">
        <w:rPr>
          <w:rStyle w:val="nowrap"/>
          <w:rFonts w:ascii="Effra" w:hAnsi="Effra" w:cs="Effra"/>
        </w:rPr>
        <w:t>T</w:t>
      </w:r>
      <w:r w:rsidR="0000486F" w:rsidRPr="00B512C6">
        <w:rPr>
          <w:rStyle w:val="nowrap"/>
          <w:rFonts w:ascii="Effra" w:hAnsi="Effra" w:cs="Effra"/>
        </w:rPr>
        <w:t xml:space="preserve">ento </w:t>
      </w:r>
      <w:r w:rsidR="00972CBB" w:rsidRPr="00972CBB">
        <w:rPr>
          <w:rStyle w:val="nowrap"/>
          <w:rFonts w:ascii="Effra" w:hAnsi="Effra" w:cs="Effra"/>
          <w:bCs/>
        </w:rPr>
        <w:t>Dodatek</w:t>
      </w:r>
      <w:r w:rsidR="00972CBB">
        <w:rPr>
          <w:rStyle w:val="nowrap"/>
          <w:rFonts w:ascii="Effra" w:hAnsi="Effra" w:cs="Effra"/>
          <w:bCs/>
        </w:rPr>
        <w:t xml:space="preserve"> ke</w:t>
      </w:r>
      <w:r w:rsidR="00972CBB" w:rsidRPr="00B512C6">
        <w:rPr>
          <w:rStyle w:val="nowrap"/>
          <w:rFonts w:ascii="Effra" w:hAnsi="Effra" w:cs="Effra"/>
        </w:rPr>
        <w:t xml:space="preserve"> </w:t>
      </w:r>
      <w:r w:rsidR="0000486F" w:rsidRPr="00B512C6">
        <w:rPr>
          <w:rStyle w:val="nowrap"/>
          <w:rFonts w:ascii="Effra" w:hAnsi="Effra" w:cs="Effra"/>
        </w:rPr>
        <w:t>smlouvě</w:t>
      </w:r>
      <w:r w:rsidR="00E4299D" w:rsidRPr="00B512C6">
        <w:rPr>
          <w:rStyle w:val="nowrap"/>
          <w:rFonts w:ascii="Effra" w:hAnsi="Effra" w:cs="Effra"/>
        </w:rPr>
        <w:t xml:space="preserve"> je vyhotoven </w:t>
      </w:r>
      <w:r w:rsidRPr="00B512C6">
        <w:rPr>
          <w:rStyle w:val="nowrap"/>
          <w:rFonts w:ascii="Effra" w:hAnsi="Effra" w:cs="Effra"/>
        </w:rPr>
        <w:t>ve dvou stejnopisech s platností originálu, z nichž každá smluvní strana obdrží po jednom.</w:t>
      </w:r>
    </w:p>
    <w:p w14:paraId="3D8F2966" w14:textId="77777777" w:rsidR="00F554F8" w:rsidRPr="00084257" w:rsidRDefault="00F554F8" w:rsidP="00F554F8">
      <w:pPr>
        <w:jc w:val="both"/>
        <w:rPr>
          <w:rFonts w:ascii="Effra" w:hAnsi="Effra" w:cs="Effra"/>
        </w:rPr>
      </w:pPr>
    </w:p>
    <w:p w14:paraId="383412D6" w14:textId="77777777" w:rsidR="00F554F8" w:rsidRPr="00084257" w:rsidRDefault="00F554F8" w:rsidP="00F554F8">
      <w:pPr>
        <w:jc w:val="both"/>
        <w:rPr>
          <w:rFonts w:ascii="Effra" w:hAnsi="Effra" w:cs="Effra"/>
        </w:rPr>
      </w:pPr>
    </w:p>
    <w:p w14:paraId="40C35AFB" w14:textId="77777777" w:rsidR="00F554F8" w:rsidRPr="00084257" w:rsidRDefault="00F554F8" w:rsidP="00F554F8">
      <w:pPr>
        <w:jc w:val="both"/>
        <w:rPr>
          <w:rFonts w:ascii="Effra" w:hAnsi="Effra" w:cs="Effra"/>
        </w:rPr>
      </w:pPr>
      <w:r w:rsidRPr="00084257">
        <w:rPr>
          <w:rStyle w:val="platne1"/>
          <w:rFonts w:ascii="Effra" w:hAnsi="Effra" w:cs="Effra"/>
        </w:rPr>
        <w:t>V Ostravě dne ________________.</w:t>
      </w:r>
      <w:r w:rsidRPr="00084257">
        <w:rPr>
          <w:rStyle w:val="platne1"/>
          <w:rFonts w:ascii="Effra" w:hAnsi="Effra" w:cs="Effra"/>
        </w:rPr>
        <w:tab/>
      </w:r>
      <w:r w:rsidRPr="00084257">
        <w:rPr>
          <w:rStyle w:val="platne1"/>
          <w:rFonts w:ascii="Effra" w:hAnsi="Effra" w:cs="Effra"/>
        </w:rPr>
        <w:tab/>
      </w:r>
      <w:r w:rsidRPr="00084257">
        <w:rPr>
          <w:rStyle w:val="platne1"/>
          <w:rFonts w:ascii="Effra" w:hAnsi="Effra" w:cs="Effra"/>
        </w:rPr>
        <w:tab/>
        <w:t>V Ostravě dne ________________.</w:t>
      </w:r>
    </w:p>
    <w:p w14:paraId="218634B7" w14:textId="7E394CCC" w:rsidR="00F554F8" w:rsidRDefault="00F554F8" w:rsidP="00F554F8">
      <w:pPr>
        <w:ind w:left="66"/>
        <w:jc w:val="both"/>
        <w:rPr>
          <w:rFonts w:ascii="Effra" w:hAnsi="Effra" w:cs="Effra"/>
        </w:rPr>
      </w:pPr>
    </w:p>
    <w:p w14:paraId="77442C36" w14:textId="0D61086F" w:rsidR="00CE70FB" w:rsidRDefault="00CE70FB" w:rsidP="00F554F8">
      <w:pPr>
        <w:ind w:left="66"/>
        <w:jc w:val="both"/>
        <w:rPr>
          <w:rFonts w:ascii="Effra" w:hAnsi="Effra" w:cs="Effra"/>
        </w:rPr>
      </w:pPr>
    </w:p>
    <w:p w14:paraId="5E8D44B1" w14:textId="77777777" w:rsidR="00CE70FB" w:rsidRPr="00084257" w:rsidRDefault="00CE70FB" w:rsidP="00F554F8">
      <w:pPr>
        <w:ind w:left="66"/>
        <w:jc w:val="both"/>
        <w:rPr>
          <w:rFonts w:ascii="Effra" w:hAnsi="Effra" w:cs="Effra"/>
        </w:rPr>
      </w:pPr>
    </w:p>
    <w:p w14:paraId="34A108AD" w14:textId="77777777" w:rsidR="00F554F8" w:rsidRPr="00084257" w:rsidRDefault="00F554F8" w:rsidP="00F554F8">
      <w:pPr>
        <w:ind w:left="66"/>
        <w:jc w:val="both"/>
        <w:rPr>
          <w:rFonts w:ascii="Effra" w:hAnsi="Effra" w:cs="Effra"/>
        </w:rPr>
      </w:pPr>
    </w:p>
    <w:p w14:paraId="0DFF8F62" w14:textId="77777777" w:rsidR="00CE70FB" w:rsidRPr="002F7CB8" w:rsidRDefault="00CE70FB" w:rsidP="00CE70FB">
      <w:pPr>
        <w:widowControl w:val="0"/>
        <w:jc w:val="both"/>
        <w:rPr>
          <w:rFonts w:ascii="Tahoma" w:hAnsi="Tahoma" w:cs="Tahoma"/>
          <w:sz w:val="20"/>
          <w:szCs w:val="20"/>
        </w:rPr>
      </w:pPr>
    </w:p>
    <w:p w14:paraId="202C60F2" w14:textId="77777777" w:rsidR="00CE70FB" w:rsidRPr="002F7CB8" w:rsidRDefault="00CE70FB" w:rsidP="00CE70FB">
      <w:pPr>
        <w:widowControl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Pr="002F7CB8">
        <w:rPr>
          <w:rFonts w:ascii="Tahoma" w:hAnsi="Tahoma" w:cs="Tahoma"/>
          <w:sz w:val="20"/>
          <w:szCs w:val="20"/>
        </w:rPr>
        <w:t xml:space="preserve">_______________________________                      </w:t>
      </w:r>
      <w:r>
        <w:rPr>
          <w:rFonts w:ascii="Tahoma" w:hAnsi="Tahoma" w:cs="Tahoma"/>
          <w:sz w:val="20"/>
          <w:szCs w:val="20"/>
        </w:rPr>
        <w:tab/>
        <w:t xml:space="preserve">   </w:t>
      </w:r>
      <w:r w:rsidRPr="002F7CB8">
        <w:rPr>
          <w:rFonts w:ascii="Tahoma" w:hAnsi="Tahoma" w:cs="Tahoma"/>
          <w:sz w:val="20"/>
          <w:szCs w:val="20"/>
        </w:rPr>
        <w:t>_____________________________</w:t>
      </w:r>
      <w:r>
        <w:rPr>
          <w:rFonts w:ascii="Tahoma" w:hAnsi="Tahoma" w:cs="Tahoma"/>
          <w:sz w:val="20"/>
          <w:szCs w:val="20"/>
        </w:rPr>
        <w:t>____</w:t>
      </w:r>
      <w:r w:rsidRPr="002F7CB8">
        <w:rPr>
          <w:rFonts w:ascii="Tahoma" w:hAnsi="Tahoma" w:cs="Tahoma"/>
          <w:sz w:val="20"/>
          <w:szCs w:val="20"/>
        </w:rPr>
        <w:t>_</w:t>
      </w:r>
    </w:p>
    <w:p w14:paraId="618FDC2F" w14:textId="77777777" w:rsidR="00CE70FB" w:rsidRDefault="00CE70FB" w:rsidP="00CE70FB">
      <w:pPr>
        <w:widowControl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66FEE0B9" w14:textId="77777777" w:rsidR="00CE70FB" w:rsidRPr="002F7CB8" w:rsidRDefault="00CE70FB" w:rsidP="00CE70FB">
      <w:pPr>
        <w:widowControl w:val="0"/>
        <w:jc w:val="both"/>
        <w:rPr>
          <w:rFonts w:ascii="Tahoma" w:hAnsi="Tahoma" w:cs="Tahoma"/>
          <w:sz w:val="20"/>
          <w:szCs w:val="20"/>
        </w:rPr>
      </w:pPr>
      <w:r w:rsidRPr="002F7CB8">
        <w:rPr>
          <w:rFonts w:ascii="Tahoma" w:hAnsi="Tahoma" w:cs="Tahoma"/>
          <w:sz w:val="20"/>
          <w:szCs w:val="20"/>
        </w:rPr>
        <w:t>Mgr. PETR BIRKLEN – člen představenstva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Vojtěch Lekeš, </w:t>
      </w:r>
      <w:proofErr w:type="spellStart"/>
      <w:r>
        <w:rPr>
          <w:rFonts w:ascii="Tahoma" w:hAnsi="Tahoma" w:cs="Tahoma"/>
          <w:sz w:val="20"/>
          <w:szCs w:val="20"/>
        </w:rPr>
        <w:t>Msc</w:t>
      </w:r>
      <w:proofErr w:type="spellEnd"/>
      <w:r>
        <w:rPr>
          <w:rFonts w:ascii="Tahoma" w:hAnsi="Tahoma" w:cs="Tahoma"/>
          <w:sz w:val="20"/>
          <w:szCs w:val="20"/>
        </w:rPr>
        <w:t>, jednatel společnosti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5AFFF764" w14:textId="77777777" w:rsidR="00CE70FB" w:rsidRPr="00525898" w:rsidRDefault="00CE70FB" w:rsidP="00CE70FB">
      <w:pPr>
        <w:widowControl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2F7CB8">
        <w:rPr>
          <w:rFonts w:ascii="Tahoma" w:hAnsi="Tahoma" w:cs="Tahoma"/>
          <w:sz w:val="20"/>
          <w:szCs w:val="20"/>
        </w:rPr>
        <w:t xml:space="preserve">                </w:t>
      </w:r>
      <w:r w:rsidRPr="00525898">
        <w:rPr>
          <w:rFonts w:ascii="Tahoma" w:hAnsi="Tahoma" w:cs="Tahoma"/>
          <w:b/>
          <w:bCs/>
          <w:sz w:val="20"/>
          <w:szCs w:val="20"/>
        </w:rPr>
        <w:t>za objednatele                                                       za zhotovitele</w:t>
      </w:r>
    </w:p>
    <w:p w14:paraId="28C29D88" w14:textId="77777777" w:rsidR="00CE70FB" w:rsidRDefault="00CE70FB" w:rsidP="00CE70FB">
      <w:pPr>
        <w:widowControl w:val="0"/>
        <w:jc w:val="both"/>
        <w:rPr>
          <w:rFonts w:ascii="Tahoma" w:hAnsi="Tahoma" w:cs="Tahoma"/>
          <w:sz w:val="20"/>
          <w:szCs w:val="20"/>
        </w:rPr>
      </w:pPr>
    </w:p>
    <w:p w14:paraId="4D223AF4" w14:textId="77777777" w:rsidR="00CE70FB" w:rsidRDefault="00CE70FB" w:rsidP="00CE70FB">
      <w:pPr>
        <w:widowControl w:val="0"/>
        <w:jc w:val="both"/>
        <w:rPr>
          <w:rFonts w:ascii="Tahoma" w:hAnsi="Tahoma" w:cs="Tahoma"/>
          <w:sz w:val="20"/>
          <w:szCs w:val="20"/>
        </w:rPr>
      </w:pPr>
    </w:p>
    <w:p w14:paraId="353C8699" w14:textId="77777777" w:rsidR="00CE70FB" w:rsidRDefault="00CE70FB" w:rsidP="00CE70FB">
      <w:pPr>
        <w:widowControl w:val="0"/>
        <w:jc w:val="both"/>
        <w:rPr>
          <w:rFonts w:ascii="Tahoma" w:hAnsi="Tahoma" w:cs="Tahoma"/>
          <w:sz w:val="20"/>
          <w:szCs w:val="20"/>
        </w:rPr>
      </w:pPr>
    </w:p>
    <w:p w14:paraId="6E045AE5" w14:textId="77777777" w:rsidR="00CE70FB" w:rsidRDefault="00CE70FB" w:rsidP="00CE70FB">
      <w:pPr>
        <w:widowControl w:val="0"/>
        <w:jc w:val="both"/>
        <w:rPr>
          <w:rFonts w:ascii="Tahoma" w:hAnsi="Tahoma" w:cs="Tahoma"/>
          <w:sz w:val="20"/>
          <w:szCs w:val="20"/>
        </w:rPr>
      </w:pPr>
    </w:p>
    <w:p w14:paraId="381FEFB0" w14:textId="77777777" w:rsidR="00CE70FB" w:rsidRDefault="00CE70FB" w:rsidP="00CE70FB">
      <w:pPr>
        <w:widowControl w:val="0"/>
        <w:jc w:val="both"/>
        <w:rPr>
          <w:rFonts w:ascii="Tahoma" w:hAnsi="Tahoma" w:cs="Tahoma"/>
          <w:sz w:val="20"/>
          <w:szCs w:val="20"/>
        </w:rPr>
      </w:pPr>
    </w:p>
    <w:p w14:paraId="3C3B0D60" w14:textId="77777777" w:rsidR="00CE70FB" w:rsidRDefault="00CE70FB" w:rsidP="00CE70FB">
      <w:pPr>
        <w:widowControl w:val="0"/>
        <w:jc w:val="both"/>
        <w:rPr>
          <w:rFonts w:ascii="Tahoma" w:hAnsi="Tahoma" w:cs="Tahoma"/>
          <w:sz w:val="20"/>
          <w:szCs w:val="20"/>
        </w:rPr>
      </w:pPr>
    </w:p>
    <w:p w14:paraId="407CFEEE" w14:textId="77777777" w:rsidR="00CE70FB" w:rsidRPr="002F7CB8" w:rsidRDefault="00CE70FB" w:rsidP="00CE70FB">
      <w:pPr>
        <w:widowControl w:val="0"/>
        <w:jc w:val="both"/>
        <w:rPr>
          <w:rFonts w:ascii="Tahoma" w:hAnsi="Tahoma" w:cs="Tahoma"/>
          <w:sz w:val="20"/>
          <w:szCs w:val="20"/>
        </w:rPr>
      </w:pPr>
    </w:p>
    <w:p w14:paraId="164CCF40" w14:textId="77777777" w:rsidR="00CE70FB" w:rsidRPr="002F7CB8" w:rsidRDefault="00CE70FB" w:rsidP="00CE70FB">
      <w:pPr>
        <w:widowControl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Pr="002F7CB8">
        <w:rPr>
          <w:rFonts w:ascii="Tahoma" w:hAnsi="Tahoma" w:cs="Tahoma"/>
          <w:sz w:val="20"/>
          <w:szCs w:val="20"/>
        </w:rPr>
        <w:t xml:space="preserve">_______________________________                       </w:t>
      </w:r>
      <w:r>
        <w:rPr>
          <w:rFonts w:ascii="Tahoma" w:hAnsi="Tahoma" w:cs="Tahoma"/>
          <w:sz w:val="20"/>
          <w:szCs w:val="20"/>
        </w:rPr>
        <w:t xml:space="preserve">  </w:t>
      </w:r>
      <w:r w:rsidRPr="002F7CB8">
        <w:rPr>
          <w:rFonts w:ascii="Tahoma" w:hAnsi="Tahoma" w:cs="Tahoma"/>
          <w:sz w:val="20"/>
          <w:szCs w:val="20"/>
        </w:rPr>
        <w:t>____________________________</w:t>
      </w:r>
      <w:r>
        <w:rPr>
          <w:rFonts w:ascii="Tahoma" w:hAnsi="Tahoma" w:cs="Tahoma"/>
          <w:sz w:val="20"/>
          <w:szCs w:val="20"/>
        </w:rPr>
        <w:t>____</w:t>
      </w:r>
      <w:r w:rsidRPr="002F7CB8">
        <w:rPr>
          <w:rFonts w:ascii="Tahoma" w:hAnsi="Tahoma" w:cs="Tahoma"/>
          <w:sz w:val="20"/>
          <w:szCs w:val="20"/>
        </w:rPr>
        <w:t>_</w:t>
      </w:r>
    </w:p>
    <w:p w14:paraId="1BB7751D" w14:textId="77777777" w:rsidR="00CE70FB" w:rsidRDefault="00CE70FB" w:rsidP="00CE70FB">
      <w:pPr>
        <w:widowControl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6814891D" w14:textId="364629A3" w:rsidR="00CE70FB" w:rsidRPr="002F7CB8" w:rsidRDefault="00CE70FB" w:rsidP="00CE70FB">
      <w:pPr>
        <w:widowControl w:val="0"/>
        <w:jc w:val="both"/>
        <w:rPr>
          <w:rFonts w:ascii="Tahoma" w:hAnsi="Tahoma" w:cs="Tahoma"/>
          <w:sz w:val="20"/>
          <w:szCs w:val="20"/>
        </w:rPr>
      </w:pPr>
      <w:r w:rsidRPr="002F7CB8">
        <w:rPr>
          <w:rFonts w:ascii="Tahoma" w:hAnsi="Tahoma" w:cs="Tahoma"/>
          <w:sz w:val="20"/>
          <w:szCs w:val="20"/>
        </w:rPr>
        <w:t xml:space="preserve">Ing. </w:t>
      </w:r>
      <w:r w:rsidR="001205F1">
        <w:rPr>
          <w:rFonts w:ascii="Tahoma" w:hAnsi="Tahoma" w:cs="Tahoma"/>
          <w:sz w:val="20"/>
          <w:szCs w:val="20"/>
        </w:rPr>
        <w:t>VÁCLAV PALIČKA</w:t>
      </w:r>
      <w:r w:rsidRPr="002F7CB8">
        <w:rPr>
          <w:rFonts w:ascii="Tahoma" w:hAnsi="Tahoma" w:cs="Tahoma"/>
          <w:sz w:val="20"/>
          <w:szCs w:val="20"/>
        </w:rPr>
        <w:t xml:space="preserve"> – předseda představenstva</w:t>
      </w:r>
      <w:r>
        <w:rPr>
          <w:rFonts w:ascii="Tahoma" w:hAnsi="Tahoma" w:cs="Tahoma"/>
          <w:sz w:val="20"/>
          <w:szCs w:val="20"/>
        </w:rPr>
        <w:tab/>
        <w:t>Ing. Martin Zuštík, předseda správní rady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76DD047C" w14:textId="77777777" w:rsidR="00CE70FB" w:rsidRDefault="00CE70FB" w:rsidP="00CE70FB">
      <w:pPr>
        <w:widowControl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2F7CB8">
        <w:rPr>
          <w:rFonts w:ascii="Tahoma" w:hAnsi="Tahoma" w:cs="Tahoma"/>
          <w:sz w:val="20"/>
          <w:szCs w:val="20"/>
        </w:rPr>
        <w:t xml:space="preserve">                </w:t>
      </w:r>
      <w:r w:rsidRPr="00525898">
        <w:rPr>
          <w:rFonts w:ascii="Tahoma" w:hAnsi="Tahoma" w:cs="Tahoma"/>
          <w:b/>
          <w:bCs/>
          <w:sz w:val="20"/>
          <w:szCs w:val="20"/>
        </w:rPr>
        <w:t>za objednatele                                                       za zhotovitele</w:t>
      </w:r>
    </w:p>
    <w:p w14:paraId="20D6B788" w14:textId="77777777" w:rsidR="00F554F8" w:rsidRPr="00084257" w:rsidRDefault="00F554F8" w:rsidP="00F554F8">
      <w:pPr>
        <w:ind w:left="66"/>
        <w:jc w:val="both"/>
        <w:rPr>
          <w:rFonts w:ascii="Effra" w:hAnsi="Effra" w:cs="Effra"/>
        </w:rPr>
      </w:pPr>
    </w:p>
    <w:p w14:paraId="2DCA1F6C" w14:textId="77777777" w:rsidR="00972CBB" w:rsidRPr="00C85242" w:rsidRDefault="00972CBB" w:rsidP="00F554F8">
      <w:pPr>
        <w:rPr>
          <w:rFonts w:ascii="Effra" w:hAnsi="Effra" w:cs="Effra"/>
          <w:sz w:val="22"/>
          <w:szCs w:val="22"/>
        </w:rPr>
      </w:pPr>
    </w:p>
    <w:sectPr w:rsidR="00972CBB" w:rsidRPr="00C85242" w:rsidSect="00CB7549">
      <w:headerReference w:type="default" r:id="rId7"/>
      <w:footerReference w:type="default" r:id="rId8"/>
      <w:pgSz w:w="11900" w:h="16840"/>
      <w:pgMar w:top="1834" w:right="1128" w:bottom="1417" w:left="9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C86A3" w14:textId="77777777" w:rsidR="007446CA" w:rsidRDefault="007446CA" w:rsidP="00CB7549">
      <w:r>
        <w:separator/>
      </w:r>
    </w:p>
  </w:endnote>
  <w:endnote w:type="continuationSeparator" w:id="0">
    <w:p w14:paraId="222ABE3D" w14:textId="77777777" w:rsidR="007446CA" w:rsidRDefault="007446CA" w:rsidP="00CB7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ffra">
    <w:altName w:val="Calibri"/>
    <w:panose1 w:val="020B0603020203020204"/>
    <w:charset w:val="EE"/>
    <w:family w:val="swiss"/>
    <w:pitch w:val="variable"/>
    <w:sig w:usb0="A00022EF" w:usb1="D000A05B" w:usb2="00000008" w:usb3="00000000" w:csb0="000000DF" w:csb1="00000000"/>
  </w:font>
  <w:font w:name="Effra Light">
    <w:altName w:val="Calibri"/>
    <w:panose1 w:val="020B0403020203020204"/>
    <w:charset w:val="EE"/>
    <w:family w:val="swiss"/>
    <w:pitch w:val="variable"/>
    <w:sig w:usb0="A00022EF" w:usb1="D000A05B" w:usb2="00000008" w:usb3="00000000" w:csb0="000000D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0CBF3" w14:textId="77777777" w:rsidR="00CB7549" w:rsidRDefault="00CB7549" w:rsidP="00CB7549"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CA61AB2" wp14:editId="3B5B1F17">
          <wp:simplePos x="0" y="0"/>
          <wp:positionH relativeFrom="column">
            <wp:posOffset>3175</wp:posOffset>
          </wp:positionH>
          <wp:positionV relativeFrom="paragraph">
            <wp:posOffset>180340</wp:posOffset>
          </wp:positionV>
          <wp:extent cx="6191885" cy="190500"/>
          <wp:effectExtent l="0" t="0" r="5715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pati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88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ED0F1B" w14:textId="77777777" w:rsidR="00CB7549" w:rsidRDefault="00CB75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28678" w14:textId="77777777" w:rsidR="007446CA" w:rsidRDefault="007446CA" w:rsidP="00CB7549">
      <w:r>
        <w:separator/>
      </w:r>
    </w:p>
  </w:footnote>
  <w:footnote w:type="continuationSeparator" w:id="0">
    <w:p w14:paraId="18FBFA55" w14:textId="77777777" w:rsidR="007446CA" w:rsidRDefault="007446CA" w:rsidP="00CB7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C6F08" w14:textId="77777777" w:rsidR="00CB7549" w:rsidRDefault="00CB7549" w:rsidP="00CB7549"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1A9DBB3" wp14:editId="1C5E671A">
          <wp:simplePos x="0" y="0"/>
          <wp:positionH relativeFrom="column">
            <wp:posOffset>-12337</wp:posOffset>
          </wp:positionH>
          <wp:positionV relativeFrom="paragraph">
            <wp:posOffset>88265</wp:posOffset>
          </wp:positionV>
          <wp:extent cx="6206400" cy="4464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ahlavi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6400" cy="44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8C6478" w14:textId="77777777" w:rsidR="00CB7549" w:rsidRDefault="00CB75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8pt;height:31.8pt" o:bullet="t">
        <v:imagedata r:id="rId1" o:title="Datový zdroj 3"/>
      </v:shape>
    </w:pict>
  </w:numPicBullet>
  <w:abstractNum w:abstractNumId="0" w15:restartNumberingAfterBreak="0">
    <w:nsid w:val="9E8B9563"/>
    <w:multiLevelType w:val="hybridMultilevel"/>
    <w:tmpl w:val="307288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E9466C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i w:val="0"/>
        <w:iCs w:val="0"/>
        <w:color w:val="000000"/>
        <w:sz w:val="22"/>
        <w:szCs w:val="22"/>
      </w:rPr>
    </w:lvl>
  </w:abstractNum>
  <w:abstractNum w:abstractNumId="3" w15:restartNumberingAfterBreak="0">
    <w:nsid w:val="00000005"/>
    <w:multiLevelType w:val="multilevel"/>
    <w:tmpl w:val="AFC82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i w:val="0"/>
        <w:iCs w:val="0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i w:val="0"/>
        <w:iCs w:val="0"/>
        <w:color w:val="000000"/>
        <w:sz w:val="22"/>
        <w:szCs w:val="22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8" w15:restartNumberingAfterBreak="0">
    <w:nsid w:val="00AD0D4B"/>
    <w:multiLevelType w:val="hybridMultilevel"/>
    <w:tmpl w:val="CD7ED2AE"/>
    <w:lvl w:ilvl="0" w:tplc="ED0A3160">
      <w:start w:val="1"/>
      <w:numFmt w:val="bullet"/>
      <w:pStyle w:val="MSIDodrky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E12776"/>
    <w:multiLevelType w:val="hybridMultilevel"/>
    <w:tmpl w:val="116A58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4763CC"/>
    <w:multiLevelType w:val="hybridMultilevel"/>
    <w:tmpl w:val="A686EE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380AA9"/>
    <w:multiLevelType w:val="multilevel"/>
    <w:tmpl w:val="6504A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89141B6"/>
    <w:multiLevelType w:val="hybridMultilevel"/>
    <w:tmpl w:val="B906AE8C"/>
    <w:lvl w:ilvl="0" w:tplc="0FAA34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5F3C6D"/>
    <w:multiLevelType w:val="multilevel"/>
    <w:tmpl w:val="ABF0B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0C460D6"/>
    <w:multiLevelType w:val="hybridMultilevel"/>
    <w:tmpl w:val="AE4AED4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0EB28FD"/>
    <w:multiLevelType w:val="hybridMultilevel"/>
    <w:tmpl w:val="55DEB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E66206"/>
    <w:multiLevelType w:val="hybridMultilevel"/>
    <w:tmpl w:val="BB4848A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159E1482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</w:abstractNum>
  <w:abstractNum w:abstractNumId="18" w15:restartNumberingAfterBreak="0">
    <w:nsid w:val="17B24617"/>
    <w:multiLevelType w:val="hybridMultilevel"/>
    <w:tmpl w:val="74CAF096"/>
    <w:lvl w:ilvl="0" w:tplc="A0F8F99C">
      <w:start w:val="13"/>
      <w:numFmt w:val="bullet"/>
      <w:lvlText w:val="-"/>
      <w:lvlJc w:val="left"/>
      <w:pPr>
        <w:ind w:left="928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88773A5"/>
    <w:multiLevelType w:val="hybridMultilevel"/>
    <w:tmpl w:val="AE4AED4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D392E5C"/>
    <w:multiLevelType w:val="hybridMultilevel"/>
    <w:tmpl w:val="715E94A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2DB340C"/>
    <w:multiLevelType w:val="hybridMultilevel"/>
    <w:tmpl w:val="DC64A85A"/>
    <w:lvl w:ilvl="0" w:tplc="4DEA6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947052"/>
    <w:multiLevelType w:val="multilevel"/>
    <w:tmpl w:val="2C503E4C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3" w15:restartNumberingAfterBreak="0">
    <w:nsid w:val="39204137"/>
    <w:multiLevelType w:val="hybridMultilevel"/>
    <w:tmpl w:val="40FA0A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73555B"/>
    <w:multiLevelType w:val="multilevel"/>
    <w:tmpl w:val="7CF0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5" w15:restartNumberingAfterBreak="0">
    <w:nsid w:val="3ED35ABA"/>
    <w:multiLevelType w:val="multilevel"/>
    <w:tmpl w:val="F6A0E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56958397"/>
    <w:multiLevelType w:val="hybridMultilevel"/>
    <w:tmpl w:val="259C1F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FC7776F"/>
    <w:multiLevelType w:val="hybridMultilevel"/>
    <w:tmpl w:val="F404DB1C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</w:lvl>
    <w:lvl w:ilvl="1" w:tplc="4184D52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8" w15:restartNumberingAfterBreak="0">
    <w:nsid w:val="7036294E"/>
    <w:multiLevelType w:val="singleLevel"/>
    <w:tmpl w:val="540CB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33973114">
    <w:abstractNumId w:val="8"/>
  </w:num>
  <w:num w:numId="2" w16cid:durableId="167529087">
    <w:abstractNumId w:val="1"/>
  </w:num>
  <w:num w:numId="3" w16cid:durableId="556208527">
    <w:abstractNumId w:val="2"/>
  </w:num>
  <w:num w:numId="4" w16cid:durableId="1957368301">
    <w:abstractNumId w:val="3"/>
  </w:num>
  <w:num w:numId="5" w16cid:durableId="883753241">
    <w:abstractNumId w:val="4"/>
  </w:num>
  <w:num w:numId="6" w16cid:durableId="1988389228">
    <w:abstractNumId w:val="5"/>
  </w:num>
  <w:num w:numId="7" w16cid:durableId="455414083">
    <w:abstractNumId w:val="6"/>
  </w:num>
  <w:num w:numId="8" w16cid:durableId="141239271">
    <w:abstractNumId w:val="7"/>
  </w:num>
  <w:num w:numId="9" w16cid:durableId="268898306">
    <w:abstractNumId w:val="19"/>
  </w:num>
  <w:num w:numId="10" w16cid:durableId="1669554065">
    <w:abstractNumId w:val="26"/>
  </w:num>
  <w:num w:numId="11" w16cid:durableId="949700011">
    <w:abstractNumId w:val="0"/>
  </w:num>
  <w:num w:numId="12" w16cid:durableId="1763262275">
    <w:abstractNumId w:val="25"/>
  </w:num>
  <w:num w:numId="13" w16cid:durableId="1756393067">
    <w:abstractNumId w:val="9"/>
  </w:num>
  <w:num w:numId="14" w16cid:durableId="929195204">
    <w:abstractNumId w:val="14"/>
  </w:num>
  <w:num w:numId="15" w16cid:durableId="2091728483">
    <w:abstractNumId w:val="11"/>
  </w:num>
  <w:num w:numId="16" w16cid:durableId="13305932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01682535">
    <w:abstractNumId w:val="20"/>
  </w:num>
  <w:num w:numId="18" w16cid:durableId="606696786">
    <w:abstractNumId w:val="10"/>
  </w:num>
  <w:num w:numId="19" w16cid:durableId="741365240">
    <w:abstractNumId w:val="23"/>
  </w:num>
  <w:num w:numId="20" w16cid:durableId="1517690164">
    <w:abstractNumId w:val="15"/>
  </w:num>
  <w:num w:numId="21" w16cid:durableId="1662003114">
    <w:abstractNumId w:val="16"/>
  </w:num>
  <w:num w:numId="22" w16cid:durableId="1886595307">
    <w:abstractNumId w:val="17"/>
  </w:num>
  <w:num w:numId="23" w16cid:durableId="7037462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57985747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05510941">
    <w:abstractNumId w:val="18"/>
  </w:num>
  <w:num w:numId="26" w16cid:durableId="523441685">
    <w:abstractNumId w:val="28"/>
    <w:lvlOverride w:ilvl="0">
      <w:startOverride w:val="1"/>
    </w:lvlOverride>
  </w:num>
  <w:num w:numId="27" w16cid:durableId="18329116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2102662">
    <w:abstractNumId w:val="21"/>
  </w:num>
  <w:num w:numId="29" w16cid:durableId="18923797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980"/>
    <w:rsid w:val="0000139A"/>
    <w:rsid w:val="0000486F"/>
    <w:rsid w:val="0002108E"/>
    <w:rsid w:val="00082CF3"/>
    <w:rsid w:val="00083999"/>
    <w:rsid w:val="00084257"/>
    <w:rsid w:val="00092403"/>
    <w:rsid w:val="00097B38"/>
    <w:rsid w:val="000A4064"/>
    <w:rsid w:val="000C2F1E"/>
    <w:rsid w:val="000E2B82"/>
    <w:rsid w:val="00106CF6"/>
    <w:rsid w:val="001205F1"/>
    <w:rsid w:val="00134B6A"/>
    <w:rsid w:val="00153621"/>
    <w:rsid w:val="001548BC"/>
    <w:rsid w:val="00191329"/>
    <w:rsid w:val="00197CF7"/>
    <w:rsid w:val="001A6D54"/>
    <w:rsid w:val="001D037C"/>
    <w:rsid w:val="001E07BD"/>
    <w:rsid w:val="001F68D9"/>
    <w:rsid w:val="00223844"/>
    <w:rsid w:val="002438C1"/>
    <w:rsid w:val="00250B9B"/>
    <w:rsid w:val="00251D45"/>
    <w:rsid w:val="00272E90"/>
    <w:rsid w:val="002C0744"/>
    <w:rsid w:val="002E068D"/>
    <w:rsid w:val="002F6392"/>
    <w:rsid w:val="00304E8B"/>
    <w:rsid w:val="00356A59"/>
    <w:rsid w:val="003A18A8"/>
    <w:rsid w:val="003B1CB6"/>
    <w:rsid w:val="003D287D"/>
    <w:rsid w:val="003E09A0"/>
    <w:rsid w:val="003E7A2F"/>
    <w:rsid w:val="003F7EBC"/>
    <w:rsid w:val="0043603B"/>
    <w:rsid w:val="0043766C"/>
    <w:rsid w:val="00443F5C"/>
    <w:rsid w:val="004511FC"/>
    <w:rsid w:val="004521FE"/>
    <w:rsid w:val="00460957"/>
    <w:rsid w:val="004B78B1"/>
    <w:rsid w:val="004E0DFC"/>
    <w:rsid w:val="004E7A47"/>
    <w:rsid w:val="00506A91"/>
    <w:rsid w:val="00517355"/>
    <w:rsid w:val="00520B1B"/>
    <w:rsid w:val="00532D51"/>
    <w:rsid w:val="005571AE"/>
    <w:rsid w:val="00561412"/>
    <w:rsid w:val="005650E4"/>
    <w:rsid w:val="00595980"/>
    <w:rsid w:val="006019D5"/>
    <w:rsid w:val="0062263C"/>
    <w:rsid w:val="00634E90"/>
    <w:rsid w:val="0065168F"/>
    <w:rsid w:val="00680AF2"/>
    <w:rsid w:val="006962DF"/>
    <w:rsid w:val="006A0A39"/>
    <w:rsid w:val="006F21D7"/>
    <w:rsid w:val="00714DD8"/>
    <w:rsid w:val="007242EE"/>
    <w:rsid w:val="007446CA"/>
    <w:rsid w:val="00761A44"/>
    <w:rsid w:val="007C0F13"/>
    <w:rsid w:val="007C6907"/>
    <w:rsid w:val="007E3415"/>
    <w:rsid w:val="00816649"/>
    <w:rsid w:val="008239A5"/>
    <w:rsid w:val="00835F35"/>
    <w:rsid w:val="00836BAE"/>
    <w:rsid w:val="00841F95"/>
    <w:rsid w:val="008E606A"/>
    <w:rsid w:val="008E7A48"/>
    <w:rsid w:val="00934312"/>
    <w:rsid w:val="00972CBB"/>
    <w:rsid w:val="009813F2"/>
    <w:rsid w:val="009832CA"/>
    <w:rsid w:val="00991255"/>
    <w:rsid w:val="009A5EB5"/>
    <w:rsid w:val="009E5C05"/>
    <w:rsid w:val="009E7F54"/>
    <w:rsid w:val="00A024B7"/>
    <w:rsid w:val="00A126BC"/>
    <w:rsid w:val="00A23C17"/>
    <w:rsid w:val="00A41613"/>
    <w:rsid w:val="00A4220E"/>
    <w:rsid w:val="00A64A37"/>
    <w:rsid w:val="00AD2CA5"/>
    <w:rsid w:val="00B069D0"/>
    <w:rsid w:val="00B35443"/>
    <w:rsid w:val="00B37832"/>
    <w:rsid w:val="00B512C6"/>
    <w:rsid w:val="00B54EB8"/>
    <w:rsid w:val="00B629F2"/>
    <w:rsid w:val="00B74A0D"/>
    <w:rsid w:val="00B750D1"/>
    <w:rsid w:val="00B85AF0"/>
    <w:rsid w:val="00BB3D93"/>
    <w:rsid w:val="00BC189E"/>
    <w:rsid w:val="00BC3B41"/>
    <w:rsid w:val="00C32744"/>
    <w:rsid w:val="00C53856"/>
    <w:rsid w:val="00C572B4"/>
    <w:rsid w:val="00C71391"/>
    <w:rsid w:val="00C85242"/>
    <w:rsid w:val="00CB7549"/>
    <w:rsid w:val="00CE70FB"/>
    <w:rsid w:val="00CF3ECA"/>
    <w:rsid w:val="00D02109"/>
    <w:rsid w:val="00D226E9"/>
    <w:rsid w:val="00D33DFE"/>
    <w:rsid w:val="00D50129"/>
    <w:rsid w:val="00D62E3C"/>
    <w:rsid w:val="00D75FEF"/>
    <w:rsid w:val="00DB15C1"/>
    <w:rsid w:val="00DC397A"/>
    <w:rsid w:val="00DD34DB"/>
    <w:rsid w:val="00E06875"/>
    <w:rsid w:val="00E33993"/>
    <w:rsid w:val="00E4299D"/>
    <w:rsid w:val="00E71045"/>
    <w:rsid w:val="00E72014"/>
    <w:rsid w:val="00E76381"/>
    <w:rsid w:val="00E968D8"/>
    <w:rsid w:val="00ED1D61"/>
    <w:rsid w:val="00ED78FD"/>
    <w:rsid w:val="00EF002B"/>
    <w:rsid w:val="00F0103E"/>
    <w:rsid w:val="00F25F3B"/>
    <w:rsid w:val="00F50854"/>
    <w:rsid w:val="00F534C8"/>
    <w:rsid w:val="00F554F8"/>
    <w:rsid w:val="00F70E33"/>
    <w:rsid w:val="00F74B97"/>
    <w:rsid w:val="00FB0DB7"/>
    <w:rsid w:val="00FB4EEA"/>
    <w:rsid w:val="00FB72C8"/>
    <w:rsid w:val="00FC23A2"/>
    <w:rsid w:val="00FD0058"/>
    <w:rsid w:val="00FE5AC5"/>
    <w:rsid w:val="00FE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5EA4AC9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B754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IDodrky">
    <w:name w:val="MSID_odrážky"/>
    <w:basedOn w:val="Normln"/>
    <w:next w:val="Normln"/>
    <w:autoRedefine/>
    <w:qFormat/>
    <w:rsid w:val="00D226E9"/>
    <w:pPr>
      <w:numPr>
        <w:numId w:val="1"/>
      </w:numPr>
      <w:spacing w:before="120" w:after="120"/>
      <w:jc w:val="both"/>
    </w:pPr>
    <w:rPr>
      <w:rFonts w:ascii="Effra" w:hAnsi="Effra"/>
      <w:color w:val="595959" w:themeColor="text1" w:themeTint="A6"/>
      <w:sz w:val="22"/>
    </w:rPr>
  </w:style>
  <w:style w:type="paragraph" w:customStyle="1" w:styleId="MSIDtext">
    <w:name w:val="MSID_text"/>
    <w:basedOn w:val="Normln"/>
    <w:qFormat/>
    <w:rsid w:val="00D226E9"/>
    <w:rPr>
      <w:rFonts w:ascii="Effra Light" w:hAnsi="Effra Light" w:cs="Effra Light"/>
      <w:color w:val="595959" w:themeColor="text1" w:themeTint="A6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rsid w:val="00CB754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B754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platne1">
    <w:name w:val="platne1"/>
    <w:basedOn w:val="Standardnpsmoodstavce"/>
    <w:rsid w:val="00F554F8"/>
  </w:style>
  <w:style w:type="character" w:customStyle="1" w:styleId="nowrap">
    <w:name w:val="nowrap"/>
    <w:rsid w:val="00F554F8"/>
  </w:style>
  <w:style w:type="character" w:styleId="Hypertextovodkaz">
    <w:name w:val="Hyperlink"/>
    <w:uiPriority w:val="99"/>
    <w:unhideWhenUsed/>
    <w:rsid w:val="00F554F8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E60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606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60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60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606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60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606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E606A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preformatted">
    <w:name w:val="preformatted"/>
    <w:basedOn w:val="Standardnpsmoodstavce"/>
    <w:rsid w:val="00197CF7"/>
  </w:style>
  <w:style w:type="character" w:customStyle="1" w:styleId="zapatiChar">
    <w:name w:val="zapati Char"/>
    <w:basedOn w:val="Standardnpsmoodstavce"/>
    <w:link w:val="zapati"/>
    <w:locked/>
    <w:rsid w:val="00197CF7"/>
    <w:rPr>
      <w:rFonts w:ascii="Trebuchet MS" w:hAnsi="Trebuchet MS"/>
      <w:color w:val="404040"/>
    </w:rPr>
  </w:style>
  <w:style w:type="paragraph" w:customStyle="1" w:styleId="zapati">
    <w:name w:val="zapati"/>
    <w:basedOn w:val="Normln"/>
    <w:link w:val="zapatiChar"/>
    <w:rsid w:val="00197CF7"/>
    <w:pPr>
      <w:ind w:right="707"/>
      <w:jc w:val="center"/>
    </w:pPr>
    <w:rPr>
      <w:rFonts w:ascii="Trebuchet MS" w:hAnsi="Trebuchet MS"/>
      <w:color w:val="404040"/>
    </w:rPr>
  </w:style>
  <w:style w:type="paragraph" w:styleId="Odstavecseseznamem">
    <w:name w:val="List Paragraph"/>
    <w:basedOn w:val="Normln"/>
    <w:uiPriority w:val="34"/>
    <w:qFormat/>
    <w:rsid w:val="00C572B4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EF0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002B"/>
  </w:style>
  <w:style w:type="paragraph" w:styleId="Zpat">
    <w:name w:val="footer"/>
    <w:basedOn w:val="Normln"/>
    <w:link w:val="ZpatChar"/>
    <w:uiPriority w:val="99"/>
    <w:unhideWhenUsed/>
    <w:rsid w:val="00EF00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002B"/>
  </w:style>
  <w:style w:type="paragraph" w:styleId="Revize">
    <w:name w:val="Revision"/>
    <w:hidden/>
    <w:uiPriority w:val="99"/>
    <w:semiHidden/>
    <w:rsid w:val="005650E4"/>
  </w:style>
  <w:style w:type="paragraph" w:customStyle="1" w:styleId="slovanPododstavecSmlouvy">
    <w:name w:val="ČíslovanýPododstavecSmlouvy"/>
    <w:basedOn w:val="Normln"/>
    <w:rsid w:val="00835F35"/>
    <w:pPr>
      <w:numPr>
        <w:numId w:val="24"/>
      </w:numPr>
      <w:ind w:left="0" w:firstLine="0"/>
      <w:jc w:val="both"/>
    </w:pPr>
    <w:rPr>
      <w:rFonts w:ascii="Times New Roman" w:hAnsi="Times New Roman" w:cs="Times New Roman"/>
      <w:lang w:eastAsia="cs-CZ"/>
    </w:rPr>
  </w:style>
  <w:style w:type="paragraph" w:customStyle="1" w:styleId="OdstavecSmlouvy">
    <w:name w:val="OdstavecSmlouvy"/>
    <w:basedOn w:val="Normln"/>
    <w:rsid w:val="00835F35"/>
    <w:pPr>
      <w:spacing w:after="120"/>
      <w:jc w:val="both"/>
    </w:pPr>
    <w:rPr>
      <w:rFonts w:ascii="Times New Roman" w:hAnsi="Times New Roman" w:cs="Times New Roman"/>
      <w:lang w:eastAsia="cs-CZ"/>
    </w:rPr>
  </w:style>
  <w:style w:type="paragraph" w:customStyle="1" w:styleId="CharCharChar">
    <w:name w:val="Char Char Char"/>
    <w:basedOn w:val="Normln"/>
    <w:rsid w:val="00CE70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2022-09-06T13:55:00Z</dcterms:created>
  <dcterms:modified xsi:type="dcterms:W3CDTF">2022-09-06T13:55:00Z</dcterms:modified>
</cp:coreProperties>
</file>