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BE624B">
        <w:rPr>
          <w:rFonts w:ascii="Segoe UI" w:hAnsi="Segoe UI" w:cs="Segoe UI"/>
          <w:color w:val="808080" w:themeColor="background1" w:themeShade="80"/>
          <w:sz w:val="32"/>
          <w:szCs w:val="32"/>
        </w:rPr>
        <w:t>44</w:t>
      </w:r>
      <w:r w:rsidR="005B166C">
        <w:rPr>
          <w:rFonts w:ascii="Segoe UI" w:hAnsi="Segoe UI" w:cs="Segoe UI"/>
          <w:color w:val="808080" w:themeColor="background1" w:themeShade="80"/>
          <w:sz w:val="32"/>
          <w:szCs w:val="32"/>
        </w:rPr>
        <w:t>3</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5B166C"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obec Čejov</w:t>
      </w:r>
    </w:p>
    <w:p w:rsidR="00A709AD" w:rsidRPr="00BE624B"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5B166C">
        <w:rPr>
          <w:rFonts w:ascii="Segoe UI" w:hAnsi="Segoe UI" w:cs="Segoe UI"/>
          <w:color w:val="000000" w:themeColor="text1"/>
          <w:sz w:val="20"/>
        </w:rPr>
        <w:t>Obecní úřad Čejov, Čejov 191, 369 01 Čejov</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DE37CF">
        <w:rPr>
          <w:rFonts w:ascii="Segoe UI" w:hAnsi="Segoe UI" w:cs="Segoe UI"/>
          <w:color w:val="000000" w:themeColor="text1"/>
          <w:sz w:val="20"/>
        </w:rPr>
        <w:t>2</w:t>
      </w:r>
      <w:r w:rsidR="005B166C">
        <w:rPr>
          <w:rFonts w:ascii="Segoe UI" w:hAnsi="Segoe UI" w:cs="Segoe UI"/>
          <w:color w:val="000000" w:themeColor="text1"/>
          <w:sz w:val="20"/>
        </w:rPr>
        <w:t>48002</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5B166C">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5B166C">
        <w:rPr>
          <w:rFonts w:ascii="Segoe UI" w:hAnsi="Segoe UI" w:cs="Segoe UI"/>
          <w:color w:val="000000" w:themeColor="text1"/>
          <w:sz w:val="20"/>
        </w:rPr>
        <w:t xml:space="preserve">Ing. </w:t>
      </w:r>
      <w:r w:rsidR="00BE624B">
        <w:rPr>
          <w:rFonts w:ascii="Segoe UI" w:hAnsi="Segoe UI" w:cs="Segoe UI"/>
          <w:color w:val="000000" w:themeColor="text1"/>
          <w:sz w:val="20"/>
        </w:rPr>
        <w:t xml:space="preserve">Josefem </w:t>
      </w:r>
      <w:r w:rsidR="005B166C">
        <w:rPr>
          <w:rFonts w:ascii="Segoe UI" w:hAnsi="Segoe UI" w:cs="Segoe UI"/>
          <w:color w:val="000000" w:themeColor="text1"/>
          <w:sz w:val="20"/>
        </w:rPr>
        <w:t>S v o b o d o u</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5B166C" w:rsidRPr="005B166C">
        <w:rPr>
          <w:rFonts w:ascii="Segoe UI" w:hAnsi="Segoe UI" w:cs="Segoe UI"/>
          <w:bCs/>
          <w:color w:val="auto"/>
          <w:sz w:val="20"/>
        </w:rPr>
        <w:t>94-10619261/0710</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BE624B">
        <w:rPr>
          <w:rFonts w:ascii="Segoe UI" w:hAnsi="Segoe UI" w:cs="Segoe UI"/>
          <w:color w:val="000000" w:themeColor="text1"/>
          <w:sz w:val="20"/>
        </w:rPr>
        <w:t>44</w:t>
      </w:r>
      <w:r w:rsidR="005B166C">
        <w:rPr>
          <w:rFonts w:ascii="Segoe UI" w:hAnsi="Segoe UI" w:cs="Segoe UI"/>
          <w:color w:val="000000" w:themeColor="text1"/>
          <w:sz w:val="20"/>
        </w:rPr>
        <w:t>3</w:t>
      </w:r>
      <w:r w:rsidR="00A813EB">
        <w:rPr>
          <w:rFonts w:ascii="Segoe UI" w:hAnsi="Segoe UI" w:cs="Segoe UI"/>
          <w:color w:val="000000" w:themeColor="text1"/>
          <w:sz w:val="20"/>
        </w:rPr>
        <w:t>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5D3FA4">
        <w:rPr>
          <w:rFonts w:ascii="Segoe UI" w:hAnsi="Segoe UI" w:cs="Segoe UI"/>
          <w:color w:val="000000" w:themeColor="text1"/>
          <w:sz w:val="20"/>
        </w:rPr>
        <w:t>24</w:t>
      </w:r>
      <w:r w:rsidR="00B477F4" w:rsidRPr="00640C14">
        <w:rPr>
          <w:rFonts w:ascii="Segoe UI" w:hAnsi="Segoe UI" w:cs="Segoe UI"/>
          <w:color w:val="000000" w:themeColor="text1"/>
          <w:sz w:val="20"/>
        </w:rPr>
        <w:t xml:space="preserve">. </w:t>
      </w:r>
      <w:r w:rsidR="005D3FA4">
        <w:rPr>
          <w:rFonts w:ascii="Segoe UI" w:hAnsi="Segoe UI" w:cs="Segoe UI"/>
          <w:color w:val="000000" w:themeColor="text1"/>
          <w:sz w:val="20"/>
        </w:rPr>
        <w:t>5</w:t>
      </w:r>
      <w:r w:rsidR="00B477F4" w:rsidRPr="00640C14">
        <w:rPr>
          <w:rFonts w:ascii="Segoe UI" w:hAnsi="Segoe UI" w:cs="Segoe UI"/>
          <w:color w:val="000000" w:themeColor="text1"/>
          <w:sz w:val="20"/>
        </w:rPr>
        <w:t>. 20</w:t>
      </w:r>
      <w:r w:rsidR="00A813EB">
        <w:rPr>
          <w:rFonts w:ascii="Segoe UI" w:hAnsi="Segoe UI" w:cs="Segoe UI"/>
          <w:color w:val="000000" w:themeColor="text1"/>
          <w:sz w:val="20"/>
        </w:rPr>
        <w:t>2</w:t>
      </w:r>
      <w:r w:rsidR="0008583F">
        <w:rPr>
          <w:rFonts w:ascii="Segoe UI" w:hAnsi="Segoe UI" w:cs="Segoe UI"/>
          <w:color w:val="000000" w:themeColor="text1"/>
          <w:sz w:val="20"/>
        </w:rPr>
        <w:t>1</w:t>
      </w:r>
      <w:r w:rsidR="00804463">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A813EB" w:rsidRDefault="00845099" w:rsidP="00964A37">
      <w:pPr>
        <w:pStyle w:val="Zkladntext"/>
        <w:spacing w:before="120"/>
        <w:ind w:left="284" w:hanging="284"/>
        <w:jc w:val="center"/>
        <w:rPr>
          <w:rFonts w:ascii="Segoe UI" w:hAnsi="Segoe UI" w:cs="Segoe UI"/>
          <w:b/>
          <w:color w:val="000000" w:themeColor="text1"/>
          <w:sz w:val="20"/>
        </w:rPr>
      </w:pPr>
      <w:r w:rsidRPr="00A813EB">
        <w:rPr>
          <w:rFonts w:ascii="Segoe UI" w:hAnsi="Segoe UI" w:cs="Segoe UI"/>
          <w:b/>
          <w:color w:val="000000" w:themeColor="text1"/>
          <w:sz w:val="20"/>
        </w:rPr>
        <w:t>„</w:t>
      </w:r>
      <w:r w:rsidR="005B166C" w:rsidRPr="005B166C">
        <w:rPr>
          <w:rFonts w:ascii="Segoe UI" w:hAnsi="Segoe UI" w:cs="Segoe UI"/>
          <w:b/>
          <w:bCs/>
          <w:color w:val="auto"/>
          <w:sz w:val="20"/>
        </w:rPr>
        <w:t>Čejov - posilové vodní zdroje</w:t>
      </w:r>
      <w:r w:rsidR="00B477F4" w:rsidRPr="00A813EB">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w:t>
      </w:r>
      <w:r w:rsidR="005B166C">
        <w:rPr>
          <w:rFonts w:ascii="Segoe UI" w:hAnsi="Segoe UI" w:cs="Segoe UI"/>
          <w:color w:val="000000" w:themeColor="text1"/>
          <w:sz w:val="20"/>
        </w:rPr>
        <w:t>roce</w:t>
      </w:r>
      <w:r w:rsidR="00BE624B">
        <w:rPr>
          <w:rFonts w:ascii="Segoe UI" w:hAnsi="Segoe UI" w:cs="Segoe UI"/>
          <w:color w:val="000000" w:themeColor="text1"/>
          <w:sz w:val="20"/>
        </w:rPr>
        <w:t xml:space="preserve"> 202</w:t>
      </w:r>
      <w:r w:rsidR="005B166C">
        <w:rPr>
          <w:rFonts w:ascii="Segoe UI" w:hAnsi="Segoe UI" w:cs="Segoe UI"/>
          <w:color w:val="000000" w:themeColor="text1"/>
          <w:sz w:val="20"/>
        </w:rPr>
        <w:t>0</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BE624B">
        <w:rPr>
          <w:rFonts w:ascii="Segoe UI" w:hAnsi="Segoe UI" w:cs="Segoe UI"/>
          <w:b/>
          <w:color w:val="000000" w:themeColor="text1"/>
          <w:sz w:val="20"/>
        </w:rPr>
        <w:t>4</w:t>
      </w:r>
      <w:r w:rsidR="005B166C">
        <w:rPr>
          <w:rFonts w:ascii="Segoe UI" w:hAnsi="Segoe UI" w:cs="Segoe UI"/>
          <w:b/>
          <w:color w:val="000000" w:themeColor="text1"/>
          <w:sz w:val="20"/>
        </w:rPr>
        <w:t>27</w:t>
      </w:r>
      <w:r w:rsidR="00BE624B">
        <w:rPr>
          <w:rFonts w:ascii="Segoe UI" w:hAnsi="Segoe UI" w:cs="Segoe UI"/>
          <w:b/>
          <w:color w:val="000000" w:themeColor="text1"/>
          <w:sz w:val="20"/>
        </w:rPr>
        <w:t xml:space="preserve"> </w:t>
      </w:r>
      <w:r w:rsidR="005B166C">
        <w:rPr>
          <w:rFonts w:ascii="Segoe UI" w:hAnsi="Segoe UI" w:cs="Segoe UI"/>
          <w:b/>
          <w:color w:val="000000" w:themeColor="text1"/>
          <w:sz w:val="20"/>
        </w:rPr>
        <w:t>725</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BE624B">
        <w:rPr>
          <w:rFonts w:ascii="Segoe UI" w:hAnsi="Segoe UI" w:cs="Segoe UI"/>
          <w:color w:val="000000" w:themeColor="text1"/>
          <w:sz w:val="20"/>
        </w:rPr>
        <w:t xml:space="preserve">čtyři sta </w:t>
      </w:r>
      <w:r w:rsidR="005B166C">
        <w:rPr>
          <w:rFonts w:ascii="Segoe UI" w:hAnsi="Segoe UI" w:cs="Segoe UI"/>
          <w:color w:val="000000" w:themeColor="text1"/>
          <w:sz w:val="20"/>
        </w:rPr>
        <w:t>dvacet sedm</w:t>
      </w:r>
      <w:r w:rsidR="0008583F">
        <w:rPr>
          <w:rFonts w:ascii="Segoe UI" w:hAnsi="Segoe UI" w:cs="Segoe UI"/>
          <w:color w:val="000000" w:themeColor="text1"/>
          <w:sz w:val="20"/>
        </w:rPr>
        <w:t xml:space="preserve"> </w:t>
      </w:r>
      <w:r w:rsidR="00FA6637">
        <w:rPr>
          <w:rFonts w:ascii="Segoe UI" w:hAnsi="Segoe UI" w:cs="Segoe UI"/>
          <w:color w:val="000000" w:themeColor="text1"/>
          <w:sz w:val="20"/>
        </w:rPr>
        <w:t xml:space="preserve">tisíc </w:t>
      </w:r>
      <w:r w:rsidR="005B166C">
        <w:rPr>
          <w:rFonts w:ascii="Segoe UI" w:hAnsi="Segoe UI" w:cs="Segoe UI"/>
          <w:color w:val="000000" w:themeColor="text1"/>
          <w:sz w:val="20"/>
        </w:rPr>
        <w:t>sedm set dvacet pět</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5B166C">
        <w:rPr>
          <w:rFonts w:ascii="Segoe UI" w:hAnsi="Segoe UI" w:cs="Segoe UI"/>
          <w:color w:val="000000" w:themeColor="text1"/>
          <w:sz w:val="20"/>
        </w:rPr>
        <w:t>712 875</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BE624B">
        <w:rPr>
          <w:rFonts w:ascii="Segoe UI" w:hAnsi="Segoe UI" w:cs="Segoe UI"/>
          <w:color w:val="000000" w:themeColor="text1"/>
          <w:sz w:val="20"/>
        </w:rPr>
        <w:t>6</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08583F">
        <w:rPr>
          <w:rFonts w:ascii="Segoe UI" w:hAnsi="Segoe UI" w:cs="Segoe UI"/>
          <w:color w:val="000000" w:themeColor="text1"/>
          <w:sz w:val="20"/>
        </w:rPr>
        <w:t>2</w:t>
      </w:r>
      <w:r w:rsidR="000E671A" w:rsidRPr="00640C14">
        <w:rPr>
          <w:rFonts w:ascii="Segoe UI" w:hAnsi="Segoe UI" w:cs="Segoe UI"/>
          <w:color w:val="000000" w:themeColor="text1"/>
          <w:sz w:val="20"/>
        </w:rPr>
        <w:t xml:space="preserve"> ve </w:t>
      </w:r>
      <w:r w:rsidR="000E671A" w:rsidRPr="00BE624B">
        <w:rPr>
          <w:rFonts w:ascii="Segoe UI" w:hAnsi="Segoe UI" w:cs="Segoe UI"/>
          <w:color w:val="000000" w:themeColor="text1"/>
          <w:sz w:val="20"/>
        </w:rPr>
        <w:t xml:space="preserve">výši </w:t>
      </w:r>
      <w:r w:rsidR="005B166C" w:rsidRPr="005B166C">
        <w:rPr>
          <w:rFonts w:ascii="Segoe UI" w:hAnsi="Segoe UI" w:cs="Segoe UI"/>
          <w:color w:val="000000" w:themeColor="text1"/>
          <w:sz w:val="20"/>
        </w:rPr>
        <w:t>427 725</w:t>
      </w:r>
      <w:r w:rsidR="005B166C"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w:t>
      </w:r>
      <w:r w:rsidR="005B166C">
        <w:rPr>
          <w:rFonts w:ascii="Segoe UI" w:hAnsi="Segoe UI" w:cs="Segoe UI"/>
          <w:color w:val="000000" w:themeColor="text1"/>
          <w:sz w:val="20"/>
        </w:rPr>
        <w:t>roce</w:t>
      </w:r>
      <w:r w:rsidR="00BE624B">
        <w:rPr>
          <w:rFonts w:ascii="Segoe UI" w:hAnsi="Segoe UI" w:cs="Segoe UI"/>
          <w:color w:val="000000" w:themeColor="text1"/>
          <w:sz w:val="20"/>
        </w:rPr>
        <w:t xml:space="preserve"> 202</w:t>
      </w:r>
      <w:r w:rsidR="005B166C">
        <w:rPr>
          <w:rFonts w:ascii="Segoe UI" w:hAnsi="Segoe UI" w:cs="Segoe UI"/>
          <w:color w:val="000000" w:themeColor="text1"/>
          <w:sz w:val="20"/>
        </w:rPr>
        <w:t>0</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5B166C">
        <w:rPr>
          <w:rFonts w:ascii="Segoe UI" w:hAnsi="Segoe UI" w:cs="Segoe UI"/>
          <w:color w:val="000000" w:themeColor="text1"/>
          <w:sz w:val="20"/>
        </w:rPr>
        <w:t>285 150</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906DE9" w:rsidRPr="00B0138D" w:rsidRDefault="00906DE9" w:rsidP="00906DE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B0138D">
        <w:rPr>
          <w:rFonts w:ascii="Segoe UI" w:hAnsi="Segoe UI" w:cs="Segoe UI"/>
          <w:color w:val="auto"/>
          <w:sz w:val="20"/>
        </w:rPr>
        <w:t>akce byla provedena podle Fondem odsouhlasen</w:t>
      </w:r>
      <w:r w:rsidR="005B166C" w:rsidRPr="00B0138D">
        <w:rPr>
          <w:rFonts w:ascii="Segoe UI" w:hAnsi="Segoe UI" w:cs="Segoe UI"/>
          <w:color w:val="auto"/>
          <w:sz w:val="20"/>
        </w:rPr>
        <w:t>ých</w:t>
      </w:r>
      <w:r w:rsidRPr="00B0138D">
        <w:rPr>
          <w:rFonts w:ascii="Segoe UI" w:hAnsi="Segoe UI" w:cs="Segoe UI"/>
          <w:color w:val="auto"/>
          <w:sz w:val="20"/>
        </w:rPr>
        <w:t xml:space="preserve"> projektov</w:t>
      </w:r>
      <w:r w:rsidR="005B166C" w:rsidRPr="00B0138D">
        <w:rPr>
          <w:rFonts w:ascii="Segoe UI" w:hAnsi="Segoe UI" w:cs="Segoe UI"/>
          <w:color w:val="auto"/>
          <w:sz w:val="20"/>
        </w:rPr>
        <w:t>ých</w:t>
      </w:r>
      <w:r w:rsidRPr="00B0138D">
        <w:rPr>
          <w:rFonts w:ascii="Segoe UI" w:hAnsi="Segoe UI" w:cs="Segoe UI"/>
          <w:color w:val="auto"/>
          <w:sz w:val="20"/>
        </w:rPr>
        <w:t xml:space="preserve"> dokumentac</w:t>
      </w:r>
      <w:r w:rsidR="005B166C" w:rsidRPr="00B0138D">
        <w:rPr>
          <w:rFonts w:ascii="Segoe UI" w:hAnsi="Segoe UI" w:cs="Segoe UI"/>
          <w:color w:val="auto"/>
          <w:sz w:val="20"/>
        </w:rPr>
        <w:t>í</w:t>
      </w:r>
      <w:r w:rsidRPr="00B0138D">
        <w:rPr>
          <w:rFonts w:ascii="Segoe UI" w:hAnsi="Segoe UI" w:cs="Segoe UI"/>
          <w:color w:val="auto"/>
          <w:sz w:val="20"/>
        </w:rPr>
        <w:t xml:space="preserve"> “</w:t>
      </w:r>
      <w:r w:rsidR="005B166C" w:rsidRPr="00B0138D">
        <w:rPr>
          <w:rFonts w:ascii="Segoe UI" w:hAnsi="Segoe UI" w:cs="Segoe UI"/>
          <w:bCs/>
          <w:color w:val="auto"/>
          <w:sz w:val="20"/>
        </w:rPr>
        <w:t>Čejov - posilový zdroj, vrt CE-1</w:t>
      </w:r>
      <w:r w:rsidRPr="00B0138D">
        <w:rPr>
          <w:rFonts w:ascii="Segoe UI" w:hAnsi="Segoe UI" w:cs="Segoe UI"/>
          <w:color w:val="auto"/>
          <w:sz w:val="20"/>
        </w:rPr>
        <w:t xml:space="preserve">“, </w:t>
      </w:r>
      <w:r w:rsidR="005B166C" w:rsidRPr="00B0138D">
        <w:rPr>
          <w:rFonts w:ascii="Segoe UI" w:hAnsi="Segoe UI" w:cs="Segoe UI"/>
          <w:color w:val="auto"/>
          <w:sz w:val="20"/>
        </w:rPr>
        <w:t>a “</w:t>
      </w:r>
      <w:r w:rsidR="005B166C" w:rsidRPr="00B0138D">
        <w:rPr>
          <w:rFonts w:ascii="Segoe UI" w:hAnsi="Segoe UI" w:cs="Segoe UI"/>
          <w:bCs/>
          <w:color w:val="auto"/>
          <w:sz w:val="20"/>
        </w:rPr>
        <w:t>Čejov - posilový zdroj, vrt CE-2</w:t>
      </w:r>
      <w:r w:rsidR="005B166C" w:rsidRPr="00B0138D">
        <w:rPr>
          <w:rFonts w:ascii="Segoe UI" w:hAnsi="Segoe UI" w:cs="Segoe UI"/>
          <w:color w:val="auto"/>
          <w:sz w:val="20"/>
        </w:rPr>
        <w:t xml:space="preserve">“ </w:t>
      </w:r>
      <w:r w:rsidRPr="00B0138D">
        <w:rPr>
          <w:rFonts w:ascii="Segoe UI" w:hAnsi="Segoe UI" w:cs="Segoe UI"/>
          <w:color w:val="auto"/>
          <w:sz w:val="20"/>
        </w:rPr>
        <w:t>vypracovan</w:t>
      </w:r>
      <w:r w:rsidR="005B166C" w:rsidRPr="00B0138D">
        <w:rPr>
          <w:rFonts w:ascii="Segoe UI" w:hAnsi="Segoe UI" w:cs="Segoe UI"/>
          <w:color w:val="auto"/>
          <w:sz w:val="20"/>
        </w:rPr>
        <w:t>ých</w:t>
      </w:r>
      <w:r w:rsidR="005B166C" w:rsidRPr="00B0138D">
        <w:rPr>
          <w:rFonts w:ascii="Segoe UI" w:hAnsi="Segoe UI" w:cs="Segoe UI"/>
          <w:bCs/>
          <w:color w:val="auto"/>
          <w:sz w:val="20"/>
        </w:rPr>
        <w:t xml:space="preserve"> Mgr. Radkem Mičke</w:t>
      </w:r>
      <w:r w:rsidRPr="00B0138D">
        <w:rPr>
          <w:rFonts w:ascii="Segoe UI" w:hAnsi="Segoe UI" w:cs="Segoe UI"/>
          <w:bCs/>
          <w:color w:val="auto"/>
          <w:sz w:val="20"/>
        </w:rPr>
        <w:t xml:space="preserve"> </w:t>
      </w:r>
      <w:r w:rsidRPr="00B0138D">
        <w:rPr>
          <w:rFonts w:ascii="Segoe UI" w:hAnsi="Segoe UI" w:cs="Segoe UI"/>
          <w:color w:val="auto"/>
          <w:sz w:val="20"/>
        </w:rPr>
        <w:t>v</w:t>
      </w:r>
      <w:r w:rsidR="00B0138D" w:rsidRPr="00B0138D">
        <w:rPr>
          <w:rFonts w:ascii="Segoe UI" w:hAnsi="Segoe UI" w:cs="Segoe UI"/>
          <w:color w:val="auto"/>
          <w:sz w:val="20"/>
        </w:rPr>
        <w:t> 12/2020</w:t>
      </w:r>
      <w:r w:rsidRPr="00B0138D">
        <w:rPr>
          <w:rFonts w:ascii="Segoe UI" w:hAnsi="Segoe UI" w:cs="Segoe UI"/>
          <w:color w:val="auto"/>
          <w:sz w:val="20"/>
        </w:rPr>
        <w:t xml:space="preserve">, </w:t>
      </w:r>
      <w:r w:rsidRPr="00B0138D">
        <w:rPr>
          <w:rFonts w:ascii="Segoe UI" w:hAnsi="Segoe UI" w:cs="Segoe UI"/>
          <w:bCs/>
          <w:color w:val="auto"/>
          <w:sz w:val="20"/>
        </w:rPr>
        <w:t>kter</w:t>
      </w:r>
      <w:r w:rsidR="00D34E49">
        <w:rPr>
          <w:rFonts w:ascii="Segoe UI" w:hAnsi="Segoe UI" w:cs="Segoe UI"/>
          <w:bCs/>
          <w:color w:val="auto"/>
          <w:sz w:val="20"/>
        </w:rPr>
        <w:t>é</w:t>
      </w:r>
      <w:r w:rsidRPr="00B0138D">
        <w:rPr>
          <w:rFonts w:ascii="Segoe UI" w:hAnsi="Segoe UI" w:cs="Segoe UI"/>
          <w:bCs/>
          <w:color w:val="auto"/>
          <w:sz w:val="20"/>
        </w:rPr>
        <w:t xml:space="preserve"> j</w:t>
      </w:r>
      <w:r w:rsidR="00B0138D" w:rsidRPr="00B0138D">
        <w:rPr>
          <w:rFonts w:ascii="Segoe UI" w:hAnsi="Segoe UI" w:cs="Segoe UI"/>
          <w:bCs/>
          <w:color w:val="auto"/>
          <w:sz w:val="20"/>
        </w:rPr>
        <w:t>sou</w:t>
      </w:r>
      <w:r w:rsidRPr="00B0138D">
        <w:rPr>
          <w:rFonts w:ascii="Segoe UI" w:hAnsi="Segoe UI" w:cs="Segoe UI"/>
          <w:bCs/>
          <w:color w:val="auto"/>
          <w:sz w:val="20"/>
        </w:rPr>
        <w:t xml:space="preserve"> součástí žádosti ze dne 1</w:t>
      </w:r>
      <w:r w:rsidR="00B0138D" w:rsidRPr="00B0138D">
        <w:rPr>
          <w:rFonts w:ascii="Segoe UI" w:hAnsi="Segoe UI" w:cs="Segoe UI"/>
          <w:bCs/>
          <w:color w:val="auto"/>
          <w:sz w:val="20"/>
        </w:rPr>
        <w:t>5</w:t>
      </w:r>
      <w:r w:rsidRPr="00B0138D">
        <w:rPr>
          <w:rFonts w:ascii="Segoe UI" w:hAnsi="Segoe UI" w:cs="Segoe UI"/>
          <w:bCs/>
          <w:color w:val="auto"/>
          <w:sz w:val="20"/>
        </w:rPr>
        <w:t xml:space="preserve">. 12. 2020, v souladu s aktualizovaným rozpočtem ze dne </w:t>
      </w:r>
      <w:r w:rsidR="00B0138D" w:rsidRPr="00B0138D">
        <w:rPr>
          <w:rFonts w:ascii="Segoe UI" w:hAnsi="Segoe UI" w:cs="Segoe UI"/>
          <w:bCs/>
          <w:color w:val="auto"/>
          <w:sz w:val="20"/>
        </w:rPr>
        <w:t>17</w:t>
      </w:r>
      <w:r w:rsidRPr="00B0138D">
        <w:rPr>
          <w:rFonts w:ascii="Segoe UI" w:hAnsi="Segoe UI" w:cs="Segoe UI"/>
          <w:bCs/>
          <w:color w:val="auto"/>
          <w:sz w:val="20"/>
        </w:rPr>
        <w:t xml:space="preserve">. </w:t>
      </w:r>
      <w:r w:rsidR="00B0138D" w:rsidRPr="00B0138D">
        <w:rPr>
          <w:rFonts w:ascii="Segoe UI" w:hAnsi="Segoe UI" w:cs="Segoe UI"/>
          <w:bCs/>
          <w:color w:val="auto"/>
          <w:sz w:val="20"/>
        </w:rPr>
        <w:t>8</w:t>
      </w:r>
      <w:r w:rsidRPr="00B0138D">
        <w:rPr>
          <w:rFonts w:ascii="Segoe UI" w:hAnsi="Segoe UI" w:cs="Segoe UI"/>
          <w:bCs/>
          <w:color w:val="auto"/>
          <w:sz w:val="20"/>
        </w:rPr>
        <w:t>. 2022</w:t>
      </w:r>
      <w:r w:rsidRPr="00B0138D">
        <w:rPr>
          <w:rFonts w:ascii="Segoe UI" w:hAnsi="Segoe UI" w:cs="Segoe UI"/>
          <w:color w:val="auto"/>
          <w:sz w:val="20"/>
        </w:rPr>
        <w:t>, včetně případných změn a doplňků těchto dokumentů, pokud je Fond odsouhlasil,</w:t>
      </w:r>
    </w:p>
    <w:p w:rsidR="001C2290" w:rsidRPr="005B166C"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06DE9">
        <w:rPr>
          <w:rFonts w:ascii="Segoe UI" w:hAnsi="Segoe UI" w:cs="Segoe UI"/>
          <w:bCs/>
          <w:color w:val="auto"/>
          <w:sz w:val="20"/>
        </w:rPr>
        <w:t xml:space="preserve">v období od </w:t>
      </w:r>
      <w:r w:rsidR="005B166C">
        <w:rPr>
          <w:rFonts w:ascii="Segoe UI" w:hAnsi="Segoe UI" w:cs="Segoe UI"/>
          <w:bCs/>
          <w:color w:val="auto"/>
          <w:sz w:val="20"/>
        </w:rPr>
        <w:t>5</w:t>
      </w:r>
      <w:r w:rsidRPr="00906DE9">
        <w:rPr>
          <w:rFonts w:ascii="Segoe UI" w:hAnsi="Segoe UI" w:cs="Segoe UI"/>
          <w:bCs/>
          <w:color w:val="auto"/>
          <w:sz w:val="20"/>
        </w:rPr>
        <w:t>/20</w:t>
      </w:r>
      <w:r w:rsidR="00DE37CF" w:rsidRPr="00906DE9">
        <w:rPr>
          <w:rFonts w:ascii="Segoe UI" w:hAnsi="Segoe UI" w:cs="Segoe UI"/>
          <w:bCs/>
          <w:color w:val="auto"/>
          <w:sz w:val="20"/>
        </w:rPr>
        <w:t>2</w:t>
      </w:r>
      <w:r w:rsidR="005B166C">
        <w:rPr>
          <w:rFonts w:ascii="Segoe UI" w:hAnsi="Segoe UI" w:cs="Segoe UI"/>
          <w:bCs/>
          <w:color w:val="auto"/>
          <w:sz w:val="20"/>
        </w:rPr>
        <w:t>0</w:t>
      </w:r>
      <w:r w:rsidRPr="00906DE9">
        <w:rPr>
          <w:rFonts w:ascii="Segoe UI" w:hAnsi="Segoe UI" w:cs="Segoe UI"/>
          <w:bCs/>
          <w:color w:val="auto"/>
          <w:sz w:val="20"/>
        </w:rPr>
        <w:t xml:space="preserve"> do </w:t>
      </w:r>
      <w:r w:rsidR="005B166C">
        <w:rPr>
          <w:rFonts w:ascii="Segoe UI" w:hAnsi="Segoe UI" w:cs="Segoe UI"/>
          <w:bCs/>
          <w:color w:val="auto"/>
          <w:sz w:val="20"/>
        </w:rPr>
        <w:t>1</w:t>
      </w:r>
      <w:r w:rsidR="00DE37CF" w:rsidRPr="00906DE9">
        <w:rPr>
          <w:rFonts w:ascii="Segoe UI" w:hAnsi="Segoe UI" w:cs="Segoe UI"/>
          <w:bCs/>
          <w:color w:val="auto"/>
          <w:sz w:val="20"/>
        </w:rPr>
        <w:t>2</w:t>
      </w:r>
      <w:r w:rsidRPr="00906DE9">
        <w:rPr>
          <w:rFonts w:ascii="Segoe UI" w:hAnsi="Segoe UI" w:cs="Segoe UI"/>
          <w:bCs/>
          <w:color w:val="auto"/>
          <w:sz w:val="20"/>
        </w:rPr>
        <w:t>/202</w:t>
      </w:r>
      <w:r w:rsidR="005B166C">
        <w:rPr>
          <w:rFonts w:ascii="Segoe UI" w:hAnsi="Segoe UI" w:cs="Segoe UI"/>
          <w:bCs/>
          <w:color w:val="auto"/>
          <w:sz w:val="20"/>
        </w:rPr>
        <w:t>0</w:t>
      </w:r>
      <w:r w:rsidRPr="00906DE9">
        <w:rPr>
          <w:rFonts w:ascii="Segoe UI" w:hAnsi="Segoe UI" w:cs="Segoe UI"/>
          <w:bCs/>
          <w:color w:val="auto"/>
          <w:sz w:val="20"/>
        </w:rPr>
        <w:t xml:space="preserve"> </w:t>
      </w:r>
      <w:r w:rsidR="00906DE9" w:rsidRPr="00906DE9">
        <w:rPr>
          <w:rFonts w:ascii="Segoe UI" w:hAnsi="Segoe UI" w:cs="Segoe UI"/>
          <w:bCs/>
          <w:color w:val="auto"/>
          <w:sz w:val="20"/>
        </w:rPr>
        <w:t>došlo k vybudování dvou průzkumných hydrogeologických vrtů, které v případě zastižení podzemní vody odpovídající kvality a kvantity posílí zásobování obce pitnou vodou</w:t>
      </w:r>
      <w:r w:rsidR="00F361BE" w:rsidRPr="00906DE9">
        <w:rPr>
          <w:rFonts w:ascii="Segoe UI" w:hAnsi="Segoe UI" w:cs="Segoe UI"/>
          <w:bCs/>
          <w:color w:val="auto"/>
          <w:sz w:val="20"/>
        </w:rPr>
        <w:t>,</w:t>
      </w:r>
    </w:p>
    <w:p w:rsidR="00906DE9" w:rsidRPr="003963B1" w:rsidRDefault="00906DE9" w:rsidP="00906DE9">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 xml:space="preserve">akce byla provedena </w:t>
      </w:r>
      <w:r w:rsidRPr="003963B1">
        <w:rPr>
          <w:rFonts w:ascii="Segoe UI" w:hAnsi="Segoe UI" w:cs="Segoe UI"/>
          <w:bCs/>
          <w:sz w:val="20"/>
        </w:rPr>
        <w:t>na pozem</w:t>
      </w:r>
      <w:r w:rsidR="005B166C">
        <w:rPr>
          <w:rFonts w:ascii="Segoe UI" w:hAnsi="Segoe UI" w:cs="Segoe UI"/>
          <w:bCs/>
          <w:sz w:val="20"/>
        </w:rPr>
        <w:t>cích</w:t>
      </w:r>
      <w:r w:rsidRPr="003963B1">
        <w:rPr>
          <w:rFonts w:ascii="Segoe UI" w:hAnsi="Segoe UI" w:cs="Segoe UI"/>
          <w:bCs/>
          <w:sz w:val="20"/>
        </w:rPr>
        <w:t>, je</w:t>
      </w:r>
      <w:r w:rsidR="005B166C">
        <w:rPr>
          <w:rFonts w:ascii="Segoe UI" w:hAnsi="Segoe UI" w:cs="Segoe UI"/>
          <w:bCs/>
          <w:sz w:val="20"/>
        </w:rPr>
        <w:t>jichž</w:t>
      </w:r>
      <w:r w:rsidRPr="003963B1">
        <w:rPr>
          <w:rFonts w:ascii="Segoe UI" w:hAnsi="Segoe UI" w:cs="Segoe UI"/>
          <w:bCs/>
          <w:sz w:val="20"/>
        </w:rPr>
        <w:t xml:space="preserve"> vlastní</w:t>
      </w:r>
      <w:r w:rsidR="005B166C">
        <w:rPr>
          <w:rFonts w:ascii="Segoe UI" w:hAnsi="Segoe UI" w:cs="Segoe UI"/>
          <w:bCs/>
          <w:sz w:val="20"/>
        </w:rPr>
        <w:t>ci</w:t>
      </w:r>
      <w:r w:rsidRPr="003963B1">
        <w:rPr>
          <w:rFonts w:ascii="Segoe UI" w:hAnsi="Segoe UI" w:cs="Segoe UI"/>
          <w:bCs/>
          <w:sz w:val="20"/>
        </w:rPr>
        <w:t xml:space="preserve"> vyslovil</w:t>
      </w:r>
      <w:r w:rsidR="005B166C">
        <w:rPr>
          <w:rFonts w:ascii="Segoe UI" w:hAnsi="Segoe UI" w:cs="Segoe UI"/>
          <w:bCs/>
          <w:sz w:val="20"/>
        </w:rPr>
        <w:t>i</w:t>
      </w:r>
      <w:r w:rsidRPr="003963B1">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B0138D">
        <w:rPr>
          <w:rFonts w:ascii="Segoe UI" w:hAnsi="Segoe UI" w:cs="Segoe UI"/>
          <w:color w:val="000000" w:themeColor="text1"/>
          <w:sz w:val="20"/>
        </w:rPr>
        <w:t>10</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E40B52">
        <w:rPr>
          <w:rFonts w:ascii="Segoe UI" w:hAnsi="Segoe UI" w:cs="Segoe UI"/>
          <w:color w:val="000000" w:themeColor="text1"/>
          <w:sz w:val="20"/>
        </w:rPr>
        <w:t>2</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906DE9" w:rsidRPr="00640C14" w:rsidRDefault="00906DE9" w:rsidP="00906DE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906DE9" w:rsidRPr="00640C14" w:rsidRDefault="00906DE9" w:rsidP="00906DE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906DE9" w:rsidRPr="00A14E12" w:rsidRDefault="00906DE9" w:rsidP="00906DE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069A3">
        <w:rPr>
          <w:rFonts w:ascii="Segoe UI" w:hAnsi="Segoe UI" w:cs="Segoe UI"/>
          <w:bCs/>
          <w:color w:val="auto"/>
          <w:sz w:val="20"/>
        </w:rPr>
        <w:t>závěrečnou zprávu hydrogeologického průzkumu</w:t>
      </w:r>
      <w:r>
        <w:rPr>
          <w:rFonts w:ascii="Segoe UI" w:hAnsi="Segoe UI" w:cs="Segoe UI"/>
          <w:bCs/>
          <w:color w:val="auto"/>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59" w:rsidRDefault="000A6B59">
      <w:r>
        <w:separator/>
      </w:r>
    </w:p>
  </w:endnote>
  <w:endnote w:type="continuationSeparator" w:id="0">
    <w:p w:rsidR="000A6B59" w:rsidRDefault="000A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F00C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F00C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59" w:rsidRDefault="000A6B59">
      <w:r>
        <w:separator/>
      </w:r>
    </w:p>
  </w:footnote>
  <w:footnote w:type="continuationSeparator" w:id="0">
    <w:p w:rsidR="000A6B59" w:rsidRDefault="000A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6B59"/>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4485"/>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AA9"/>
    <w:rsid w:val="001B5DFF"/>
    <w:rsid w:val="001B768B"/>
    <w:rsid w:val="001C2290"/>
    <w:rsid w:val="001C3E45"/>
    <w:rsid w:val="001D0A3C"/>
    <w:rsid w:val="001D35D5"/>
    <w:rsid w:val="001D45AE"/>
    <w:rsid w:val="001D755C"/>
    <w:rsid w:val="001D7936"/>
    <w:rsid w:val="001D7C40"/>
    <w:rsid w:val="001E24EE"/>
    <w:rsid w:val="001E415C"/>
    <w:rsid w:val="001E5B4B"/>
    <w:rsid w:val="001E7CA4"/>
    <w:rsid w:val="001F02DA"/>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292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166C"/>
    <w:rsid w:val="005B69C1"/>
    <w:rsid w:val="005B754F"/>
    <w:rsid w:val="005C2536"/>
    <w:rsid w:val="005C2BC6"/>
    <w:rsid w:val="005C7608"/>
    <w:rsid w:val="005D0738"/>
    <w:rsid w:val="005D1EF4"/>
    <w:rsid w:val="005D3FA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1F5"/>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6DE9"/>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7803"/>
    <w:rsid w:val="00AF7DCC"/>
    <w:rsid w:val="00B012CE"/>
    <w:rsid w:val="00B0138D"/>
    <w:rsid w:val="00B0241D"/>
    <w:rsid w:val="00B04D81"/>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624B"/>
    <w:rsid w:val="00BE72D2"/>
    <w:rsid w:val="00BF00C6"/>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4E49"/>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3E85"/>
    <w:rsid w:val="00DC5685"/>
    <w:rsid w:val="00DC578E"/>
    <w:rsid w:val="00DD0205"/>
    <w:rsid w:val="00DD247A"/>
    <w:rsid w:val="00DD3929"/>
    <w:rsid w:val="00DD3F50"/>
    <w:rsid w:val="00DD41D4"/>
    <w:rsid w:val="00DD5BEF"/>
    <w:rsid w:val="00DD769E"/>
    <w:rsid w:val="00DE157B"/>
    <w:rsid w:val="00DE324F"/>
    <w:rsid w:val="00DE37C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2F9B"/>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2E82"/>
    <w:rsid w:val="00FB4BDA"/>
    <w:rsid w:val="00FB78D2"/>
    <w:rsid w:val="00FC4338"/>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FAFC-0DBF-41A1-B6F7-81C90162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16513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2022-08-18T07:27:00Z</cp:lastPrinted>
  <dcterms:created xsi:type="dcterms:W3CDTF">2022-09-08T12:41:00Z</dcterms:created>
  <dcterms:modified xsi:type="dcterms:W3CDTF">2022-09-08T12:41:00Z</dcterms:modified>
</cp:coreProperties>
</file>