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AB" w:rsidRDefault="00E73008">
      <w:pPr>
        <w:spacing w:before="34"/>
        <w:ind w:left="222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Rekapitulace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nabídkové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ceny</w:t>
      </w:r>
      <w:bookmarkStart w:id="0" w:name="_GoBack"/>
      <w:bookmarkEnd w:id="0"/>
    </w:p>
    <w:p w:rsidR="007924AB" w:rsidRDefault="007924AB">
      <w:pPr>
        <w:pStyle w:val="Zkladntext"/>
        <w:rPr>
          <w:u w:val="none"/>
        </w:rPr>
      </w:pPr>
    </w:p>
    <w:p w:rsidR="007924AB" w:rsidRDefault="00E73008">
      <w:pPr>
        <w:pStyle w:val="Zkladntext"/>
        <w:ind w:left="222"/>
        <w:rPr>
          <w:u w:val="none"/>
        </w:rPr>
      </w:pPr>
      <w:proofErr w:type="spellStart"/>
      <w:r>
        <w:t>Videoendoskopický</w:t>
      </w:r>
      <w:proofErr w:type="spellEnd"/>
      <w:r>
        <w:rPr>
          <w:spacing w:val="-12"/>
        </w:rPr>
        <w:t xml:space="preserve"> </w:t>
      </w:r>
      <w:r>
        <w:t>systém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integrovaným</w:t>
      </w:r>
      <w:r>
        <w:rPr>
          <w:spacing w:val="-12"/>
        </w:rPr>
        <w:t xml:space="preserve"> </w:t>
      </w:r>
      <w:r>
        <w:t>LED</w:t>
      </w:r>
      <w:r>
        <w:rPr>
          <w:spacing w:val="-11"/>
        </w:rPr>
        <w:t xml:space="preserve"> </w:t>
      </w:r>
      <w:r>
        <w:rPr>
          <w:spacing w:val="-2"/>
        </w:rPr>
        <w:t>světlem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09"/>
      </w:tblGrid>
      <w:tr w:rsidR="007924AB">
        <w:trPr>
          <w:trHeight w:val="732"/>
        </w:trPr>
        <w:tc>
          <w:tcPr>
            <w:tcW w:w="2700" w:type="dxa"/>
          </w:tcPr>
          <w:p w:rsidR="007924AB" w:rsidRDefault="00E73008">
            <w:pPr>
              <w:pStyle w:val="TableParagraph"/>
              <w:spacing w:line="243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přístroje</w:t>
            </w:r>
          </w:p>
        </w:tc>
        <w:tc>
          <w:tcPr>
            <w:tcW w:w="900" w:type="dxa"/>
          </w:tcPr>
          <w:p w:rsidR="007924AB" w:rsidRDefault="00E73008">
            <w:pPr>
              <w:pStyle w:val="TableParagraph"/>
              <w:spacing w:line="243" w:lineRule="exact"/>
              <w:ind w:left="92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</w:t>
            </w:r>
          </w:p>
        </w:tc>
        <w:tc>
          <w:tcPr>
            <w:tcW w:w="3738" w:type="dxa"/>
          </w:tcPr>
          <w:p w:rsidR="007924AB" w:rsidRDefault="00E73008">
            <w:pPr>
              <w:pStyle w:val="TableParagraph"/>
              <w:ind w:left="1470" w:hanging="958"/>
              <w:rPr>
                <w:b/>
                <w:sz w:val="20"/>
              </w:rPr>
            </w:pPr>
            <w:r>
              <w:rPr>
                <w:b/>
                <w:sz w:val="20"/>
              </w:rPr>
              <w:t>Nabízený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typ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přístroje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(obchodní </w:t>
            </w:r>
            <w:r>
              <w:rPr>
                <w:b/>
                <w:spacing w:val="-2"/>
                <w:sz w:val="20"/>
              </w:rPr>
              <w:t>označení)</w:t>
            </w:r>
          </w:p>
        </w:tc>
        <w:tc>
          <w:tcPr>
            <w:tcW w:w="2268" w:type="dxa"/>
          </w:tcPr>
          <w:p w:rsidR="007924AB" w:rsidRDefault="00E73008">
            <w:pPr>
              <w:pStyle w:val="TableParagraph"/>
              <w:ind w:left="254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jednotková </w:t>
            </w:r>
            <w:r>
              <w:rPr>
                <w:b/>
                <w:spacing w:val="-4"/>
                <w:sz w:val="20"/>
              </w:rPr>
              <w:t>cena</w:t>
            </w:r>
          </w:p>
          <w:p w:rsidR="007924AB" w:rsidRDefault="00E73008">
            <w:pPr>
              <w:pStyle w:val="TableParagraph"/>
              <w:spacing w:line="225" w:lineRule="exact"/>
              <w:ind w:left="254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551" w:type="dxa"/>
          </w:tcPr>
          <w:p w:rsidR="007924AB" w:rsidRDefault="00E73008">
            <w:pPr>
              <w:pStyle w:val="TableParagraph"/>
              <w:ind w:left="677" w:right="211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celková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cena (v Kč bez DPH)</w:t>
            </w:r>
          </w:p>
        </w:tc>
        <w:tc>
          <w:tcPr>
            <w:tcW w:w="2409" w:type="dxa"/>
          </w:tcPr>
          <w:p w:rsidR="007924AB" w:rsidRDefault="00E73008">
            <w:pPr>
              <w:pStyle w:val="TableParagraph"/>
              <w:ind w:left="471" w:right="141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celková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cena (v Kč včetně DPH)</w:t>
            </w:r>
          </w:p>
        </w:tc>
      </w:tr>
      <w:tr w:rsidR="007924AB">
        <w:trPr>
          <w:trHeight w:val="1896"/>
        </w:trPr>
        <w:tc>
          <w:tcPr>
            <w:tcW w:w="2700" w:type="dxa"/>
          </w:tcPr>
          <w:p w:rsidR="007924AB" w:rsidRDefault="00E73008">
            <w:pPr>
              <w:pStyle w:val="TableParagraph"/>
              <w:spacing w:line="288" w:lineRule="auto"/>
              <w:ind w:left="107"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Dodávka </w:t>
            </w:r>
            <w:proofErr w:type="spellStart"/>
            <w:r>
              <w:rPr>
                <w:b/>
                <w:spacing w:val="-2"/>
                <w:sz w:val="20"/>
              </w:rPr>
              <w:t>Videoendoskopického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systému s integrovaným LED světlem včetně všech souvisejících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prací,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dodávek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služeb</w:t>
            </w:r>
          </w:p>
        </w:tc>
        <w:tc>
          <w:tcPr>
            <w:tcW w:w="900" w:type="dxa"/>
          </w:tcPr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E73008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8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924AB" w:rsidRDefault="00E73008">
            <w:pPr>
              <w:pStyle w:val="TableParagraph"/>
              <w:ind w:left="1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OLYMPUS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EVIS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X1</w:t>
            </w:r>
          </w:p>
        </w:tc>
        <w:tc>
          <w:tcPr>
            <w:tcW w:w="2268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24AB" w:rsidRDefault="002B2BEC">
            <w:pPr>
              <w:pStyle w:val="TableParagraph"/>
              <w:ind w:left="4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</w:t>
            </w:r>
          </w:p>
        </w:tc>
        <w:tc>
          <w:tcPr>
            <w:tcW w:w="2551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5"/>
              <w:rPr>
                <w:b/>
              </w:rPr>
            </w:pPr>
          </w:p>
          <w:p w:rsidR="007924AB" w:rsidRDefault="002B2BEC">
            <w:pPr>
              <w:pStyle w:val="TableParagraph"/>
              <w:spacing w:before="1"/>
              <w:ind w:left="60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</w:t>
            </w:r>
          </w:p>
        </w:tc>
        <w:tc>
          <w:tcPr>
            <w:tcW w:w="2409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5"/>
              <w:rPr>
                <w:b/>
              </w:rPr>
            </w:pPr>
          </w:p>
          <w:p w:rsidR="007924AB" w:rsidRDefault="002B2BEC">
            <w:pPr>
              <w:pStyle w:val="TableParagraph"/>
              <w:spacing w:before="1"/>
              <w:ind w:left="5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XXXXXXXXXXX</w:t>
            </w:r>
          </w:p>
        </w:tc>
      </w:tr>
      <w:tr w:rsidR="007924AB">
        <w:trPr>
          <w:trHeight w:val="433"/>
        </w:trPr>
        <w:tc>
          <w:tcPr>
            <w:tcW w:w="9606" w:type="dxa"/>
            <w:gridSpan w:val="4"/>
          </w:tcPr>
          <w:p w:rsidR="007924AB" w:rsidRDefault="00E7300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Dodávka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Videoendoskopický</w:t>
            </w:r>
            <w:proofErr w:type="spellEnd"/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systém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integrovaným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LED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světlem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‐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celkem</w:t>
            </w:r>
          </w:p>
        </w:tc>
        <w:tc>
          <w:tcPr>
            <w:tcW w:w="2551" w:type="dxa"/>
            <w:shd w:val="clear" w:color="auto" w:fill="BFBFBF"/>
          </w:tcPr>
          <w:p w:rsidR="007924AB" w:rsidRDefault="00792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BFBFBF"/>
          </w:tcPr>
          <w:p w:rsidR="007924AB" w:rsidRDefault="007924AB">
            <w:pPr>
              <w:pStyle w:val="TableParagraph"/>
              <w:rPr>
                <w:rFonts w:ascii="Times New Roman"/>
              </w:rPr>
            </w:pPr>
          </w:p>
        </w:tc>
      </w:tr>
    </w:tbl>
    <w:p w:rsidR="007924AB" w:rsidRDefault="00E73008">
      <w:pPr>
        <w:pStyle w:val="Zkladntext"/>
        <w:spacing w:before="245"/>
        <w:ind w:left="222"/>
        <w:rPr>
          <w:u w:val="none"/>
        </w:rPr>
      </w:pPr>
      <w:r>
        <w:rPr>
          <w:w w:val="95"/>
        </w:rPr>
        <w:t>Endoskopický</w:t>
      </w:r>
      <w:r>
        <w:rPr>
          <w:spacing w:val="62"/>
        </w:rPr>
        <w:t xml:space="preserve"> </w:t>
      </w:r>
      <w:r>
        <w:rPr>
          <w:spacing w:val="-2"/>
        </w:rPr>
        <w:t>systém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09"/>
      </w:tblGrid>
      <w:tr w:rsidR="007924AB">
        <w:trPr>
          <w:trHeight w:val="732"/>
        </w:trPr>
        <w:tc>
          <w:tcPr>
            <w:tcW w:w="2700" w:type="dxa"/>
          </w:tcPr>
          <w:p w:rsidR="007924AB" w:rsidRDefault="00E73008">
            <w:pPr>
              <w:pStyle w:val="TableParagraph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přístroje</w:t>
            </w:r>
          </w:p>
        </w:tc>
        <w:tc>
          <w:tcPr>
            <w:tcW w:w="900" w:type="dxa"/>
          </w:tcPr>
          <w:p w:rsidR="007924AB" w:rsidRDefault="00E73008">
            <w:pPr>
              <w:pStyle w:val="TableParagraph"/>
              <w:ind w:left="92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</w:t>
            </w:r>
          </w:p>
        </w:tc>
        <w:tc>
          <w:tcPr>
            <w:tcW w:w="3738" w:type="dxa"/>
          </w:tcPr>
          <w:p w:rsidR="007924AB" w:rsidRDefault="00E73008">
            <w:pPr>
              <w:pStyle w:val="TableParagraph"/>
              <w:ind w:left="1470" w:hanging="958"/>
              <w:rPr>
                <w:b/>
                <w:sz w:val="20"/>
              </w:rPr>
            </w:pPr>
            <w:r>
              <w:rPr>
                <w:b/>
                <w:sz w:val="20"/>
              </w:rPr>
              <w:t>Nabízený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typ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přístroje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(obchodní </w:t>
            </w:r>
            <w:r>
              <w:rPr>
                <w:b/>
                <w:spacing w:val="-2"/>
                <w:sz w:val="20"/>
              </w:rPr>
              <w:t>označení)</w:t>
            </w:r>
          </w:p>
        </w:tc>
        <w:tc>
          <w:tcPr>
            <w:tcW w:w="2268" w:type="dxa"/>
          </w:tcPr>
          <w:p w:rsidR="007924AB" w:rsidRDefault="00E73008">
            <w:pPr>
              <w:pStyle w:val="TableParagraph"/>
              <w:ind w:left="254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jednotková </w:t>
            </w:r>
            <w:r>
              <w:rPr>
                <w:b/>
                <w:spacing w:val="-4"/>
                <w:sz w:val="20"/>
              </w:rPr>
              <w:t>cena</w:t>
            </w:r>
          </w:p>
          <w:p w:rsidR="007924AB" w:rsidRDefault="00E73008">
            <w:pPr>
              <w:pStyle w:val="TableParagraph"/>
              <w:spacing w:line="224" w:lineRule="exact"/>
              <w:ind w:left="254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DPH)</w:t>
            </w:r>
          </w:p>
        </w:tc>
        <w:tc>
          <w:tcPr>
            <w:tcW w:w="2551" w:type="dxa"/>
          </w:tcPr>
          <w:p w:rsidR="007924AB" w:rsidRDefault="00E73008">
            <w:pPr>
              <w:pStyle w:val="TableParagraph"/>
              <w:ind w:left="677" w:right="211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celková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cena (v Kč bez DPH)</w:t>
            </w:r>
          </w:p>
        </w:tc>
        <w:tc>
          <w:tcPr>
            <w:tcW w:w="2409" w:type="dxa"/>
          </w:tcPr>
          <w:p w:rsidR="007924AB" w:rsidRDefault="00E73008">
            <w:pPr>
              <w:pStyle w:val="TableParagraph"/>
              <w:ind w:left="471" w:right="141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Nabízená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celková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cena (v Kč včetně DPH)</w:t>
            </w:r>
          </w:p>
        </w:tc>
      </w:tr>
      <w:tr w:rsidR="007924AB">
        <w:trPr>
          <w:trHeight w:val="1311"/>
        </w:trPr>
        <w:tc>
          <w:tcPr>
            <w:tcW w:w="2700" w:type="dxa"/>
          </w:tcPr>
          <w:p w:rsidR="007924AB" w:rsidRDefault="00E73008">
            <w:pPr>
              <w:pStyle w:val="TableParagraph"/>
              <w:spacing w:line="288" w:lineRule="auto"/>
              <w:ind w:left="10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Dodávka Endoskopického systému včetně všech souvisejících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prací,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dodávek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služeb</w:t>
            </w:r>
          </w:p>
        </w:tc>
        <w:tc>
          <w:tcPr>
            <w:tcW w:w="900" w:type="dxa"/>
          </w:tcPr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924AB" w:rsidRDefault="00E730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8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  <w:sz w:val="20"/>
              </w:rPr>
            </w:pPr>
          </w:p>
          <w:p w:rsidR="007924AB" w:rsidRDefault="007924A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924AB" w:rsidRDefault="00E73008">
            <w:pPr>
              <w:pStyle w:val="TableParagraph"/>
              <w:ind w:left="10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OLYMPUS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EXERA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2268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4"/>
              <w:rPr>
                <w:b/>
              </w:rPr>
            </w:pPr>
          </w:p>
          <w:p w:rsidR="007924AB" w:rsidRDefault="002B2BEC">
            <w:pPr>
              <w:pStyle w:val="TableParagraph"/>
              <w:ind w:left="4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XXXXXXXXXXX</w:t>
            </w:r>
          </w:p>
        </w:tc>
        <w:tc>
          <w:tcPr>
            <w:tcW w:w="2551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924AB" w:rsidRDefault="002B2BEC">
            <w:pPr>
              <w:pStyle w:val="TableParagraph"/>
              <w:spacing w:before="1"/>
              <w:ind w:left="60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</w:t>
            </w:r>
          </w:p>
        </w:tc>
        <w:tc>
          <w:tcPr>
            <w:tcW w:w="2409" w:type="dxa"/>
            <w:shd w:val="clear" w:color="auto" w:fill="BFBFBF"/>
          </w:tcPr>
          <w:p w:rsidR="007924AB" w:rsidRDefault="007924AB">
            <w:pPr>
              <w:pStyle w:val="TableParagraph"/>
              <w:rPr>
                <w:b/>
              </w:rPr>
            </w:pPr>
          </w:p>
          <w:p w:rsidR="007924AB" w:rsidRDefault="007924A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924AB" w:rsidRDefault="002B2BEC">
            <w:pPr>
              <w:pStyle w:val="TableParagraph"/>
              <w:spacing w:before="1"/>
              <w:ind w:left="5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XXXXXXXXXX</w:t>
            </w:r>
          </w:p>
        </w:tc>
      </w:tr>
      <w:tr w:rsidR="007924AB">
        <w:trPr>
          <w:trHeight w:val="433"/>
        </w:trPr>
        <w:tc>
          <w:tcPr>
            <w:tcW w:w="9606" w:type="dxa"/>
            <w:gridSpan w:val="4"/>
          </w:tcPr>
          <w:p w:rsidR="007924AB" w:rsidRDefault="00E7300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Dodávka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Endoskopického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systému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‐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celkem</w:t>
            </w:r>
          </w:p>
        </w:tc>
        <w:tc>
          <w:tcPr>
            <w:tcW w:w="2551" w:type="dxa"/>
            <w:shd w:val="clear" w:color="auto" w:fill="BFBFBF"/>
          </w:tcPr>
          <w:p w:rsidR="007924AB" w:rsidRDefault="00792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BFBFBF"/>
          </w:tcPr>
          <w:p w:rsidR="007924AB" w:rsidRDefault="007924AB">
            <w:pPr>
              <w:pStyle w:val="TableParagraph"/>
              <w:rPr>
                <w:rFonts w:ascii="Times New Roman"/>
              </w:rPr>
            </w:pPr>
          </w:p>
        </w:tc>
      </w:tr>
    </w:tbl>
    <w:p w:rsidR="007924AB" w:rsidRDefault="007924AB">
      <w:pPr>
        <w:pStyle w:val="Zkladntext"/>
        <w:rPr>
          <w:sz w:val="20"/>
          <w:u w:val="none"/>
        </w:rPr>
      </w:pPr>
    </w:p>
    <w:p w:rsidR="007924AB" w:rsidRDefault="007924AB">
      <w:pPr>
        <w:pStyle w:val="Zkladntext"/>
        <w:spacing w:before="1"/>
        <w:rPr>
          <w:sz w:val="20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2551"/>
        <w:gridCol w:w="2409"/>
      </w:tblGrid>
      <w:tr w:rsidR="007924AB">
        <w:trPr>
          <w:trHeight w:val="683"/>
        </w:trPr>
        <w:tc>
          <w:tcPr>
            <w:tcW w:w="9606" w:type="dxa"/>
          </w:tcPr>
          <w:p w:rsidR="007924AB" w:rsidRDefault="00E73008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CELKEM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za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Videoendoskopický</w:t>
            </w:r>
            <w:proofErr w:type="spellEnd"/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systém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integrovaným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LED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světlem</w:t>
            </w:r>
            <w:r>
              <w:rPr>
                <w:b/>
                <w:spacing w:val="45"/>
                <w:sz w:val="28"/>
                <w:u w:val="single"/>
              </w:rPr>
              <w:t xml:space="preserve"> </w:t>
            </w:r>
            <w:r>
              <w:rPr>
                <w:b/>
                <w:spacing w:val="-10"/>
                <w:sz w:val="28"/>
                <w:u w:val="single"/>
              </w:rPr>
              <w:t>a</w:t>
            </w:r>
          </w:p>
          <w:p w:rsidR="007924AB" w:rsidRDefault="00E73008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  <w:u w:val="single"/>
              </w:rPr>
              <w:t>Endoskopický</w:t>
            </w:r>
            <w:r>
              <w:rPr>
                <w:b/>
                <w:spacing w:val="6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systém</w:t>
            </w:r>
          </w:p>
        </w:tc>
        <w:tc>
          <w:tcPr>
            <w:tcW w:w="2551" w:type="dxa"/>
            <w:shd w:val="clear" w:color="auto" w:fill="BFBFBF"/>
          </w:tcPr>
          <w:p w:rsidR="007924AB" w:rsidRDefault="007924A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24AB" w:rsidRDefault="00E73008">
            <w:pPr>
              <w:pStyle w:val="TableParagraph"/>
              <w:spacing w:before="1"/>
              <w:ind w:left="60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340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000,00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Kč</w:t>
            </w:r>
          </w:p>
        </w:tc>
        <w:tc>
          <w:tcPr>
            <w:tcW w:w="2409" w:type="dxa"/>
            <w:shd w:val="clear" w:color="auto" w:fill="BFBFBF"/>
          </w:tcPr>
          <w:p w:rsidR="007924AB" w:rsidRDefault="007924A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924AB" w:rsidRDefault="00E73008">
            <w:pPr>
              <w:pStyle w:val="TableParagraph"/>
              <w:ind w:left="53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881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400,00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Kč</w:t>
            </w:r>
          </w:p>
        </w:tc>
      </w:tr>
    </w:tbl>
    <w:p w:rsidR="00C05E12" w:rsidRDefault="00C05E12"/>
    <w:sectPr w:rsidR="00C05E12">
      <w:type w:val="continuous"/>
      <w:pgSz w:w="16840" w:h="11910" w:orient="landscape"/>
      <w:pgMar w:top="680" w:right="13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24AB"/>
    <w:rsid w:val="002B2BEC"/>
    <w:rsid w:val="007924AB"/>
    <w:rsid w:val="00C05E12"/>
    <w:rsid w:val="00E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Svazek 1 - příloha  1 - Rekapitulace nabídkové ceny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Svazek 1 - příloha  1 - Rekapitulace nabídkové ceny</dc:title>
  <dc:creator>bucko</dc:creator>
  <cp:lastModifiedBy>s0126</cp:lastModifiedBy>
  <cp:revision>2</cp:revision>
  <dcterms:created xsi:type="dcterms:W3CDTF">2022-09-07T11:12:00Z</dcterms:created>
  <dcterms:modified xsi:type="dcterms:W3CDTF">2022-09-07T11:12:00Z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</Properties>
</file>