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AE48" w14:textId="77777777" w:rsidR="00163A8F" w:rsidRDefault="00163A8F" w:rsidP="00163A8F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</w:p>
    <w:p w14:paraId="514AB701" w14:textId="77777777" w:rsidR="00163A8F" w:rsidRPr="00AB37E1" w:rsidRDefault="00163A8F" w:rsidP="00163A8F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  <w:r w:rsidRPr="00BF70BE">
        <w:rPr>
          <w:i w:val="0"/>
          <w:iCs/>
          <w:sz w:val="32"/>
          <w:szCs w:val="36"/>
        </w:rPr>
        <w:t xml:space="preserve">Vyrozumění o schválení žádosti o příspěvek v rámci projektu </w:t>
      </w:r>
      <w:r w:rsidRPr="00AB37E1">
        <w:rPr>
          <w:i w:val="0"/>
          <w:iCs/>
          <w:sz w:val="32"/>
          <w:szCs w:val="36"/>
        </w:rPr>
        <w:t xml:space="preserve">Podpora odborného vzdělávání </w:t>
      </w:r>
      <w:r>
        <w:rPr>
          <w:i w:val="0"/>
          <w:iCs/>
          <w:sz w:val="32"/>
          <w:szCs w:val="36"/>
        </w:rPr>
        <w:t>zaměstnanců II – v režimu „de minimis“</w:t>
      </w:r>
    </w:p>
    <w:p w14:paraId="3A5B79B4" w14:textId="77777777" w:rsidR="00163A8F" w:rsidRPr="0021125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6258CE26" w14:textId="77777777" w:rsidR="00163A8F" w:rsidRDefault="00163A8F" w:rsidP="00163A8F">
      <w:pPr>
        <w:pStyle w:val="Zkladntext2"/>
        <w:spacing w:after="0" w:line="276" w:lineRule="auto"/>
        <w:ind w:right="74"/>
        <w:jc w:val="right"/>
        <w:outlineLvl w:val="0"/>
        <w:rPr>
          <w:bCs/>
          <w:i w:val="0"/>
          <w:iCs/>
        </w:rPr>
      </w:pPr>
    </w:p>
    <w:p w14:paraId="03E966E5" w14:textId="70BC9158" w:rsidR="00163A8F" w:rsidRPr="00403B57" w:rsidRDefault="00163A8F" w:rsidP="00163A8F">
      <w:pPr>
        <w:pStyle w:val="Zkladntext2"/>
        <w:spacing w:after="0" w:line="276" w:lineRule="auto"/>
        <w:ind w:right="74"/>
        <w:jc w:val="right"/>
        <w:outlineLvl w:val="0"/>
        <w:rPr>
          <w:i w:val="0"/>
          <w:lang w:val="cs-CZ"/>
        </w:rPr>
      </w:pPr>
      <w:r>
        <w:rPr>
          <w:bCs/>
          <w:i w:val="0"/>
          <w:iCs/>
        </w:rPr>
        <w:t>Č. j.</w:t>
      </w:r>
      <w:r>
        <w:rPr>
          <w:bCs/>
          <w:i w:val="0"/>
          <w:iCs/>
          <w:lang w:val="cs-CZ"/>
        </w:rPr>
        <w:t>: UPCR-OL-20</w:t>
      </w:r>
      <w:r w:rsidR="00546FDF">
        <w:rPr>
          <w:bCs/>
          <w:i w:val="0"/>
          <w:iCs/>
          <w:lang w:val="cs-CZ"/>
        </w:rPr>
        <w:t>2</w:t>
      </w:r>
      <w:r w:rsidR="006A12C5">
        <w:rPr>
          <w:bCs/>
          <w:i w:val="0"/>
          <w:iCs/>
          <w:lang w:val="cs-CZ"/>
        </w:rPr>
        <w:t>2/</w:t>
      </w:r>
      <w:r w:rsidR="006B0018">
        <w:rPr>
          <w:bCs/>
          <w:i w:val="0"/>
          <w:iCs/>
          <w:lang w:val="cs-CZ"/>
        </w:rPr>
        <w:t>126319</w:t>
      </w:r>
    </w:p>
    <w:p w14:paraId="2C1CFF90" w14:textId="77777777" w:rsidR="00163A8F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14:paraId="6F84FCC5" w14:textId="1B9983CB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 xml:space="preserve">Úřad práce České </w:t>
      </w:r>
      <w:r w:rsidR="00C74B0D">
        <w:rPr>
          <w:bCs/>
          <w:i w:val="0"/>
          <w:iCs/>
          <w:lang w:val="cs-CZ"/>
        </w:rPr>
        <w:t>R</w:t>
      </w:r>
      <w:proofErr w:type="spellStart"/>
      <w:r>
        <w:rPr>
          <w:bCs/>
          <w:i w:val="0"/>
          <w:iCs/>
        </w:rPr>
        <w:t>epubliky</w:t>
      </w:r>
      <w:proofErr w:type="spellEnd"/>
      <w:r>
        <w:rPr>
          <w:bCs/>
          <w:i w:val="0"/>
          <w:iCs/>
        </w:rPr>
        <w:t xml:space="preserve"> – kontaktní</w:t>
      </w:r>
      <w:r>
        <w:rPr>
          <w:bCs/>
          <w:i w:val="0"/>
          <w:iCs/>
          <w:lang w:val="cs-CZ"/>
        </w:rPr>
        <w:t xml:space="preserve"> </w:t>
      </w:r>
      <w:r>
        <w:rPr>
          <w:bCs/>
          <w:i w:val="0"/>
          <w:iCs/>
        </w:rPr>
        <w:t>pracoviště</w:t>
      </w:r>
      <w:r>
        <w:rPr>
          <w:bCs/>
          <w:i w:val="0"/>
          <w:iCs/>
          <w:lang w:val="cs-CZ"/>
        </w:rPr>
        <w:t xml:space="preserve"> Olomouc</w:t>
      </w:r>
    </w:p>
    <w:p w14:paraId="5BE1FA04" w14:textId="77777777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Zastoupený:</w:t>
      </w:r>
      <w:r>
        <w:rPr>
          <w:bCs/>
          <w:i w:val="0"/>
          <w:iCs/>
          <w:lang w:val="cs-CZ"/>
        </w:rPr>
        <w:t xml:space="preserve"> Mgr. Milenou Vykoukalovou, ředitelkou Odboru zaměstnanosti KoP Olomouc</w:t>
      </w:r>
    </w:p>
    <w:p w14:paraId="07414D63" w14:textId="77777777" w:rsidR="00163A8F" w:rsidRDefault="00163A8F" w:rsidP="00163A8F">
      <w:pPr>
        <w:pStyle w:val="Zkladntext2"/>
        <w:spacing w:after="0" w:line="276" w:lineRule="auto"/>
        <w:ind w:right="74"/>
        <w:rPr>
          <w:bCs/>
          <w:i w:val="0"/>
          <w:iCs/>
        </w:rPr>
      </w:pPr>
    </w:p>
    <w:p w14:paraId="6F4291F3" w14:textId="77777777" w:rsidR="00163A8F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14:paraId="67E5FFF3" w14:textId="2E313C9E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Žadatel:</w:t>
      </w:r>
      <w:r>
        <w:rPr>
          <w:bCs/>
          <w:i w:val="0"/>
          <w:iCs/>
          <w:lang w:val="cs-CZ"/>
        </w:rPr>
        <w:t xml:space="preserve"> </w:t>
      </w:r>
      <w:r w:rsidR="006A12C5">
        <w:rPr>
          <w:bCs/>
          <w:i w:val="0"/>
          <w:iCs/>
          <w:lang w:val="cs-CZ"/>
        </w:rPr>
        <w:t xml:space="preserve">        </w:t>
      </w:r>
      <w:r w:rsidR="006B0018">
        <w:rPr>
          <w:bCs/>
          <w:i w:val="0"/>
          <w:iCs/>
          <w:lang w:val="cs-CZ"/>
        </w:rPr>
        <w:t>MORAVIA CONSULT Olomouc a.s.</w:t>
      </w:r>
    </w:p>
    <w:p w14:paraId="7D990409" w14:textId="120AE169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IČO:</w:t>
      </w:r>
      <w:r>
        <w:rPr>
          <w:bCs/>
          <w:i w:val="0"/>
          <w:iCs/>
          <w:lang w:val="cs-CZ"/>
        </w:rPr>
        <w:t xml:space="preserve"> </w:t>
      </w:r>
      <w:r w:rsidR="006A12C5">
        <w:rPr>
          <w:bCs/>
          <w:i w:val="0"/>
          <w:iCs/>
          <w:lang w:val="cs-CZ"/>
        </w:rPr>
        <w:t xml:space="preserve">              </w:t>
      </w:r>
      <w:r w:rsidR="006B0018">
        <w:rPr>
          <w:bCs/>
          <w:i w:val="0"/>
          <w:iCs/>
          <w:lang w:val="cs-CZ"/>
        </w:rPr>
        <w:t>64610357</w:t>
      </w:r>
    </w:p>
    <w:p w14:paraId="723CC9A6" w14:textId="65D918D9" w:rsidR="00163A8F" w:rsidRPr="00386BF1" w:rsidRDefault="00163A8F" w:rsidP="00163A8F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Zastoupený:</w:t>
      </w:r>
      <w:r>
        <w:rPr>
          <w:bCs/>
          <w:i w:val="0"/>
          <w:iCs/>
          <w:lang w:val="cs-CZ"/>
        </w:rPr>
        <w:t xml:space="preserve"> </w:t>
      </w:r>
      <w:r w:rsidR="006B0018">
        <w:rPr>
          <w:bCs/>
          <w:i w:val="0"/>
          <w:iCs/>
          <w:lang w:val="cs-CZ"/>
        </w:rPr>
        <w:t>Ing. Václav Kratochvíl, předseda představenstva</w:t>
      </w:r>
      <w:r w:rsidR="00C22C80">
        <w:rPr>
          <w:bCs/>
          <w:i w:val="0"/>
          <w:iCs/>
          <w:lang w:val="cs-CZ"/>
        </w:rPr>
        <w:t xml:space="preserve"> </w:t>
      </w:r>
      <w:r>
        <w:rPr>
          <w:bCs/>
          <w:i w:val="0"/>
          <w:iCs/>
        </w:rPr>
        <w:tab/>
      </w:r>
    </w:p>
    <w:p w14:paraId="2110D33A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1D841D88" w14:textId="7C666740" w:rsidR="00163A8F" w:rsidRPr="0021125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Vážen</w:t>
      </w:r>
      <w:r w:rsidR="007044AE">
        <w:rPr>
          <w:b w:val="0"/>
          <w:bCs/>
          <w:i w:val="0"/>
          <w:iCs/>
          <w:lang w:val="cs-CZ"/>
        </w:rPr>
        <w:t>ý</w:t>
      </w:r>
      <w:r>
        <w:rPr>
          <w:b w:val="0"/>
          <w:bCs/>
          <w:i w:val="0"/>
          <w:iCs/>
        </w:rPr>
        <w:t xml:space="preserve"> </w:t>
      </w:r>
      <w:r w:rsidRPr="0021125F">
        <w:rPr>
          <w:b w:val="0"/>
          <w:bCs/>
          <w:i w:val="0"/>
          <w:iCs/>
        </w:rPr>
        <w:t>pan</w:t>
      </w:r>
      <w:r w:rsidR="007044AE">
        <w:rPr>
          <w:b w:val="0"/>
          <w:bCs/>
          <w:i w:val="0"/>
          <w:iCs/>
          <w:lang w:val="cs-CZ"/>
        </w:rPr>
        <w:t>e</w:t>
      </w:r>
      <w:r w:rsidRPr="0021125F">
        <w:rPr>
          <w:b w:val="0"/>
          <w:bCs/>
          <w:i w:val="0"/>
          <w:iCs/>
        </w:rPr>
        <w:t>,</w:t>
      </w:r>
    </w:p>
    <w:p w14:paraId="706DAC7E" w14:textId="0EA940BB" w:rsidR="00163A8F" w:rsidRPr="00D96597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strike/>
        </w:rPr>
      </w:pPr>
      <w:r w:rsidRPr="0021125F">
        <w:rPr>
          <w:b w:val="0"/>
          <w:bCs/>
          <w:i w:val="0"/>
          <w:iCs/>
        </w:rPr>
        <w:t xml:space="preserve">dovoluji si Vám oznámit, že </w:t>
      </w:r>
      <w:r>
        <w:rPr>
          <w:b w:val="0"/>
          <w:bCs/>
          <w:i w:val="0"/>
          <w:iCs/>
        </w:rPr>
        <w:t>Vaše žádost reg. Č.</w:t>
      </w:r>
      <w:r>
        <w:rPr>
          <w:b w:val="0"/>
          <w:bCs/>
          <w:i w:val="0"/>
          <w:iCs/>
          <w:lang w:val="cs-CZ"/>
        </w:rPr>
        <w:t xml:space="preserve"> POVEZ/3</w:t>
      </w:r>
      <w:r w:rsidR="006A12C5" w:rsidRPr="006A12C5">
        <w:rPr>
          <w:b w:val="0"/>
          <w:bCs/>
          <w:i w:val="0"/>
          <w:iCs/>
          <w:lang w:val="cs-CZ"/>
        </w:rPr>
        <w:t>/2022/00</w:t>
      </w:r>
      <w:r w:rsidR="006B0018">
        <w:rPr>
          <w:b w:val="0"/>
          <w:bCs/>
          <w:i w:val="0"/>
          <w:iCs/>
          <w:lang w:val="cs-CZ"/>
        </w:rPr>
        <w:t>1506</w:t>
      </w:r>
      <w:r w:rsidR="006A12C5">
        <w:rPr>
          <w:b w:val="0"/>
          <w:bCs/>
          <w:i w:val="0"/>
          <w:iCs/>
          <w:lang w:val="cs-CZ"/>
        </w:rPr>
        <w:t xml:space="preserve"> </w:t>
      </w:r>
      <w:r w:rsidRPr="0021125F">
        <w:rPr>
          <w:b w:val="0"/>
          <w:bCs/>
          <w:i w:val="0"/>
          <w:iCs/>
        </w:rPr>
        <w:t xml:space="preserve">o </w:t>
      </w:r>
      <w:r>
        <w:rPr>
          <w:b w:val="0"/>
          <w:bCs/>
          <w:i w:val="0"/>
          <w:iCs/>
        </w:rPr>
        <w:t>příspěvek v rámci projektu</w:t>
      </w:r>
      <w:r w:rsidR="00945DDE">
        <w:rPr>
          <w:b w:val="0"/>
          <w:bCs/>
          <w:i w:val="0"/>
          <w:iCs/>
          <w:lang w:val="cs-CZ"/>
        </w:rPr>
        <w:t xml:space="preserve"> </w:t>
      </w:r>
      <w:r w:rsidRPr="003D4241">
        <w:rPr>
          <w:b w:val="0"/>
          <w:bCs/>
          <w:i w:val="0"/>
          <w:iCs/>
        </w:rPr>
        <w:t>Podpora odborného vzdělávání zaměstnanců</w:t>
      </w:r>
      <w:r>
        <w:rPr>
          <w:b w:val="0"/>
          <w:bCs/>
          <w:i w:val="0"/>
          <w:iCs/>
        </w:rPr>
        <w:t xml:space="preserve"> II reg. </w:t>
      </w:r>
      <w:r w:rsidR="00563360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č. </w:t>
      </w:r>
      <w:r w:rsidRPr="00822FFE">
        <w:rPr>
          <w:b w:val="0"/>
          <w:i w:val="0"/>
          <w:szCs w:val="22"/>
        </w:rPr>
        <w:t>CZ.03.1.52/0.0/0.0/15_021/0000053</w:t>
      </w:r>
      <w:r>
        <w:rPr>
          <w:b w:val="0"/>
          <w:bCs/>
          <w:i w:val="0"/>
          <w:iCs/>
        </w:rPr>
        <w:t xml:space="preserve">, </w:t>
      </w:r>
      <w:r w:rsidRPr="00EB3D59">
        <w:rPr>
          <w:b w:val="0"/>
          <w:bCs/>
          <w:i w:val="0"/>
          <w:iCs/>
        </w:rPr>
        <w:t>je tímto na základě dop</w:t>
      </w:r>
      <w:r>
        <w:rPr>
          <w:b w:val="0"/>
          <w:bCs/>
          <w:i w:val="0"/>
          <w:iCs/>
        </w:rPr>
        <w:t xml:space="preserve">oručení hodnotící komise ze dne </w:t>
      </w:r>
      <w:r w:rsidR="006B0018">
        <w:rPr>
          <w:b w:val="0"/>
          <w:bCs/>
          <w:i w:val="0"/>
          <w:iCs/>
          <w:lang w:val="cs-CZ"/>
        </w:rPr>
        <w:t>3.8.2022</w:t>
      </w:r>
      <w:r w:rsidRPr="00EB3D59">
        <w:rPr>
          <w:b w:val="0"/>
          <w:bCs/>
          <w:i w:val="0"/>
          <w:iCs/>
        </w:rPr>
        <w:t xml:space="preserve"> </w:t>
      </w:r>
      <w:r w:rsidRPr="00822FFE">
        <w:rPr>
          <w:bCs/>
          <w:i w:val="0"/>
          <w:iCs/>
        </w:rPr>
        <w:t>schválena</w:t>
      </w:r>
      <w:r w:rsidRPr="00EB3D59">
        <w:rPr>
          <w:b w:val="0"/>
          <w:bCs/>
          <w:i w:val="0"/>
          <w:iCs/>
        </w:rPr>
        <w:t xml:space="preserve"> Úřadem práce České</w:t>
      </w:r>
      <w:r>
        <w:rPr>
          <w:b w:val="0"/>
          <w:bCs/>
          <w:i w:val="0"/>
          <w:iCs/>
        </w:rPr>
        <w:t xml:space="preserve"> republiky – kontaktním pracovištěm Olomouc</w:t>
      </w:r>
      <w:r w:rsidRPr="00EB3D59">
        <w:rPr>
          <w:b w:val="0"/>
          <w:bCs/>
          <w:i w:val="0"/>
          <w:iCs/>
        </w:rPr>
        <w:t xml:space="preserve"> v následujícím rozsahu a za následujících podmínek:</w:t>
      </w:r>
    </w:p>
    <w:p w14:paraId="3A7F3F8E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3EB60613" w14:textId="77777777" w:rsidR="00163A8F" w:rsidRDefault="00163A8F" w:rsidP="00163A8F">
      <w:pPr>
        <w:pStyle w:val="Zkladntext2"/>
        <w:spacing w:after="0" w:line="276" w:lineRule="auto"/>
        <w:outlineLvl w:val="0"/>
        <w:rPr>
          <w:bCs/>
          <w:i w:val="0"/>
          <w:iCs/>
        </w:rPr>
      </w:pPr>
      <w:r w:rsidRPr="00364EC4">
        <w:rPr>
          <w:bCs/>
          <w:i w:val="0"/>
          <w:iCs/>
        </w:rPr>
        <w:t>I.</w:t>
      </w:r>
      <w:r>
        <w:rPr>
          <w:bCs/>
          <w:i w:val="0"/>
          <w:iCs/>
        </w:rPr>
        <w:t xml:space="preserve"> Specifikace vzdělávací aktivity:</w:t>
      </w:r>
    </w:p>
    <w:p w14:paraId="6813D86C" w14:textId="77777777" w:rsidR="00163A8F" w:rsidRDefault="00163A8F" w:rsidP="00163A8F">
      <w:pPr>
        <w:pStyle w:val="Zkladntext2"/>
        <w:spacing w:after="0" w:line="276" w:lineRule="auto"/>
        <w:rPr>
          <w:bCs/>
          <w:i w:val="0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4750"/>
      </w:tblGrid>
      <w:tr w:rsidR="00163A8F" w14:paraId="1CA848CE" w14:textId="77777777" w:rsidTr="006A65A9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990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Název: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965E30" w14:textId="489E27EE" w:rsidR="00163A8F" w:rsidRPr="00781569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Cs/>
                <w:lang w:val="cs-CZ"/>
              </w:rPr>
              <w:t>Obchodní a technická angličtina</w:t>
            </w:r>
          </w:p>
        </w:tc>
      </w:tr>
      <w:tr w:rsidR="00163A8F" w:rsidRPr="00D71DC0" w14:paraId="491509BB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DD9DA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Schválená výše nákladů dle HK: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B8A49" w14:textId="61F33827" w:rsidR="00163A8F" w:rsidRPr="00781569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47 933,60</w:t>
            </w:r>
            <w:r w:rsidR="00163A8F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</w:p>
        </w:tc>
      </w:tr>
      <w:tr w:rsidR="00163A8F" w14:paraId="3732F2C6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32479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Maximální příspěvek na vzdělávací aktivitu: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3B121F" w14:textId="1EE03EC8" w:rsidR="00163A8F" w:rsidRPr="00D221BA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40 743,60</w:t>
            </w:r>
            <w:r w:rsidR="00163A8F" w:rsidRPr="00D221BA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  <w:tr w:rsidR="00163A8F" w14:paraId="2AE15CAF" w14:textId="77777777" w:rsidTr="006A65A9">
        <w:trPr>
          <w:trHeight w:val="528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89862A8" w14:textId="1E69F59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Minimální rozsah vyuč. hodin (včetně ověření získaných znalostí a dovedností):</w:t>
            </w:r>
            <w:r w:rsidR="001712AF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</w:t>
            </w:r>
            <w:r w:rsidR="006B0018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34,5</w:t>
            </w:r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h</w:t>
            </w:r>
            <w:r w:rsidR="006B0018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od.</w:t>
            </w:r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po </w:t>
            </w:r>
            <w:proofErr w:type="gramStart"/>
            <w:r w:rsidR="006A12C5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60</w:t>
            </w:r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min</w:t>
            </w:r>
            <w:proofErr w:type="gramEnd"/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.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0DA0DF" w14:textId="682E0651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Výuka:</w:t>
            </w:r>
            <w:r w:rsidR="006B0018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33</w:t>
            </w:r>
          </w:p>
        </w:tc>
      </w:tr>
      <w:tr w:rsidR="00163A8F" w14:paraId="338E5DC2" w14:textId="77777777" w:rsidTr="006A65A9">
        <w:trPr>
          <w:trHeight w:val="527"/>
        </w:trPr>
        <w:tc>
          <w:tcPr>
            <w:tcW w:w="42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D7EF7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EC97F4" w14:textId="6E54474E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Závěrečná zkouška: 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</w:t>
            </w:r>
            <w:r w:rsidR="006B0018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,5</w:t>
            </w:r>
          </w:p>
        </w:tc>
      </w:tr>
      <w:tr w:rsidR="00163A8F" w14:paraId="21799ABE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FA787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ACDE5" w14:textId="59009516" w:rsidR="00163A8F" w:rsidRPr="00781569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19</w:t>
            </w:r>
          </w:p>
        </w:tc>
      </w:tr>
      <w:tr w:rsidR="00163A8F" w14:paraId="7F54D69C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32289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potenciálních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F4B7" w14:textId="77777777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0</w:t>
            </w:r>
          </w:p>
        </w:tc>
      </w:tr>
      <w:tr w:rsidR="00163A8F" w14:paraId="401859D2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BA1F79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Předpokládaný termín realizace: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64817" w14:textId="70B78BB9" w:rsidR="00163A8F" w:rsidRPr="00781569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září</w:t>
            </w:r>
            <w:r w:rsidR="00945DD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proofErr w:type="gramStart"/>
            <w:r w:rsidR="00945DD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202</w:t>
            </w:r>
            <w:r w:rsidR="00C74B0D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2</w:t>
            </w: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– březen</w:t>
            </w:r>
            <w:proofErr w:type="gramEnd"/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2023</w:t>
            </w:r>
          </w:p>
        </w:tc>
      </w:tr>
      <w:tr w:rsidR="00163A8F" w14:paraId="45B64934" w14:textId="77777777" w:rsidTr="006A65A9">
        <w:tc>
          <w:tcPr>
            <w:tcW w:w="425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3AA15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14D189E" w14:textId="77777777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</w:tr>
      <w:tr w:rsidR="00163A8F" w14:paraId="2E26141B" w14:textId="77777777" w:rsidTr="006A65A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33318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mzdové náklady:</w:t>
            </w:r>
          </w:p>
        </w:tc>
        <w:tc>
          <w:tcPr>
            <w:tcW w:w="4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C0C70" w14:textId="0C959CF3" w:rsidR="00163A8F" w:rsidRPr="00781569" w:rsidRDefault="006B0018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129 789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</w:tbl>
    <w:p w14:paraId="05DE2D79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37833062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410EA45C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265DE477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3EE3E6A2" w14:textId="18D8838E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4762A9">
        <w:rPr>
          <w:b w:val="0"/>
          <w:bCs/>
          <w:i w:val="0"/>
          <w:iCs/>
        </w:rPr>
        <w:t>Uvedené specifikace jsou závazné. Uveden</w:t>
      </w:r>
      <w:r>
        <w:rPr>
          <w:b w:val="0"/>
          <w:bCs/>
          <w:i w:val="0"/>
          <w:iCs/>
        </w:rPr>
        <w:t>á</w:t>
      </w:r>
      <w:r w:rsidRPr="004762A9">
        <w:rPr>
          <w:b w:val="0"/>
          <w:bCs/>
          <w:i w:val="0"/>
          <w:iCs/>
        </w:rPr>
        <w:t xml:space="preserve"> vzdělávací aktivita</w:t>
      </w:r>
      <w:r>
        <w:rPr>
          <w:b w:val="0"/>
          <w:bCs/>
          <w:i w:val="0"/>
          <w:iCs/>
        </w:rPr>
        <w:t>, resp. vzdělávací aktivity,</w:t>
      </w:r>
      <w:r w:rsidRPr="004762A9">
        <w:rPr>
          <w:b w:val="0"/>
          <w:bCs/>
          <w:i w:val="0"/>
          <w:iCs/>
        </w:rPr>
        <w:t xml:space="preserve"> musí být poptávána</w:t>
      </w:r>
      <w:r>
        <w:rPr>
          <w:b w:val="0"/>
          <w:bCs/>
          <w:i w:val="0"/>
          <w:iCs/>
        </w:rPr>
        <w:t>/y</w:t>
      </w:r>
      <w:r w:rsidRPr="004762A9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 xml:space="preserve">pro počet účastníků uvedený v Žádosti a v tomto Vyrozumění a dále </w:t>
      </w:r>
      <w:r w:rsidRPr="004762A9">
        <w:rPr>
          <w:b w:val="0"/>
          <w:bCs/>
          <w:i w:val="0"/>
          <w:iCs/>
        </w:rPr>
        <w:t xml:space="preserve">v minimálním </w:t>
      </w:r>
      <w:r>
        <w:rPr>
          <w:b w:val="0"/>
          <w:bCs/>
          <w:i w:val="0"/>
          <w:iCs/>
        </w:rPr>
        <w:t xml:space="preserve">hodinovém </w:t>
      </w:r>
      <w:r w:rsidRPr="004762A9">
        <w:rPr>
          <w:b w:val="0"/>
          <w:bCs/>
          <w:i w:val="0"/>
          <w:iCs/>
        </w:rPr>
        <w:t xml:space="preserve">rozsahu </w:t>
      </w:r>
      <w:r>
        <w:rPr>
          <w:b w:val="0"/>
          <w:bCs/>
          <w:i w:val="0"/>
          <w:iCs/>
        </w:rPr>
        <w:t>stanoveném v Ž</w:t>
      </w:r>
      <w:r w:rsidRPr="004762A9">
        <w:rPr>
          <w:b w:val="0"/>
          <w:bCs/>
          <w:i w:val="0"/>
          <w:iCs/>
        </w:rPr>
        <w:t xml:space="preserve">ádosti a </w:t>
      </w:r>
      <w:r>
        <w:rPr>
          <w:b w:val="0"/>
          <w:bCs/>
          <w:i w:val="0"/>
          <w:iCs/>
        </w:rPr>
        <w:t xml:space="preserve">v </w:t>
      </w:r>
      <w:r w:rsidRPr="004762A9">
        <w:rPr>
          <w:b w:val="0"/>
          <w:bCs/>
          <w:i w:val="0"/>
          <w:iCs/>
        </w:rPr>
        <w:t xml:space="preserve">tomto Vyrozumění, může však být </w:t>
      </w:r>
      <w:r>
        <w:rPr>
          <w:b w:val="0"/>
          <w:bCs/>
          <w:i w:val="0"/>
          <w:iCs/>
        </w:rPr>
        <w:t xml:space="preserve">poptávána </w:t>
      </w:r>
      <w:r w:rsidRPr="004762A9">
        <w:rPr>
          <w:b w:val="0"/>
          <w:bCs/>
          <w:i w:val="0"/>
          <w:iCs/>
        </w:rPr>
        <w:t xml:space="preserve">i </w:t>
      </w:r>
      <w:r>
        <w:rPr>
          <w:b w:val="0"/>
          <w:bCs/>
          <w:i w:val="0"/>
          <w:iCs/>
        </w:rPr>
        <w:t xml:space="preserve">ve </w:t>
      </w:r>
      <w:r w:rsidRPr="004762A9">
        <w:rPr>
          <w:b w:val="0"/>
          <w:bCs/>
          <w:i w:val="0"/>
          <w:iCs/>
        </w:rPr>
        <w:t>vyšší</w:t>
      </w:r>
      <w:r>
        <w:rPr>
          <w:b w:val="0"/>
          <w:bCs/>
          <w:i w:val="0"/>
          <w:iCs/>
        </w:rPr>
        <w:t>m hodinovém rozsahu</w:t>
      </w:r>
      <w:r w:rsidRPr="004762A9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Název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a termín realizace může být dále vyspecifikován na základě výběru konkrétního kurzu a dohody s dodavatelem. </w:t>
      </w:r>
    </w:p>
    <w:p w14:paraId="4813B62F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CE6FA9">
        <w:rPr>
          <w:b w:val="0"/>
          <w:i w:val="0"/>
        </w:rPr>
        <w:t>Předpokládaná (ani maximální) hodnota veřejné zakázky není ze strany ÚP ČR stanovena</w:t>
      </w:r>
      <w:r>
        <w:rPr>
          <w:b w:val="0"/>
          <w:i w:val="0"/>
        </w:rPr>
        <w:t xml:space="preserve">. Příspěvek však bude poskytnut nejvýše v hodnotě výše uvedeného maximálního příspěvku na vzdělávací aktivitu, který je vypočítán z výše uvedené schválené výše nákladů hodnotící komisí. </w:t>
      </w:r>
      <w:r w:rsidRPr="00D71DC0">
        <w:rPr>
          <w:b w:val="0"/>
          <w:bCs/>
          <w:i w:val="0"/>
          <w:iCs/>
        </w:rPr>
        <w:t xml:space="preserve">Vyúčtování </w:t>
      </w:r>
      <w:r>
        <w:rPr>
          <w:b w:val="0"/>
          <w:bCs/>
          <w:i w:val="0"/>
          <w:iCs/>
        </w:rPr>
        <w:t>zaměstnavatel</w:t>
      </w:r>
      <w:r w:rsidRPr="00D71DC0">
        <w:rPr>
          <w:b w:val="0"/>
          <w:bCs/>
          <w:i w:val="0"/>
          <w:iCs/>
        </w:rPr>
        <w:t xml:space="preserve"> dokládá ve výši 100 % skutečně vynaložených nákladů.</w:t>
      </w:r>
      <w:r>
        <w:rPr>
          <w:b w:val="0"/>
          <w:bCs/>
          <w:i w:val="0"/>
          <w:iCs/>
        </w:rPr>
        <w:t xml:space="preserve"> Do režimu „de minimis“ bude započtena pouze skutečně vyplacená podpora ze strany ÚP ČR, nejvýše tedy částka odpovídající výše uvedenému maximálnímu příspěvku na vzdělávací aktivitu.</w:t>
      </w:r>
    </w:p>
    <w:p w14:paraId="3741010A" w14:textId="77777777" w:rsidR="00163A8F" w:rsidRPr="00F61BAD" w:rsidRDefault="00163A8F" w:rsidP="00163A8F">
      <w:pPr>
        <w:tabs>
          <w:tab w:val="left" w:pos="969"/>
          <w:tab w:val="right" w:leader="dot" w:pos="9002"/>
        </w:tabs>
        <w:spacing w:after="0" w:line="276" w:lineRule="auto"/>
        <w:ind w:right="72"/>
        <w:rPr>
          <w:rFonts w:cs="Arial"/>
          <w:bCs/>
          <w:iCs/>
          <w:sz w:val="24"/>
          <w:highlight w:val="yellow"/>
        </w:rPr>
      </w:pPr>
    </w:p>
    <w:p w14:paraId="53D1BFE9" w14:textId="77777777" w:rsidR="00163A8F" w:rsidRPr="00BF70BE" w:rsidRDefault="00163A8F" w:rsidP="00163A8F">
      <w:pPr>
        <w:pStyle w:val="Zkladntext2"/>
        <w:spacing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II. Výběr dodavatele</w:t>
      </w:r>
    </w:p>
    <w:p w14:paraId="30BC4156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4123451A" w14:textId="77777777" w:rsidR="00163A8F" w:rsidRPr="000127E2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Převzetím tohoto dokumentu se zavazujete </w:t>
      </w:r>
      <w:r>
        <w:rPr>
          <w:b w:val="0"/>
          <w:bCs/>
          <w:i w:val="0"/>
          <w:iCs/>
          <w:lang w:val="cs-CZ"/>
        </w:rPr>
        <w:t xml:space="preserve">v případě externího dodavatele vzdělávání </w:t>
      </w:r>
      <w:r>
        <w:rPr>
          <w:b w:val="0"/>
          <w:bCs/>
          <w:i w:val="0"/>
          <w:iCs/>
        </w:rPr>
        <w:t xml:space="preserve">provést výběr dodavatele výše uvedené aktivity/aktivit v souladu </w:t>
      </w:r>
      <w:r w:rsidRPr="00D71DC0">
        <w:rPr>
          <w:b w:val="0"/>
          <w:bCs/>
          <w:i w:val="0"/>
          <w:iCs/>
        </w:rPr>
        <w:t>s</w:t>
      </w:r>
      <w:r>
        <w:rPr>
          <w:b w:val="0"/>
          <w:i w:val="0"/>
        </w:rPr>
        <w:t>e</w:t>
      </w:r>
      <w:r w:rsidRPr="00620984">
        <w:rPr>
          <w:b w:val="0"/>
          <w:i w:val="0"/>
        </w:rPr>
        <w:t xml:space="preserve"> zákonem</w:t>
      </w:r>
      <w:r>
        <w:rPr>
          <w:b w:val="0"/>
          <w:i w:val="0"/>
        </w:rPr>
        <w:t xml:space="preserve"> č.</w:t>
      </w:r>
      <w:r>
        <w:rPr>
          <w:b w:val="0"/>
          <w:i w:val="0"/>
          <w:lang w:val="cs-CZ"/>
        </w:rPr>
        <w:t xml:space="preserve"> </w:t>
      </w:r>
      <w:r w:rsidRPr="00A7638C">
        <w:rPr>
          <w:b w:val="0"/>
          <w:i w:val="0"/>
        </w:rPr>
        <w:t>134/2016 Sb. o zadávání veřejných zakázek</w:t>
      </w:r>
      <w:r>
        <w:rPr>
          <w:b w:val="0"/>
          <w:i w:val="0"/>
          <w:lang w:val="cs-CZ"/>
        </w:rPr>
        <w:t xml:space="preserve"> </w:t>
      </w:r>
      <w:r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6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ve verzi platné v den vyhlášení výzvy (objednávky) a zároveň dodržet výše uvedené závazné specifikace vzdělávací aktivity/aktivit.</w:t>
      </w:r>
    </w:p>
    <w:p w14:paraId="011ECD84" w14:textId="481CBA0C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Dále se zavazujete provést výběr dodavatele výše specifikované vzdělávací aktivity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a ve lhůtě do </w:t>
      </w:r>
      <w:r w:rsidR="006B0018">
        <w:rPr>
          <w:i w:val="0"/>
          <w:iCs/>
          <w:lang w:val="cs-CZ"/>
        </w:rPr>
        <w:t>2.2.2023</w:t>
      </w:r>
      <w:r>
        <w:rPr>
          <w:b w:val="0"/>
          <w:bCs/>
          <w:i w:val="0"/>
          <w:iCs/>
        </w:rPr>
        <w:t xml:space="preserve"> předložit Úřadu práce České republiky – kontaktnímu pracovišti Olomouc kopie veškeré dokumentace prokazující způsob a výsledek výběru dodavatele vzdělávacích aktivit.</w:t>
      </w:r>
    </w:p>
    <w:p w14:paraId="15BEF6FB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5A15AD3C" w14:textId="7AAEA40D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Realizace vzdělávací aktivity může být zahájena až po podepsání Dohody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o zabezpečení vzdělávací aktivity zaměstnanců a poskytnutí příspěvku v rámci projektu </w:t>
      </w:r>
      <w:r w:rsidRPr="000F3DB9">
        <w:rPr>
          <w:b w:val="0"/>
          <w:bCs/>
          <w:i w:val="0"/>
          <w:iCs/>
        </w:rPr>
        <w:t>Podpora odborného vzdělávání zaměstnanců</w:t>
      </w:r>
      <w:r>
        <w:rPr>
          <w:b w:val="0"/>
          <w:bCs/>
          <w:i w:val="0"/>
          <w:iCs/>
        </w:rPr>
        <w:t xml:space="preserve"> II</w:t>
      </w:r>
      <w:r w:rsidRPr="000F3DB9">
        <w:rPr>
          <w:b w:val="0"/>
          <w:bCs/>
          <w:i w:val="0"/>
          <w:iCs/>
        </w:rPr>
        <w:t>,</w:t>
      </w:r>
      <w:r>
        <w:rPr>
          <w:b w:val="0"/>
          <w:bCs/>
          <w:i w:val="0"/>
          <w:iCs/>
        </w:rPr>
        <w:t xml:space="preserve"> </w:t>
      </w:r>
      <w:r w:rsidRPr="001D0296">
        <w:rPr>
          <w:b w:val="0"/>
          <w:bCs/>
          <w:i w:val="0"/>
          <w:iCs/>
        </w:rPr>
        <w:t xml:space="preserve">reg.č. </w:t>
      </w:r>
      <w:r w:rsidRPr="00620984">
        <w:rPr>
          <w:b w:val="0"/>
          <w:i w:val="0"/>
          <w:szCs w:val="22"/>
        </w:rPr>
        <w:t>CZ.03.1.52/0.0/0.0/</w:t>
      </w:r>
      <w:r w:rsidR="001712AF">
        <w:rPr>
          <w:b w:val="0"/>
          <w:i w:val="0"/>
          <w:szCs w:val="22"/>
        </w:rPr>
        <w:br/>
      </w:r>
      <w:r w:rsidRPr="00620984">
        <w:rPr>
          <w:b w:val="0"/>
          <w:i w:val="0"/>
          <w:szCs w:val="22"/>
        </w:rPr>
        <w:t>15_021/0000053</w:t>
      </w:r>
      <w:r w:rsidRPr="001D0296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Dohoda bude uzavřena až po splnění výše uvedených podmínek a předložení potřebné dokumentace o výběru dodavatele. V případě, že bude shledán Úřadem práce ČR rozpor mezi Vámi provedeným výběrem a </w:t>
      </w:r>
      <w:r w:rsidRPr="00620984">
        <w:rPr>
          <w:b w:val="0"/>
          <w:i w:val="0"/>
        </w:rPr>
        <w:t>zákonem č.</w:t>
      </w:r>
      <w:r>
        <w:rPr>
          <w:b w:val="0"/>
          <w:i w:val="0"/>
          <w:lang w:val="cs-CZ"/>
        </w:rPr>
        <w:t xml:space="preserve"> 1</w:t>
      </w:r>
      <w:r w:rsidRPr="00A7638C">
        <w:rPr>
          <w:b w:val="0"/>
          <w:i w:val="0"/>
        </w:rPr>
        <w:t>34/2016 Sb. o zadávání veřejných zakázek</w:t>
      </w:r>
      <w:r w:rsidRPr="00620984">
        <w:rPr>
          <w:b w:val="0"/>
          <w:i w:val="0"/>
        </w:rPr>
        <w:t xml:space="preserve"> a Obecnou částí Pravidel pro žadatele a příjemce v rámci Operačního programu Zaměstnanost dostupnou na </w:t>
      </w:r>
      <w:hyperlink r:id="rId7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, Dohoda uzavřena nebude.</w:t>
      </w:r>
    </w:p>
    <w:p w14:paraId="0CA3C907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14:paraId="2A6AD6F8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3C5271AD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0263D4D5" w14:textId="5FC5A4DC" w:rsidR="00163A8F" w:rsidRPr="00AB37E1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V případě, že zaměstnavatel bude poptávat vzdělávání podle akreditovaného vzdělávacího programu nebo vzdělávacího programu podle zvláštních právních předpisů, je povinen vymezit kvalifikační požadavek na doložení kopie dokladu opravňujícího ke vzdělávání v uvedeném vzdělávacím programu. Kopii tohoto dokladu je zaměstnavatel povinen předložit spolu s doklady vztahujícími se k výběru dodavatele vzdělávání.</w:t>
      </w:r>
    </w:p>
    <w:p w14:paraId="4AE8A733" w14:textId="77777777" w:rsidR="00163A8F" w:rsidRPr="00AB37E1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Zaměstnavatel je povine</w:t>
      </w:r>
      <w:r>
        <w:rPr>
          <w:b w:val="0"/>
          <w:bCs/>
          <w:i w:val="0"/>
          <w:iCs/>
        </w:rPr>
        <w:t xml:space="preserve">n informovat </w:t>
      </w:r>
      <w:r>
        <w:rPr>
          <w:b w:val="0"/>
          <w:bCs/>
          <w:i w:val="0"/>
          <w:iCs/>
          <w:lang w:val="cs-CZ"/>
        </w:rPr>
        <w:t>Ú</w:t>
      </w:r>
      <w:r w:rsidRPr="00AB37E1">
        <w:rPr>
          <w:b w:val="0"/>
          <w:bCs/>
          <w:i w:val="0"/>
          <w:iCs/>
        </w:rPr>
        <w:t>řad práce</w:t>
      </w:r>
      <w:r>
        <w:rPr>
          <w:b w:val="0"/>
          <w:bCs/>
          <w:i w:val="0"/>
          <w:iCs/>
          <w:lang w:val="cs-CZ"/>
        </w:rPr>
        <w:t xml:space="preserve"> ČR</w:t>
      </w:r>
      <w:r w:rsidRPr="00AB37E1">
        <w:rPr>
          <w:b w:val="0"/>
          <w:bCs/>
          <w:i w:val="0"/>
          <w:iCs/>
        </w:rPr>
        <w:t xml:space="preserve"> o výsledku výběru spolu s doložením objednávky</w:t>
      </w:r>
      <w:r>
        <w:rPr>
          <w:b w:val="0"/>
          <w:bCs/>
          <w:i w:val="0"/>
          <w:iCs/>
        </w:rPr>
        <w:t xml:space="preserve"> nebo oslovení určeného počtu potenciálních dodavatelů nebo</w:t>
      </w:r>
      <w:r w:rsidRPr="00AB37E1">
        <w:rPr>
          <w:b w:val="0"/>
          <w:bCs/>
          <w:i w:val="0"/>
          <w:iCs/>
        </w:rPr>
        <w:t xml:space="preserve"> případně výzvy k předložení nabídek společně se zápisem o posouzení a hodnocení nabídek a smlouvy s dodavatelem vzdělávání </w:t>
      </w:r>
      <w:r>
        <w:rPr>
          <w:b w:val="0"/>
          <w:bCs/>
          <w:i w:val="0"/>
          <w:iCs/>
        </w:rPr>
        <w:t xml:space="preserve">ještě před uzavřením Dohody (v závislosti na výši příspěvku na vzdělávací aktivitu a v souladu </w:t>
      </w:r>
      <w:r>
        <w:rPr>
          <w:b w:val="0"/>
          <w:i w:val="0"/>
        </w:rPr>
        <w:t>s</w:t>
      </w:r>
      <w:r w:rsidRPr="00620984">
        <w:rPr>
          <w:b w:val="0"/>
          <w:i w:val="0"/>
        </w:rPr>
        <w:t xml:space="preserve"> Obecnou částí Pravidel pro žadatele a příjemce v rámci Operačního programu Zaměstnanost dostupnou na </w:t>
      </w:r>
      <w:hyperlink r:id="rId8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 xml:space="preserve"> a zákonem</w:t>
      </w:r>
      <w:r>
        <w:rPr>
          <w:b w:val="0"/>
          <w:bCs/>
          <w:i w:val="0"/>
          <w:iCs/>
          <w:lang w:val="cs-CZ"/>
        </w:rPr>
        <w:t xml:space="preserve"> č. </w:t>
      </w:r>
      <w:r w:rsidRPr="00A7638C">
        <w:rPr>
          <w:b w:val="0"/>
          <w:bCs/>
          <w:i w:val="0"/>
          <w:iCs/>
        </w:rPr>
        <w:t>134/2016 Sb. o zadávání veřejných zakázek</w:t>
      </w:r>
      <w:r>
        <w:rPr>
          <w:b w:val="0"/>
          <w:bCs/>
          <w:i w:val="0"/>
          <w:iCs/>
        </w:rPr>
        <w:t>)</w:t>
      </w:r>
      <w:r w:rsidRPr="00AB37E1">
        <w:rPr>
          <w:b w:val="0"/>
          <w:bCs/>
          <w:i w:val="0"/>
          <w:iCs/>
        </w:rPr>
        <w:t xml:space="preserve">. </w:t>
      </w:r>
    </w:p>
    <w:p w14:paraId="5A6335BB" w14:textId="77777777" w:rsidR="00163A8F" w:rsidRPr="008A5245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>Vzdělávání musí být zahájeno do 6 měsíců ode dne vydání tohoto vyrozumění.</w:t>
      </w:r>
    </w:p>
    <w:p w14:paraId="2B112E7C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7639AEF2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V Olomouci dne:</w:t>
      </w:r>
    </w:p>
    <w:p w14:paraId="1DF96810" w14:textId="77777777" w:rsidR="00163A8F" w:rsidRPr="0021125F" w:rsidRDefault="00163A8F" w:rsidP="00163A8F">
      <w:pPr>
        <w:pStyle w:val="Rejstk"/>
        <w:suppressLineNumbers w:val="0"/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0419E1E4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</w:p>
    <w:p w14:paraId="6FFBA484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23E3611A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6510F3BE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--------------------------------</w:t>
      </w:r>
    </w:p>
    <w:p w14:paraId="56639CEF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Mgr. Milena Vykoukalová</w:t>
      </w:r>
    </w:p>
    <w:p w14:paraId="46885FA8" w14:textId="77777777" w:rsidR="00163A8F" w:rsidRPr="00EB3D59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ředitelka Odboru zaměstnanosti KoP Olomouc</w:t>
      </w:r>
    </w:p>
    <w:p w14:paraId="78CA79E8" w14:textId="77777777" w:rsidR="00163A8F" w:rsidRPr="00EB3D59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462949A3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38FACF0D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/>
          <w:bCs/>
          <w:iCs/>
          <w:sz w:val="24"/>
        </w:rPr>
      </w:pPr>
      <w:r>
        <w:rPr>
          <w:rFonts w:cs="Arial"/>
          <w:b/>
          <w:bCs/>
          <w:iCs/>
          <w:sz w:val="24"/>
        </w:rPr>
        <w:t>Stručné shrnutí v rámci věcného hodnocení žádosti:</w:t>
      </w:r>
    </w:p>
    <w:p w14:paraId="7AD7A57D" w14:textId="41DFC6F3" w:rsidR="00163A8F" w:rsidRPr="00563360" w:rsidRDefault="00163A8F" w:rsidP="00163A8F">
      <w:pPr>
        <w:tabs>
          <w:tab w:val="left" w:pos="969"/>
        </w:tabs>
        <w:spacing w:after="0" w:line="276" w:lineRule="auto"/>
        <w:rPr>
          <w:rFonts w:cs="Arial"/>
          <w:sz w:val="24"/>
        </w:rPr>
      </w:pPr>
    </w:p>
    <w:p w14:paraId="0596FA35" w14:textId="4430C3AC" w:rsidR="006B0018" w:rsidRPr="006B0018" w:rsidRDefault="006B0018" w:rsidP="006B0018">
      <w:pPr>
        <w:rPr>
          <w:rFonts w:cs="Arial"/>
          <w:sz w:val="24"/>
        </w:rPr>
      </w:pPr>
      <w:r w:rsidRPr="006B0018">
        <w:rPr>
          <w:rFonts w:cs="Arial"/>
          <w:sz w:val="24"/>
        </w:rPr>
        <w:t xml:space="preserve">Cílená vzdělávací </w:t>
      </w:r>
      <w:proofErr w:type="gramStart"/>
      <w:r w:rsidRPr="006B0018">
        <w:rPr>
          <w:rFonts w:cs="Arial"/>
          <w:sz w:val="24"/>
        </w:rPr>
        <w:t>aktivita - Zefektivnění</w:t>
      </w:r>
      <w:proofErr w:type="gramEnd"/>
      <w:r w:rsidRPr="006B0018">
        <w:rPr>
          <w:rFonts w:cs="Arial"/>
          <w:sz w:val="24"/>
        </w:rPr>
        <w:t xml:space="preserve"> komunikace zaměstnanců se zahraničními projektovými partnery v anglickém jazyce - představuje pro projekční zaměstnance MORAVIA CONSULT OLOMOUC a. s.  přínos v rámci vzájemné komunikaci při realizace zakázek ve spolupráci s partnery evropských zemí. Doložený obsah kurzu obsahuje větší část všeobecných základů jazyka, proto bude příspěvek na vzdělávací aktivitu snížen o </w:t>
      </w:r>
      <w:proofErr w:type="gramStart"/>
      <w:r w:rsidRPr="006B0018">
        <w:rPr>
          <w:rFonts w:cs="Arial"/>
          <w:sz w:val="24"/>
        </w:rPr>
        <w:t>50%</w:t>
      </w:r>
      <w:proofErr w:type="gramEnd"/>
      <w:r w:rsidRPr="006B0018">
        <w:rPr>
          <w:rFonts w:cs="Arial"/>
          <w:sz w:val="24"/>
        </w:rPr>
        <w:t xml:space="preserve">. Dále bude příspěvek snížen kvůli vyjmutí již podpořených zaměstnanců: </w:t>
      </w:r>
      <w:proofErr w:type="gramStart"/>
      <w:r w:rsidR="0002112E">
        <w:rPr>
          <w:rFonts w:cs="Arial"/>
          <w:sz w:val="24"/>
        </w:rPr>
        <w:t>xxx .</w:t>
      </w:r>
      <w:proofErr w:type="gramEnd"/>
      <w:r w:rsidR="0002112E">
        <w:rPr>
          <w:rFonts w:cs="Arial"/>
          <w:sz w:val="24"/>
        </w:rPr>
        <w:t xml:space="preserve"> </w:t>
      </w:r>
      <w:r w:rsidRPr="006B0018">
        <w:rPr>
          <w:rFonts w:cs="Arial"/>
          <w:sz w:val="24"/>
        </w:rPr>
        <w:t>Žadatel nežádal o v</w:t>
      </w:r>
      <w:r>
        <w:rPr>
          <w:rFonts w:cs="Arial"/>
          <w:sz w:val="24"/>
        </w:rPr>
        <w:t>ýji</w:t>
      </w:r>
      <w:r w:rsidRPr="006B0018">
        <w:rPr>
          <w:rFonts w:cs="Arial"/>
          <w:sz w:val="24"/>
        </w:rPr>
        <w:t>mku.</w:t>
      </w:r>
    </w:p>
    <w:p w14:paraId="0C09851F" w14:textId="77777777" w:rsidR="006B0018" w:rsidRPr="006B0018" w:rsidRDefault="006B0018" w:rsidP="006B0018">
      <w:pPr>
        <w:rPr>
          <w:rFonts w:cs="Arial"/>
          <w:sz w:val="24"/>
        </w:rPr>
      </w:pPr>
      <w:r w:rsidRPr="006B0018">
        <w:rPr>
          <w:rFonts w:cs="Arial"/>
          <w:sz w:val="24"/>
        </w:rPr>
        <w:t xml:space="preserve">Příspěvek na vzdělávání je tedy stanoven na 47 933,60 Kč. </w:t>
      </w:r>
    </w:p>
    <w:p w14:paraId="2DDFA4ED" w14:textId="78550136" w:rsidR="009C590C" w:rsidRPr="006B0018" w:rsidRDefault="006B0018" w:rsidP="006B0018">
      <w:pPr>
        <w:rPr>
          <w:rFonts w:cs="Arial"/>
          <w:sz w:val="24"/>
        </w:rPr>
      </w:pPr>
      <w:r w:rsidRPr="006B0018">
        <w:rPr>
          <w:rFonts w:cs="Arial"/>
          <w:sz w:val="24"/>
        </w:rPr>
        <w:t>Mzdový příspěvek je po vyjmutí výše uvedených dříve podpořených zaměstnanců stanoven na 129 789 Kč.</w:t>
      </w:r>
    </w:p>
    <w:sectPr w:rsidR="009C590C" w:rsidRPr="006B0018" w:rsidSect="00386B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0D7A" w14:textId="77777777" w:rsidR="00216F1F" w:rsidRDefault="00216F1F">
      <w:pPr>
        <w:spacing w:after="0"/>
      </w:pPr>
      <w:r>
        <w:separator/>
      </w:r>
    </w:p>
  </w:endnote>
  <w:endnote w:type="continuationSeparator" w:id="0">
    <w:p w14:paraId="12D273FB" w14:textId="77777777" w:rsidR="00216F1F" w:rsidRDefault="00216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265" w14:textId="77777777" w:rsidR="00D3731A" w:rsidRDefault="00163A8F" w:rsidP="00D3731A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14:paraId="7C19E7F3" w14:textId="77777777" w:rsidR="00D3731A" w:rsidRPr="00D3731A" w:rsidRDefault="00163A8F" w:rsidP="00D3731A">
    <w:pPr>
      <w:pStyle w:val="Zpat"/>
      <w:tabs>
        <w:tab w:val="left" w:pos="180"/>
        <w:tab w:val="right" w:pos="14004"/>
      </w:tabs>
      <w:rPr>
        <w:rFonts w:ascii="Calibri" w:hAnsi="Calibri"/>
        <w:sz w:val="18"/>
        <w:szCs w:val="18"/>
        <w:lang w:val="cs-CZ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0F7E" w14:textId="77777777" w:rsidR="00216F1F" w:rsidRDefault="00216F1F">
      <w:pPr>
        <w:spacing w:after="0"/>
      </w:pPr>
      <w:r>
        <w:separator/>
      </w:r>
    </w:p>
  </w:footnote>
  <w:footnote w:type="continuationSeparator" w:id="0">
    <w:p w14:paraId="2D058E31" w14:textId="77777777" w:rsidR="00216F1F" w:rsidRDefault="00216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BE3A" w14:textId="77777777" w:rsidR="00047C8F" w:rsidRPr="009C77AA" w:rsidRDefault="00163A8F" w:rsidP="009C77AA">
    <w:pPr>
      <w:pStyle w:val="Zhlav"/>
      <w:jc w:val="right"/>
      <w:rPr>
        <w:sz w:val="20"/>
      </w:rPr>
    </w:pPr>
    <w:r>
      <w:rPr>
        <w:sz w:val="20"/>
      </w:rPr>
      <w:t>Příloha č. 3 ke Směrnici č. 13/2017</w:t>
    </w:r>
    <w:r w:rsidRPr="009C77AA">
      <w:rPr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1F8DCFFB" wp14:editId="1E70A1A2">
          <wp:simplePos x="0" y="0"/>
          <wp:positionH relativeFrom="column">
            <wp:posOffset>178435</wp:posOffset>
          </wp:positionH>
          <wp:positionV relativeFrom="paragraph">
            <wp:posOffset>-69850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8F"/>
    <w:rsid w:val="0002112E"/>
    <w:rsid w:val="00163A8F"/>
    <w:rsid w:val="001712AF"/>
    <w:rsid w:val="00216F1F"/>
    <w:rsid w:val="002D74B5"/>
    <w:rsid w:val="002E4BF0"/>
    <w:rsid w:val="00546FDF"/>
    <w:rsid w:val="00563360"/>
    <w:rsid w:val="00596C54"/>
    <w:rsid w:val="006A12C5"/>
    <w:rsid w:val="006B0018"/>
    <w:rsid w:val="006C6785"/>
    <w:rsid w:val="007044AE"/>
    <w:rsid w:val="00866F6D"/>
    <w:rsid w:val="00945DDE"/>
    <w:rsid w:val="009C590C"/>
    <w:rsid w:val="00A05C7B"/>
    <w:rsid w:val="00AD0E96"/>
    <w:rsid w:val="00B21250"/>
    <w:rsid w:val="00B510E8"/>
    <w:rsid w:val="00C22C80"/>
    <w:rsid w:val="00C61F32"/>
    <w:rsid w:val="00C74B0D"/>
    <w:rsid w:val="00D60E0E"/>
    <w:rsid w:val="00E5770D"/>
    <w:rsid w:val="00E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C25D5"/>
  <w15:chartTrackingRefBased/>
  <w15:docId w15:val="{7D434834-C6BB-4B36-975C-7346121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A8F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jstk">
    <w:name w:val="Rejstřík"/>
    <w:basedOn w:val="Normln"/>
    <w:uiPriority w:val="99"/>
    <w:rsid w:val="00163A8F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163A8F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63A8F"/>
    <w:rPr>
      <w:rFonts w:ascii="Arial" w:eastAsia="Calibri" w:hAnsi="Arial" w:cs="Arial"/>
      <w:b/>
      <w:i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163A8F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163A8F"/>
    <w:rPr>
      <w:rFonts w:ascii="Arial" w:eastAsia="Calibri" w:hAnsi="Arial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rsid w:val="00163A8F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basedOn w:val="Standardnpsmoodstavce"/>
    <w:link w:val="Zpat"/>
    <w:rsid w:val="00163A8F"/>
    <w:rPr>
      <w:rFonts w:ascii="Arial" w:eastAsia="Calibri" w:hAnsi="Arial" w:cs="Times New Roman"/>
      <w:sz w:val="24"/>
      <w:szCs w:val="24"/>
      <w:lang w:val="x-none" w:eastAsia="ar-SA"/>
    </w:rPr>
  </w:style>
  <w:style w:type="character" w:styleId="Hypertextovodkaz">
    <w:name w:val="Hyperlink"/>
    <w:rsid w:val="00163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f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cr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Doubravská Hana (UPM-KRP)</dc:creator>
  <cp:keywords/>
  <dc:description/>
  <cp:lastModifiedBy>Doubravská Hana (UPM-OLB)</cp:lastModifiedBy>
  <cp:revision>2</cp:revision>
  <cp:lastPrinted>2022-02-24T13:26:00Z</cp:lastPrinted>
  <dcterms:created xsi:type="dcterms:W3CDTF">2022-09-06T13:35:00Z</dcterms:created>
  <dcterms:modified xsi:type="dcterms:W3CDTF">2022-09-06T13:35:00Z</dcterms:modified>
</cp:coreProperties>
</file>