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C0" w:rsidRDefault="00992DC0">
      <w:pPr>
        <w:pStyle w:val="Zkladntext"/>
        <w:rPr>
          <w:sz w:val="20"/>
        </w:rPr>
      </w:pPr>
    </w:p>
    <w:p w:rsidR="00992DC0" w:rsidRDefault="00992DC0">
      <w:pPr>
        <w:pStyle w:val="Zkladntext"/>
        <w:spacing w:before="6"/>
        <w:rPr>
          <w:sz w:val="28"/>
        </w:rPr>
      </w:pPr>
    </w:p>
    <w:p w:rsidR="00992DC0" w:rsidRDefault="00A833AB">
      <w:pPr>
        <w:spacing w:before="85"/>
        <w:ind w:right="100"/>
        <w:jc w:val="center"/>
        <w:rPr>
          <w:b/>
          <w:sz w:val="36"/>
        </w:rPr>
      </w:pPr>
      <w:proofErr w:type="spellStart"/>
      <w:r>
        <w:rPr>
          <w:b/>
          <w:sz w:val="36"/>
        </w:rPr>
        <w:t>Smlouva</w:t>
      </w:r>
      <w:proofErr w:type="spellEnd"/>
      <w:r>
        <w:rPr>
          <w:b/>
          <w:sz w:val="36"/>
        </w:rPr>
        <w:t xml:space="preserve"> o </w:t>
      </w:r>
      <w:proofErr w:type="spellStart"/>
      <w:r>
        <w:rPr>
          <w:b/>
          <w:sz w:val="36"/>
        </w:rPr>
        <w:t>vypořádání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bezdůvodného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obohacení</w:t>
      </w:r>
      <w:proofErr w:type="spellEnd"/>
    </w:p>
    <w:p w:rsidR="00992DC0" w:rsidRDefault="00A833AB">
      <w:pPr>
        <w:pStyle w:val="Zkladntext"/>
        <w:spacing w:before="274"/>
        <w:ind w:right="99"/>
        <w:jc w:val="center"/>
      </w:pPr>
      <w:proofErr w:type="spellStart"/>
      <w:proofErr w:type="gramStart"/>
      <w:r>
        <w:t>mezi</w:t>
      </w:r>
      <w:proofErr w:type="spellEnd"/>
      <w:proofErr w:type="gram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:rsidR="00992DC0" w:rsidRDefault="00992DC0">
      <w:pPr>
        <w:pStyle w:val="Zkladntext"/>
        <w:rPr>
          <w:sz w:val="26"/>
        </w:rPr>
      </w:pPr>
    </w:p>
    <w:p w:rsidR="00992DC0" w:rsidRDefault="00992DC0">
      <w:pPr>
        <w:pStyle w:val="Zkladntext"/>
        <w:rPr>
          <w:sz w:val="26"/>
        </w:rPr>
      </w:pPr>
    </w:p>
    <w:p w:rsidR="00992DC0" w:rsidRDefault="00992DC0">
      <w:pPr>
        <w:pStyle w:val="Zkladntext"/>
        <w:rPr>
          <w:sz w:val="26"/>
        </w:rPr>
      </w:pPr>
    </w:p>
    <w:p w:rsidR="00992DC0" w:rsidRDefault="00992DC0">
      <w:pPr>
        <w:pStyle w:val="Zkladntext"/>
        <w:rPr>
          <w:sz w:val="26"/>
        </w:rPr>
      </w:pPr>
    </w:p>
    <w:p w:rsidR="00992DC0" w:rsidRDefault="00992DC0">
      <w:pPr>
        <w:pStyle w:val="Zkladntext"/>
        <w:rPr>
          <w:sz w:val="26"/>
        </w:rPr>
      </w:pPr>
    </w:p>
    <w:p w:rsidR="00992DC0" w:rsidRDefault="00A833AB">
      <w:pPr>
        <w:pStyle w:val="Nadpis1"/>
        <w:spacing w:before="167" w:line="274" w:lineRule="exact"/>
        <w:ind w:right="99"/>
      </w:pPr>
      <w:proofErr w:type="spellStart"/>
      <w:r>
        <w:t>Národní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, </w:t>
      </w:r>
      <w:proofErr w:type="spellStart"/>
      <w:r>
        <w:t>p.o.</w:t>
      </w:r>
      <w:proofErr w:type="spellEnd"/>
    </w:p>
    <w:p w:rsidR="00992DC0" w:rsidRDefault="00A833AB">
      <w:pPr>
        <w:pStyle w:val="Zkladntext"/>
        <w:spacing w:line="274" w:lineRule="exact"/>
        <w:ind w:right="93"/>
        <w:jc w:val="center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Topolová 748, 250 67 </w:t>
      </w:r>
      <w:proofErr w:type="spellStart"/>
      <w:r>
        <w:t>Klecany</w:t>
      </w:r>
      <w:proofErr w:type="spellEnd"/>
    </w:p>
    <w:p w:rsidR="00992DC0" w:rsidRDefault="00A833AB">
      <w:pPr>
        <w:pStyle w:val="Zkladntext"/>
        <w:ind w:right="98"/>
        <w:jc w:val="center"/>
      </w:pPr>
      <w:r>
        <w:t>IČ: 00023752</w:t>
      </w:r>
    </w:p>
    <w:p w:rsidR="00992DC0" w:rsidRDefault="00A833AB">
      <w:pPr>
        <w:pStyle w:val="Zkladntext"/>
        <w:ind w:right="100"/>
        <w:jc w:val="center"/>
      </w:pPr>
      <w:proofErr w:type="spellStart"/>
      <w:proofErr w:type="gramStart"/>
      <w:r>
        <w:t>zastoupená</w:t>
      </w:r>
      <w:proofErr w:type="spellEnd"/>
      <w:proofErr w:type="gramEnd"/>
      <w:r>
        <w:t xml:space="preserve"> PhDr.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Winklerem</w:t>
      </w:r>
      <w:proofErr w:type="spellEnd"/>
      <w:r>
        <w:t>, Ph.D.</w:t>
      </w:r>
    </w:p>
    <w:p w:rsidR="00992DC0" w:rsidRDefault="00992DC0">
      <w:pPr>
        <w:pStyle w:val="Zkladntext"/>
      </w:pPr>
    </w:p>
    <w:p w:rsidR="00992DC0" w:rsidRDefault="00A833AB">
      <w:pPr>
        <w:pStyle w:val="Zkladntext"/>
        <w:ind w:right="99"/>
        <w:jc w:val="center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Objednavatel</w:t>
      </w:r>
      <w:proofErr w:type="spellEnd"/>
      <w:r>
        <w:t>“)</w:t>
      </w:r>
    </w:p>
    <w:p w:rsidR="00992DC0" w:rsidRDefault="00992DC0">
      <w:pPr>
        <w:pStyle w:val="Zkladntext"/>
      </w:pPr>
    </w:p>
    <w:p w:rsidR="00992DC0" w:rsidRDefault="00A833AB">
      <w:pPr>
        <w:pStyle w:val="Zkladntext"/>
        <w:ind w:right="95"/>
        <w:jc w:val="center"/>
      </w:pPr>
      <w:proofErr w:type="gramStart"/>
      <w:r>
        <w:t>a</w:t>
      </w:r>
      <w:proofErr w:type="gramEnd"/>
    </w:p>
    <w:p w:rsidR="00992DC0" w:rsidRDefault="00992DC0">
      <w:pPr>
        <w:pStyle w:val="Zkladntext"/>
        <w:spacing w:before="5"/>
      </w:pPr>
    </w:p>
    <w:p w:rsidR="00992DC0" w:rsidRDefault="00A833AB">
      <w:pPr>
        <w:pStyle w:val="Nadpis1"/>
        <w:spacing w:line="274" w:lineRule="exact"/>
        <w:ind w:right="100"/>
      </w:pPr>
      <w:r>
        <w:t xml:space="preserve">AMEDIS, </w:t>
      </w:r>
      <w:proofErr w:type="spellStart"/>
      <w:r>
        <w:t>spol</w:t>
      </w:r>
      <w:proofErr w:type="spellEnd"/>
      <w:r>
        <w:t xml:space="preserve">. </w:t>
      </w:r>
      <w:proofErr w:type="gramStart"/>
      <w:r>
        <w:t>s</w:t>
      </w:r>
      <w:proofErr w:type="gramEnd"/>
      <w:r>
        <w:t xml:space="preserve"> </w:t>
      </w:r>
      <w:proofErr w:type="spellStart"/>
      <w:r>
        <w:t>r.o</w:t>
      </w:r>
      <w:proofErr w:type="spellEnd"/>
      <w:r>
        <w:t>.</w:t>
      </w:r>
    </w:p>
    <w:p w:rsidR="00992DC0" w:rsidRDefault="00A833AB">
      <w:pPr>
        <w:pStyle w:val="Zkladntext"/>
        <w:spacing w:line="274" w:lineRule="exact"/>
        <w:ind w:right="100"/>
        <w:jc w:val="center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Bobkova</w:t>
      </w:r>
      <w:proofErr w:type="spellEnd"/>
      <w:r>
        <w:t xml:space="preserve"> 786/4 198 00 Praha 14</w:t>
      </w:r>
    </w:p>
    <w:p w:rsidR="00992DC0" w:rsidRDefault="00A833AB">
      <w:pPr>
        <w:pStyle w:val="Zkladntext"/>
        <w:ind w:right="102"/>
        <w:jc w:val="center"/>
      </w:pPr>
      <w:r>
        <w:t>IČ: 48586366</w:t>
      </w:r>
    </w:p>
    <w:p w:rsidR="00992DC0" w:rsidRDefault="00A833AB">
      <w:pPr>
        <w:pStyle w:val="Zkladntext"/>
        <w:tabs>
          <w:tab w:val="left" w:pos="3894"/>
        </w:tabs>
        <w:ind w:right="43"/>
        <w:jc w:val="center"/>
      </w:pPr>
      <w:proofErr w:type="spellStart"/>
      <w:proofErr w:type="gramStart"/>
      <w:r>
        <w:t>zastoupená</w:t>
      </w:r>
      <w:proofErr w:type="spellEnd"/>
      <w:r>
        <w:rPr>
          <w:spacing w:val="-1"/>
        </w:rPr>
        <w:t xml:space="preserve"> </w:t>
      </w:r>
      <w:r>
        <w:rPr>
          <w:u w:val="dotted"/>
        </w:rPr>
        <w:t xml:space="preserve"> </w:t>
      </w:r>
      <w:r w:rsidR="001A30CA">
        <w:rPr>
          <w:u w:val="dotted"/>
        </w:rPr>
        <w:t>Ing</w:t>
      </w:r>
      <w:proofErr w:type="gramEnd"/>
      <w:r w:rsidR="001A30CA">
        <w:rPr>
          <w:u w:val="dotted"/>
        </w:rPr>
        <w:t xml:space="preserve">. Hana </w:t>
      </w:r>
      <w:proofErr w:type="spellStart"/>
      <w:r w:rsidR="001A30CA">
        <w:rPr>
          <w:u w:val="dotted"/>
        </w:rPr>
        <w:t>Poslušná</w:t>
      </w:r>
      <w:proofErr w:type="spellEnd"/>
    </w:p>
    <w:p w:rsidR="00992DC0" w:rsidRDefault="00992DC0">
      <w:pPr>
        <w:pStyle w:val="Zkladntext"/>
        <w:spacing w:before="2"/>
        <w:rPr>
          <w:sz w:val="16"/>
        </w:rPr>
      </w:pPr>
    </w:p>
    <w:p w:rsidR="00992DC0" w:rsidRDefault="00A833AB">
      <w:pPr>
        <w:pStyle w:val="Zkladntext"/>
        <w:spacing w:before="90"/>
        <w:ind w:right="102"/>
        <w:jc w:val="center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Dodavatel</w:t>
      </w:r>
      <w:proofErr w:type="spellEnd"/>
      <w:r>
        <w:t>“)</w:t>
      </w:r>
    </w:p>
    <w:p w:rsidR="00992DC0" w:rsidRDefault="00992DC0">
      <w:pPr>
        <w:jc w:val="center"/>
        <w:sectPr w:rsidR="00992D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800" w:bottom="1200" w:left="900" w:header="708" w:footer="1000" w:gutter="0"/>
          <w:pgNumType w:start="1"/>
          <w:cols w:space="708"/>
        </w:sectPr>
      </w:pPr>
    </w:p>
    <w:p w:rsidR="00992DC0" w:rsidRDefault="00A833AB">
      <w:pPr>
        <w:pStyle w:val="Nadpis1"/>
        <w:spacing w:before="93"/>
        <w:ind w:right="102"/>
      </w:pPr>
      <w:proofErr w:type="spellStart"/>
      <w:r>
        <w:lastRenderedPageBreak/>
        <w:t>Preambule</w:t>
      </w:r>
      <w:proofErr w:type="spellEnd"/>
    </w:p>
    <w:p w:rsidR="00992DC0" w:rsidRDefault="00992DC0">
      <w:pPr>
        <w:pStyle w:val="Zkladntext"/>
        <w:spacing w:before="6"/>
        <w:rPr>
          <w:b/>
          <w:sz w:val="23"/>
        </w:rPr>
      </w:pPr>
    </w:p>
    <w:p w:rsidR="00992DC0" w:rsidRDefault="00A833AB">
      <w:pPr>
        <w:pStyle w:val="Zkladntext"/>
        <w:spacing w:before="1"/>
        <w:ind w:left="516" w:right="613"/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poptal</w:t>
      </w:r>
      <w:proofErr w:type="spellEnd"/>
      <w:r>
        <w:t xml:space="preserve"> servis </w:t>
      </w:r>
      <w:proofErr w:type="spellStart"/>
      <w:r>
        <w:t>zařízení</w:t>
      </w:r>
      <w:proofErr w:type="spellEnd"/>
      <w:r>
        <w:t xml:space="preserve"> (</w:t>
      </w:r>
      <w:proofErr w:type="spellStart"/>
      <w:r>
        <w:t>Dionex</w:t>
      </w:r>
      <w:proofErr w:type="spellEnd"/>
      <w:r>
        <w:t xml:space="preserve">) </w:t>
      </w:r>
      <w:proofErr w:type="spellStart"/>
      <w:r>
        <w:t>dle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č.: 6200115.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vybral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výhradním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servisu</w:t>
      </w:r>
      <w:proofErr w:type="spellEnd"/>
      <w:r>
        <w:t xml:space="preserve"> (</w:t>
      </w:r>
      <w:proofErr w:type="spellStart"/>
      <w:r>
        <w:t>viz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autorizaci</w:t>
      </w:r>
      <w:proofErr w:type="spellEnd"/>
      <w:r>
        <w:t xml:space="preserve">).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následné</w:t>
      </w:r>
      <w:proofErr w:type="spellEnd"/>
      <w:r>
        <w:t xml:space="preserve"> </w:t>
      </w:r>
      <w:proofErr w:type="spellStart"/>
      <w:r>
        <w:t>akceptace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k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jejímž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právě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.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plnil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v </w:t>
      </w:r>
      <w:proofErr w:type="spellStart"/>
      <w:r>
        <w:t>celém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poskytl</w:t>
      </w:r>
      <w:proofErr w:type="spellEnd"/>
      <w:r>
        <w:t xml:space="preserve">. </w:t>
      </w:r>
      <w:proofErr w:type="spellStart"/>
      <w:r>
        <w:t>Dodavatel</w:t>
      </w:r>
      <w:proofErr w:type="spellEnd"/>
      <w:r>
        <w:rPr>
          <w:spacing w:val="-17"/>
        </w:rPr>
        <w:t xml:space="preserve"> </w:t>
      </w:r>
      <w:proofErr w:type="spellStart"/>
      <w:r>
        <w:t>vystavil</w:t>
      </w:r>
      <w:proofErr w:type="spellEnd"/>
      <w:r>
        <w:rPr>
          <w:spacing w:val="-15"/>
        </w:rPr>
        <w:t xml:space="preserve"> </w:t>
      </w:r>
      <w:proofErr w:type="spellStart"/>
      <w:r>
        <w:t>Objednateli</w:t>
      </w:r>
      <w:proofErr w:type="spellEnd"/>
      <w:r>
        <w:rPr>
          <w:spacing w:val="-15"/>
        </w:rPr>
        <w:t xml:space="preserve"> </w:t>
      </w:r>
      <w:proofErr w:type="spellStart"/>
      <w:r>
        <w:t>fakturu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8"/>
        </w:rPr>
        <w:t xml:space="preserve"> </w:t>
      </w:r>
      <w:proofErr w:type="spellStart"/>
      <w:r>
        <w:t>základě</w:t>
      </w:r>
      <w:proofErr w:type="spellEnd"/>
      <w:r>
        <w:rPr>
          <w:spacing w:val="-14"/>
        </w:rPr>
        <w:t xml:space="preserve"> </w:t>
      </w:r>
      <w:proofErr w:type="spellStart"/>
      <w:r>
        <w:t>které</w:t>
      </w:r>
      <w:proofErr w:type="spellEnd"/>
      <w:r>
        <w:rPr>
          <w:spacing w:val="-17"/>
        </w:rPr>
        <w:t xml:space="preserve"> </w:t>
      </w:r>
      <w:proofErr w:type="spellStart"/>
      <w:r>
        <w:t>Objednatel</w:t>
      </w:r>
      <w:proofErr w:type="spellEnd"/>
      <w:r>
        <w:rPr>
          <w:spacing w:val="-16"/>
        </w:rPr>
        <w:t xml:space="preserve"> </w:t>
      </w:r>
      <w:proofErr w:type="spellStart"/>
      <w:r>
        <w:t>uhradil</w:t>
      </w:r>
      <w:proofErr w:type="spellEnd"/>
      <w:r>
        <w:rPr>
          <w:spacing w:val="-13"/>
        </w:rPr>
        <w:t xml:space="preserve"> </w:t>
      </w:r>
      <w:proofErr w:type="spellStart"/>
      <w:r>
        <w:t>Dodavateli</w:t>
      </w:r>
      <w:proofErr w:type="spellEnd"/>
      <w:r>
        <w:rPr>
          <w:spacing w:val="-15"/>
        </w:rPr>
        <w:t xml:space="preserve"> </w:t>
      </w:r>
      <w:proofErr w:type="spellStart"/>
      <w:r>
        <w:t>odměnu</w:t>
      </w:r>
      <w:proofErr w:type="spellEnd"/>
      <w:r>
        <w:t xml:space="preserve"> v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158 086</w:t>
      </w:r>
      <w:proofErr w:type="gramStart"/>
      <w:r>
        <w:t>,50</w:t>
      </w:r>
      <w:proofErr w:type="gramEnd"/>
      <w:r>
        <w:rPr>
          <w:spacing w:val="-1"/>
        </w:rPr>
        <w:t xml:space="preserve"> </w:t>
      </w:r>
      <w:proofErr w:type="spellStart"/>
      <w:r>
        <w:t>Kč</w:t>
      </w:r>
      <w:proofErr w:type="spellEnd"/>
      <w:r>
        <w:t>.</w:t>
      </w:r>
    </w:p>
    <w:p w:rsidR="00992DC0" w:rsidRDefault="00992DC0">
      <w:pPr>
        <w:pStyle w:val="Zkladntext"/>
      </w:pPr>
    </w:p>
    <w:p w:rsidR="00992DC0" w:rsidRDefault="00A833AB">
      <w:pPr>
        <w:pStyle w:val="Zkladntext"/>
        <w:ind w:left="516" w:right="612"/>
        <w:jc w:val="both"/>
      </w:pPr>
      <w:r>
        <w:t>Na</w:t>
      </w:r>
      <w:r>
        <w:rPr>
          <w:spacing w:val="-9"/>
        </w:rPr>
        <w:t xml:space="preserve"> </w:t>
      </w:r>
      <w:proofErr w:type="spellStart"/>
      <w:r>
        <w:t>výše</w:t>
      </w:r>
      <w:proofErr w:type="spellEnd"/>
      <w:r>
        <w:rPr>
          <w:spacing w:val="-7"/>
        </w:rPr>
        <w:t xml:space="preserve"> </w:t>
      </w:r>
      <w:proofErr w:type="spellStart"/>
      <w:r>
        <w:t>uvedenou</w:t>
      </w:r>
      <w:proofErr w:type="spellEnd"/>
      <w:r>
        <w:rPr>
          <w:spacing w:val="-6"/>
        </w:rPr>
        <w:t xml:space="preserve"> </w:t>
      </w:r>
      <w:proofErr w:type="spellStart"/>
      <w:r>
        <w:t>smlouvu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vztahovala</w:t>
      </w:r>
      <w:proofErr w:type="spellEnd"/>
      <w:r>
        <w:rPr>
          <w:spacing w:val="-7"/>
        </w:rPr>
        <w:t xml:space="preserve"> </w:t>
      </w:r>
      <w:proofErr w:type="spellStart"/>
      <w:r>
        <w:t>povinnost</w:t>
      </w:r>
      <w:proofErr w:type="spellEnd"/>
      <w:r>
        <w:rPr>
          <w:spacing w:val="-6"/>
        </w:rPr>
        <w:t xml:space="preserve"> </w:t>
      </w:r>
      <w:proofErr w:type="spellStart"/>
      <w:r>
        <w:t>uveřejnění</w:t>
      </w:r>
      <w:proofErr w:type="spellEnd"/>
      <w:r>
        <w:rPr>
          <w:spacing w:val="-6"/>
        </w:rPr>
        <w:t xml:space="preserve"> </w:t>
      </w:r>
      <w:proofErr w:type="spellStart"/>
      <w:r>
        <w:t>prostřednictvím</w:t>
      </w:r>
      <w:proofErr w:type="spellEnd"/>
      <w:r>
        <w:rPr>
          <w:spacing w:val="-7"/>
        </w:rPr>
        <w:t xml:space="preserve"> </w:t>
      </w:r>
      <w:proofErr w:type="spellStart"/>
      <w:r>
        <w:t>registru</w:t>
      </w:r>
      <w:proofErr w:type="spellEnd"/>
      <w:r>
        <w:rPr>
          <w:spacing w:val="-7"/>
        </w:rPr>
        <w:t xml:space="preserve"> </w:t>
      </w:r>
      <w:proofErr w:type="spellStart"/>
      <w:r>
        <w:t>smluv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č. 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uveřejně</w:t>
      </w:r>
      <w:r>
        <w:t>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.  </w:t>
      </w:r>
      <w:proofErr w:type="spellStart"/>
      <w:proofErr w:type="gramStart"/>
      <w:r>
        <w:t>Vzhledem</w:t>
      </w:r>
      <w:proofErr w:type="spellEnd"/>
      <w:r>
        <w:t xml:space="preserve">  k</w:t>
      </w:r>
      <w:proofErr w:type="gramEnd"/>
      <w:r>
        <w:t xml:space="preserve"> </w:t>
      </w:r>
      <w:proofErr w:type="spellStart"/>
      <w:r>
        <w:t>tomu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 </w:t>
      </w:r>
      <w:proofErr w:type="spellStart"/>
      <w:r>
        <w:t>Objednatel</w:t>
      </w:r>
      <w:proofErr w:type="spellEnd"/>
      <w:r>
        <w:t xml:space="preserve">  </w:t>
      </w:r>
      <w:proofErr w:type="spellStart"/>
      <w:r>
        <w:t>výše</w:t>
      </w:r>
      <w:proofErr w:type="spellEnd"/>
      <w:r>
        <w:t xml:space="preserve">  </w:t>
      </w:r>
      <w:proofErr w:type="spellStart"/>
      <w:r>
        <w:t>uvedenou</w:t>
      </w:r>
      <w:proofErr w:type="spellEnd"/>
      <w:r>
        <w:t xml:space="preserve">  </w:t>
      </w:r>
      <w:proofErr w:type="spellStart"/>
      <w:r>
        <w:t>smlouvu</w:t>
      </w:r>
      <w:proofErr w:type="spellEnd"/>
      <w:r>
        <w:t xml:space="preserve">  </w:t>
      </w:r>
      <w:proofErr w:type="spellStart"/>
      <w:r>
        <w:t>včasně</w:t>
      </w:r>
      <w:proofErr w:type="spellEnd"/>
      <w:r>
        <w:t xml:space="preserve">  </w:t>
      </w:r>
      <w:proofErr w:type="spellStart"/>
      <w:r>
        <w:t>neuveřejnil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zrušena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počátk</w:t>
      </w:r>
      <w:r>
        <w:t>u</w:t>
      </w:r>
      <w:proofErr w:type="spellEnd"/>
      <w:r>
        <w:t xml:space="preserve">. </w:t>
      </w:r>
      <w:proofErr w:type="spellStart"/>
      <w:r>
        <w:t>Navzájem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, a </w:t>
      </w:r>
      <w:proofErr w:type="spellStart"/>
      <w:r>
        <w:t>úhrady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v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158 086</w:t>
      </w:r>
      <w:proofErr w:type="gramStart"/>
      <w:r>
        <w:t>,50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stranách</w:t>
      </w:r>
      <w:proofErr w:type="spellEnd"/>
      <w:r>
        <w:t xml:space="preserve"> </w:t>
      </w:r>
      <w:proofErr w:type="spellStart"/>
      <w:r>
        <w:t>považují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bezdůvodné</w:t>
      </w:r>
      <w:proofErr w:type="spellEnd"/>
      <w:r>
        <w:rPr>
          <w:spacing w:val="-6"/>
        </w:rPr>
        <w:t xml:space="preserve"> </w:t>
      </w:r>
      <w:proofErr w:type="spellStart"/>
      <w:r>
        <w:t>obohacení</w:t>
      </w:r>
      <w:proofErr w:type="spellEnd"/>
      <w:r>
        <w:t>.</w:t>
      </w:r>
    </w:p>
    <w:p w:rsidR="00992DC0" w:rsidRDefault="00992DC0">
      <w:pPr>
        <w:pStyle w:val="Zkladntext"/>
      </w:pPr>
    </w:p>
    <w:p w:rsidR="00992DC0" w:rsidRDefault="00A833AB">
      <w:pPr>
        <w:pStyle w:val="Zkladntext"/>
        <w:spacing w:before="1"/>
        <w:ind w:left="516" w:right="612"/>
        <w:jc w:val="both"/>
      </w:pPr>
      <w:proofErr w:type="spellStart"/>
      <w:r>
        <w:t>Vzhledem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</w:t>
      </w:r>
      <w:proofErr w:type="spellStart"/>
      <w:r>
        <w:t>vypořádat</w:t>
      </w:r>
      <w:proofErr w:type="spellEnd"/>
      <w:r>
        <w:t xml:space="preserve"> </w:t>
      </w:r>
      <w:proofErr w:type="spellStart"/>
      <w:r>
        <w:t>bezdůvodné</w:t>
      </w:r>
      <w:proofErr w:type="spellEnd"/>
      <w:r>
        <w:t xml:space="preserve"> </w:t>
      </w:r>
      <w:proofErr w:type="spellStart"/>
      <w:r>
        <w:t>obohacení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vzniklo</w:t>
      </w:r>
      <w:proofErr w:type="spellEnd"/>
      <w:r>
        <w:t xml:space="preserve">,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bezdůvodného</w:t>
      </w:r>
      <w:proofErr w:type="spellEnd"/>
      <w:r>
        <w:t xml:space="preserve"> </w:t>
      </w:r>
      <w:proofErr w:type="spellStart"/>
      <w:r>
        <w:t>obohacení</w:t>
      </w:r>
      <w:proofErr w:type="spellEnd"/>
      <w:r>
        <w:t xml:space="preserve">,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vypořádávají</w:t>
      </w:r>
      <w:proofErr w:type="spellEnd"/>
      <w:r>
        <w:t xml:space="preserve"> </w:t>
      </w:r>
      <w:proofErr w:type="spellStart"/>
      <w:r>
        <w:t>bezdůvodné</w:t>
      </w:r>
      <w:proofErr w:type="spellEnd"/>
      <w:r>
        <w:t xml:space="preserve"> </w:t>
      </w:r>
      <w:proofErr w:type="spellStart"/>
      <w:r>
        <w:t>obohacení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zrušené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992DC0" w:rsidRDefault="00992DC0">
      <w:pPr>
        <w:pStyle w:val="Zkladntext"/>
        <w:spacing w:before="5"/>
      </w:pPr>
    </w:p>
    <w:p w:rsidR="00992DC0" w:rsidRDefault="00A833AB">
      <w:pPr>
        <w:pStyle w:val="Nadpis1"/>
        <w:ind w:right="96"/>
      </w:pPr>
      <w:r>
        <w:t>I.</w:t>
      </w:r>
    </w:p>
    <w:p w:rsidR="00992DC0" w:rsidRDefault="00A833AB">
      <w:pPr>
        <w:spacing w:line="274" w:lineRule="exact"/>
        <w:ind w:left="4169"/>
        <w:rPr>
          <w:b/>
          <w:sz w:val="24"/>
        </w:rPr>
      </w:pPr>
      <w:proofErr w:type="spellStart"/>
      <w:r>
        <w:rPr>
          <w:b/>
          <w:sz w:val="24"/>
        </w:rPr>
        <w:t>Předmět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</w:t>
      </w:r>
      <w:r>
        <w:rPr>
          <w:b/>
          <w:sz w:val="24"/>
        </w:rPr>
        <w:t>vy</w:t>
      </w:r>
      <w:proofErr w:type="spellEnd"/>
    </w:p>
    <w:p w:rsidR="00992DC0" w:rsidRDefault="00A833AB">
      <w:pPr>
        <w:pStyle w:val="Odstavecseseznamem"/>
        <w:numPr>
          <w:ilvl w:val="1"/>
          <w:numId w:val="2"/>
        </w:numPr>
        <w:tabs>
          <w:tab w:val="left" w:pos="1083"/>
        </w:tabs>
        <w:ind w:right="615"/>
        <w:jc w:val="both"/>
        <w:rPr>
          <w:sz w:val="24"/>
        </w:rPr>
      </w:pPr>
      <w:proofErr w:type="spellStart"/>
      <w:r>
        <w:rPr>
          <w:sz w:val="24"/>
        </w:rPr>
        <w:t>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 xml:space="preserve"> servis </w:t>
      </w:r>
      <w:proofErr w:type="spellStart"/>
      <w:r>
        <w:rPr>
          <w:sz w:val="24"/>
        </w:rPr>
        <w:t>zařízení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Dionex</w:t>
      </w:r>
      <w:proofErr w:type="spellEnd"/>
      <w:r>
        <w:rPr>
          <w:sz w:val="24"/>
        </w:rPr>
        <w:t>)</w:t>
      </w:r>
      <w:r>
        <w:rPr>
          <w:sz w:val="24"/>
        </w:rPr>
        <w:t>.</w:t>
      </w:r>
    </w:p>
    <w:p w:rsidR="00992DC0" w:rsidRDefault="00992DC0">
      <w:pPr>
        <w:pStyle w:val="Zkladntext"/>
        <w:spacing w:before="9"/>
        <w:rPr>
          <w:sz w:val="23"/>
        </w:rPr>
      </w:pPr>
    </w:p>
    <w:p w:rsidR="00992DC0" w:rsidRDefault="00A833AB">
      <w:pPr>
        <w:pStyle w:val="Odstavecseseznamem"/>
        <w:numPr>
          <w:ilvl w:val="1"/>
          <w:numId w:val="2"/>
        </w:numPr>
        <w:tabs>
          <w:tab w:val="left" w:pos="1083"/>
        </w:tabs>
        <w:ind w:right="617"/>
        <w:jc w:val="both"/>
        <w:rPr>
          <w:sz w:val="24"/>
        </w:rPr>
      </w:pPr>
      <w:proofErr w:type="spellStart"/>
      <w:r>
        <w:rPr>
          <w:sz w:val="24"/>
        </w:rPr>
        <w:t>Dodavatel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Poskytnutím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neporušil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žádná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třetích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osob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nutná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řádnému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>;</w:t>
      </w:r>
    </w:p>
    <w:p w:rsidR="00992DC0" w:rsidRDefault="00992DC0">
      <w:pPr>
        <w:pStyle w:val="Zkladntext"/>
        <w:spacing w:before="5"/>
      </w:pPr>
    </w:p>
    <w:p w:rsidR="00992DC0" w:rsidRDefault="00A833AB">
      <w:pPr>
        <w:pStyle w:val="Nadpis1"/>
        <w:ind w:right="100"/>
      </w:pPr>
      <w:r>
        <w:t>II.</w:t>
      </w:r>
    </w:p>
    <w:p w:rsidR="00992DC0" w:rsidRDefault="00A833AB">
      <w:pPr>
        <w:spacing w:before="1" w:line="274" w:lineRule="exact"/>
        <w:ind w:left="3548"/>
        <w:jc w:val="both"/>
        <w:rPr>
          <w:b/>
          <w:sz w:val="24"/>
        </w:rPr>
      </w:pPr>
      <w:proofErr w:type="spellStart"/>
      <w:r>
        <w:rPr>
          <w:b/>
          <w:sz w:val="24"/>
        </w:rPr>
        <w:t>Odměna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platební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podmínky</w:t>
      </w:r>
      <w:proofErr w:type="spellEnd"/>
    </w:p>
    <w:p w:rsidR="00992DC0" w:rsidRDefault="00A833AB">
      <w:pPr>
        <w:pStyle w:val="Zkladntext"/>
        <w:ind w:left="1082" w:right="611" w:hanging="567"/>
        <w:jc w:val="both"/>
      </w:pPr>
      <w:r>
        <w:rPr>
          <w:b/>
        </w:rPr>
        <w:t xml:space="preserve">2.1.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odměně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158</w:t>
      </w:r>
      <w:r>
        <w:rPr>
          <w:spacing w:val="-25"/>
        </w:rPr>
        <w:t xml:space="preserve"> </w:t>
      </w:r>
      <w:r>
        <w:t>086</w:t>
      </w:r>
      <w:proofErr w:type="gramStart"/>
      <w:r>
        <w:t>,50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.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potvrzují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Dodavateli</w:t>
      </w:r>
      <w:proofErr w:type="spellEnd"/>
      <w:r>
        <w:t xml:space="preserve"> </w:t>
      </w:r>
      <w:proofErr w:type="spellStart"/>
      <w:r>
        <w:t>řádně</w:t>
      </w:r>
      <w:proofErr w:type="spellEnd"/>
      <w:r>
        <w:rPr>
          <w:spacing w:val="-43"/>
        </w:rPr>
        <w:t xml:space="preserve"> </w:t>
      </w:r>
      <w:r>
        <w:t xml:space="preserve">a </w:t>
      </w:r>
      <w:proofErr w:type="spellStart"/>
      <w:r>
        <w:t>včas</w:t>
      </w:r>
      <w:proofErr w:type="spellEnd"/>
      <w:r>
        <w:t xml:space="preserve"> v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a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potvrzují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</w:t>
      </w:r>
      <w:bookmarkStart w:id="0" w:name="_GoBack"/>
      <w:bookmarkEnd w:id="0"/>
      <w:r>
        <w:t>i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odměnu</w:t>
      </w:r>
      <w:proofErr w:type="spellEnd"/>
      <w:r>
        <w:rPr>
          <w:spacing w:val="-7"/>
        </w:rPr>
        <w:t xml:space="preserve"> </w:t>
      </w:r>
      <w:proofErr w:type="spellStart"/>
      <w:r>
        <w:t>ponechá</w:t>
      </w:r>
      <w:proofErr w:type="spellEnd"/>
      <w:r>
        <w:t>.</w:t>
      </w:r>
    </w:p>
    <w:p w:rsidR="00992DC0" w:rsidRDefault="00992DC0">
      <w:pPr>
        <w:pStyle w:val="Zkladntext"/>
        <w:spacing w:before="9"/>
        <w:rPr>
          <w:sz w:val="23"/>
        </w:rPr>
      </w:pPr>
    </w:p>
    <w:p w:rsidR="00992DC0" w:rsidRDefault="00A833AB">
      <w:pPr>
        <w:pStyle w:val="Zkladntext"/>
        <w:ind w:left="1085" w:right="612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II. </w:t>
      </w:r>
      <w:proofErr w:type="spellStart"/>
      <w:proofErr w:type="gramStart"/>
      <w:r>
        <w:t>odst</w:t>
      </w:r>
      <w:proofErr w:type="spellEnd"/>
      <w:proofErr w:type="gramEnd"/>
      <w:r>
        <w:t xml:space="preserve">. 2.1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(</w:t>
      </w:r>
      <w:proofErr w:type="spellStart"/>
      <w:r>
        <w:t>včet</w:t>
      </w:r>
      <w:r>
        <w:t>ně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, </w:t>
      </w:r>
      <w:proofErr w:type="spellStart"/>
      <w:r>
        <w:t>daní</w:t>
      </w:r>
      <w:proofErr w:type="spellEnd"/>
      <w:r>
        <w:t xml:space="preserve"> a </w:t>
      </w:r>
      <w:proofErr w:type="spellStart"/>
      <w:r>
        <w:t>poplatků</w:t>
      </w:r>
      <w:proofErr w:type="spellEnd"/>
      <w:r>
        <w:t xml:space="preserve">),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spojeny</w:t>
      </w:r>
      <w:proofErr w:type="spellEnd"/>
      <w:r>
        <w:t xml:space="preserve"> se </w:t>
      </w:r>
      <w:proofErr w:type="spellStart"/>
      <w:r>
        <w:t>splněním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deklarují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splněny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</w:t>
      </w:r>
      <w:r>
        <w:t>uvy</w:t>
      </w:r>
      <w:proofErr w:type="spellEnd"/>
      <w:r>
        <w:t>.</w:t>
      </w:r>
    </w:p>
    <w:p w:rsidR="00992DC0" w:rsidRDefault="00992DC0">
      <w:pPr>
        <w:pStyle w:val="Zkladntext"/>
      </w:pPr>
    </w:p>
    <w:p w:rsidR="00992DC0" w:rsidRDefault="00A833AB">
      <w:pPr>
        <w:pStyle w:val="Zkladntext"/>
        <w:ind w:left="1082" w:right="614"/>
        <w:jc w:val="both"/>
      </w:pPr>
      <w:proofErr w:type="spellStart"/>
      <w:r>
        <w:t>Odměna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takto</w:t>
      </w:r>
      <w:proofErr w:type="spellEnd"/>
      <w:r>
        <w:t xml:space="preserve"> </w:t>
      </w:r>
      <w:proofErr w:type="spellStart"/>
      <w:r>
        <w:t>ujednána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</w:t>
      </w:r>
      <w:proofErr w:type="spellStart"/>
      <w:r>
        <w:t>přípustná</w:t>
      </w:r>
      <w:proofErr w:type="spellEnd"/>
      <w:r>
        <w:t xml:space="preserve">, </w:t>
      </w:r>
      <w:proofErr w:type="spellStart"/>
      <w:r>
        <w:t>stanovená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přihlédnutím</w:t>
      </w:r>
      <w:proofErr w:type="spellEnd"/>
      <w:r>
        <w:t xml:space="preserve"> k </w:t>
      </w:r>
      <w:proofErr w:type="spellStart"/>
      <w:r>
        <w:t>vývoji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v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oboru</w:t>
      </w:r>
      <w:proofErr w:type="spellEnd"/>
      <w:r>
        <w:t xml:space="preserve"> a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v 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rPr>
          <w:spacing w:val="-4"/>
        </w:rPr>
        <w:t xml:space="preserve"> </w:t>
      </w:r>
      <w:proofErr w:type="spellStart"/>
      <w:r>
        <w:t>takto</w:t>
      </w:r>
      <w:proofErr w:type="spellEnd"/>
      <w:r>
        <w:rPr>
          <w:spacing w:val="-4"/>
        </w:rPr>
        <w:t xml:space="preserve"> </w:t>
      </w:r>
      <w:proofErr w:type="spellStart"/>
      <w:r>
        <w:t>zaplacené</w:t>
      </w:r>
      <w:proofErr w:type="spellEnd"/>
      <w:r>
        <w:rPr>
          <w:spacing w:val="-5"/>
        </w:rPr>
        <w:t xml:space="preserve"> </w:t>
      </w:r>
      <w:proofErr w:type="spellStart"/>
      <w:r>
        <w:t>částky</w:t>
      </w:r>
      <w:proofErr w:type="spellEnd"/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ani</w:t>
      </w:r>
      <w:proofErr w:type="spellEnd"/>
      <w:r>
        <w:rPr>
          <w:spacing w:val="-3"/>
        </w:rPr>
        <w:t xml:space="preserve"> </w:t>
      </w:r>
      <w:proofErr w:type="spellStart"/>
      <w:r>
        <w:t>při</w:t>
      </w:r>
      <w:proofErr w:type="spellEnd"/>
      <w:r>
        <w:rPr>
          <w:spacing w:val="-4"/>
        </w:rPr>
        <w:t xml:space="preserve"> </w:t>
      </w:r>
      <w:proofErr w:type="spellStart"/>
      <w:r>
        <w:t>změnách</w:t>
      </w:r>
      <w:proofErr w:type="spellEnd"/>
      <w:r>
        <w:rPr>
          <w:spacing w:val="-5"/>
        </w:rPr>
        <w:t xml:space="preserve"> </w:t>
      </w:r>
      <w:proofErr w:type="spellStart"/>
      <w:r>
        <w:t>vnějších</w:t>
      </w:r>
      <w:proofErr w:type="spellEnd"/>
      <w:r>
        <w:rPr>
          <w:spacing w:val="-4"/>
        </w:rPr>
        <w:t xml:space="preserve"> </w:t>
      </w:r>
      <w:proofErr w:type="spellStart"/>
      <w:r>
        <w:t>podmínek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které</w:t>
      </w:r>
      <w:proofErr w:type="spellEnd"/>
      <w:r>
        <w:rPr>
          <w:spacing w:val="-5"/>
        </w:rPr>
        <w:t xml:space="preserve"> </w:t>
      </w:r>
      <w:proofErr w:type="spellStart"/>
      <w:r>
        <w:t>nastaly</w:t>
      </w:r>
      <w:proofErr w:type="spellEnd"/>
      <w:r>
        <w:rPr>
          <w:spacing w:val="-9"/>
        </w:rP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992DC0" w:rsidRDefault="00992DC0">
      <w:pPr>
        <w:jc w:val="both"/>
        <w:sectPr w:rsidR="00992DC0">
          <w:pgSz w:w="11910" w:h="16840"/>
          <w:pgMar w:top="1580" w:right="800" w:bottom="1200" w:left="900" w:header="0" w:footer="1000" w:gutter="0"/>
          <w:cols w:space="708"/>
        </w:sectPr>
      </w:pPr>
    </w:p>
    <w:p w:rsidR="00992DC0" w:rsidRDefault="00A833AB">
      <w:pPr>
        <w:pStyle w:val="Nadpis1"/>
        <w:spacing w:before="93"/>
        <w:ind w:right="98"/>
      </w:pPr>
      <w:r>
        <w:lastRenderedPageBreak/>
        <w:t>III.</w:t>
      </w:r>
    </w:p>
    <w:p w:rsidR="00992DC0" w:rsidRDefault="00A833AB">
      <w:pPr>
        <w:spacing w:line="274" w:lineRule="exact"/>
        <w:ind w:right="102"/>
        <w:jc w:val="center"/>
        <w:rPr>
          <w:b/>
          <w:sz w:val="24"/>
        </w:rPr>
      </w:pPr>
      <w:proofErr w:type="spellStart"/>
      <w:r>
        <w:rPr>
          <w:b/>
          <w:sz w:val="24"/>
        </w:rPr>
        <w:t>Místo</w:t>
      </w:r>
      <w:proofErr w:type="spellEnd"/>
      <w:r>
        <w:rPr>
          <w:b/>
          <w:sz w:val="24"/>
        </w:rPr>
        <w:t xml:space="preserve">, </w:t>
      </w:r>
      <w:proofErr w:type="spellStart"/>
      <w:proofErr w:type="gramStart"/>
      <w:r>
        <w:rPr>
          <w:b/>
          <w:sz w:val="24"/>
        </w:rPr>
        <w:t>čas</w:t>
      </w:r>
      <w:proofErr w:type="spellEnd"/>
      <w:proofErr w:type="gram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způsob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poskytnutí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plnění</w:t>
      </w:r>
      <w:proofErr w:type="spellEnd"/>
    </w:p>
    <w:p w:rsidR="00992DC0" w:rsidRDefault="00A833AB">
      <w:pPr>
        <w:pStyle w:val="Zkladntext"/>
        <w:tabs>
          <w:tab w:val="left" w:pos="566"/>
        </w:tabs>
        <w:spacing w:line="274" w:lineRule="exact"/>
        <w:ind w:right="98"/>
        <w:jc w:val="center"/>
      </w:pPr>
      <w:r>
        <w:rPr>
          <w:b/>
        </w:rPr>
        <w:t>3.1.</w:t>
      </w:r>
      <w:r>
        <w:rPr>
          <w:b/>
        </w:rPr>
        <w:tab/>
      </w:r>
      <w:proofErr w:type="spellStart"/>
      <w:r>
        <w:t>Předmět</w:t>
      </w:r>
      <w:proofErr w:type="spellEnd"/>
      <w:r>
        <w:rPr>
          <w:spacing w:val="10"/>
        </w:rPr>
        <w:t xml:space="preserve"> </w:t>
      </w:r>
      <w:proofErr w:type="spellStart"/>
      <w:r>
        <w:t>plnění</w:t>
      </w:r>
      <w:proofErr w:type="spellEnd"/>
      <w:r>
        <w:rPr>
          <w:spacing w:val="10"/>
        </w:rPr>
        <w:t xml:space="preserve"> </w:t>
      </w:r>
      <w:proofErr w:type="spellStart"/>
      <w:r>
        <w:t>byl</w:t>
      </w:r>
      <w:proofErr w:type="spellEnd"/>
      <w:r>
        <w:rPr>
          <w:spacing w:val="11"/>
        </w:rPr>
        <w:t xml:space="preserve"> </w:t>
      </w:r>
      <w:proofErr w:type="spellStart"/>
      <w:r>
        <w:t>poskytnut</w:t>
      </w:r>
      <w:proofErr w:type="spellEnd"/>
      <w:r>
        <w:rPr>
          <w:spacing w:val="13"/>
        </w:rPr>
        <w:t xml:space="preserve"> </w:t>
      </w:r>
      <w:r>
        <w:t>v</w:t>
      </w:r>
      <w:r>
        <w:rPr>
          <w:spacing w:val="11"/>
        </w:rPr>
        <w:t xml:space="preserve"> </w:t>
      </w:r>
      <w:proofErr w:type="spellStart"/>
      <w:r>
        <w:t>Národním</w:t>
      </w:r>
      <w:proofErr w:type="spellEnd"/>
      <w:r>
        <w:rPr>
          <w:spacing w:val="11"/>
        </w:rPr>
        <w:t xml:space="preserve"> </w:t>
      </w:r>
      <w:proofErr w:type="spellStart"/>
      <w:r>
        <w:t>ústavu</w:t>
      </w:r>
      <w:proofErr w:type="spellEnd"/>
      <w:r>
        <w:rPr>
          <w:spacing w:val="13"/>
        </w:rPr>
        <w:t xml:space="preserve"> </w:t>
      </w:r>
      <w:proofErr w:type="spellStart"/>
      <w:r>
        <w:t>duševního</w:t>
      </w:r>
      <w:proofErr w:type="spellEnd"/>
      <w:r>
        <w:rPr>
          <w:spacing w:val="11"/>
        </w:rPr>
        <w:t xml:space="preserve"> </w:t>
      </w:r>
      <w:proofErr w:type="spellStart"/>
      <w:r>
        <w:t>zdraví</w:t>
      </w:r>
      <w:proofErr w:type="spellEnd"/>
      <w:r>
        <w:t>,</w:t>
      </w:r>
      <w:r>
        <w:rPr>
          <w:spacing w:val="11"/>
        </w:rPr>
        <w:t xml:space="preserve"> </w:t>
      </w:r>
      <w:r>
        <w:t>Topolová</w:t>
      </w:r>
      <w:r>
        <w:rPr>
          <w:spacing w:val="9"/>
        </w:rPr>
        <w:t xml:space="preserve"> </w:t>
      </w:r>
      <w:r>
        <w:t>748,</w:t>
      </w:r>
      <w:r>
        <w:rPr>
          <w:spacing w:val="10"/>
        </w:rPr>
        <w:t xml:space="preserve"> </w:t>
      </w:r>
      <w:r>
        <w:t>250</w:t>
      </w:r>
    </w:p>
    <w:p w:rsidR="00992DC0" w:rsidRDefault="00A833AB">
      <w:pPr>
        <w:pStyle w:val="Zkladntext"/>
        <w:ind w:right="6881"/>
        <w:jc w:val="center"/>
      </w:pPr>
      <w:proofErr w:type="gramStart"/>
      <w:r>
        <w:t>67</w:t>
      </w:r>
      <w:proofErr w:type="gramEnd"/>
      <w:r>
        <w:t xml:space="preserve"> </w:t>
      </w:r>
      <w:proofErr w:type="spellStart"/>
      <w:r>
        <w:t>Klecany</w:t>
      </w:r>
      <w:proofErr w:type="spellEnd"/>
      <w:r>
        <w:t>.</w:t>
      </w:r>
    </w:p>
    <w:p w:rsidR="00992DC0" w:rsidRDefault="00992DC0">
      <w:pPr>
        <w:pStyle w:val="Zkladntext"/>
      </w:pPr>
    </w:p>
    <w:p w:rsidR="00992DC0" w:rsidRDefault="00992DC0">
      <w:pPr>
        <w:pStyle w:val="Zkladntext"/>
        <w:spacing w:before="5"/>
      </w:pPr>
    </w:p>
    <w:p w:rsidR="00992DC0" w:rsidRDefault="00A833AB">
      <w:pPr>
        <w:pStyle w:val="Nadpis1"/>
        <w:ind w:right="97"/>
      </w:pPr>
      <w:r>
        <w:t>IV.</w:t>
      </w:r>
    </w:p>
    <w:p w:rsidR="00992DC0" w:rsidRDefault="00A833AB">
      <w:pPr>
        <w:spacing w:line="274" w:lineRule="exact"/>
        <w:ind w:left="3845"/>
        <w:jc w:val="both"/>
        <w:rPr>
          <w:b/>
          <w:sz w:val="24"/>
        </w:rPr>
      </w:pPr>
      <w:proofErr w:type="spellStart"/>
      <w:r>
        <w:rPr>
          <w:b/>
          <w:sz w:val="24"/>
        </w:rPr>
        <w:t>Odstoupení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od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</w:p>
    <w:p w:rsidR="00992DC0" w:rsidRDefault="00A833AB">
      <w:pPr>
        <w:pStyle w:val="Zkladntext"/>
        <w:spacing w:line="274" w:lineRule="exact"/>
        <w:ind w:left="516"/>
      </w:pPr>
      <w:r>
        <w:rPr>
          <w:b/>
        </w:rPr>
        <w:t xml:space="preserve">4.1 </w:t>
      </w:r>
      <w:proofErr w:type="spellStart"/>
      <w:r>
        <w:t>Odstoupit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v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>.</w:t>
      </w:r>
    </w:p>
    <w:p w:rsidR="00992DC0" w:rsidRDefault="00992DC0">
      <w:pPr>
        <w:pStyle w:val="Zkladntext"/>
        <w:spacing w:before="5"/>
      </w:pPr>
    </w:p>
    <w:p w:rsidR="00992DC0" w:rsidRDefault="00A833AB">
      <w:pPr>
        <w:pStyle w:val="Nadpis1"/>
        <w:ind w:right="99"/>
      </w:pPr>
      <w:r>
        <w:t>V.</w:t>
      </w:r>
    </w:p>
    <w:p w:rsidR="00992DC0" w:rsidRDefault="00A833AB">
      <w:pPr>
        <w:ind w:right="99"/>
        <w:jc w:val="center"/>
        <w:rPr>
          <w:b/>
          <w:sz w:val="24"/>
        </w:rPr>
      </w:pPr>
      <w:proofErr w:type="spellStart"/>
      <w:r>
        <w:rPr>
          <w:b/>
          <w:sz w:val="24"/>
        </w:rPr>
        <w:t>Ostatní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ustanovení</w:t>
      </w:r>
      <w:proofErr w:type="spellEnd"/>
    </w:p>
    <w:p w:rsidR="00992DC0" w:rsidRDefault="00992DC0">
      <w:pPr>
        <w:pStyle w:val="Zkladntext"/>
        <w:spacing w:before="7"/>
        <w:rPr>
          <w:b/>
          <w:sz w:val="23"/>
        </w:rPr>
      </w:pPr>
    </w:p>
    <w:p w:rsidR="00992DC0" w:rsidRDefault="00A833AB">
      <w:pPr>
        <w:pStyle w:val="Zkladntext"/>
        <w:ind w:left="998" w:right="615" w:hanging="483"/>
        <w:jc w:val="both"/>
      </w:pPr>
      <w:r>
        <w:rPr>
          <w:b/>
        </w:rPr>
        <w:t xml:space="preserve">5.1.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potvrzují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vypořádána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bezdůvodná</w:t>
      </w:r>
      <w:proofErr w:type="spellEnd"/>
      <w:r>
        <w:t xml:space="preserve"> </w:t>
      </w:r>
      <w:proofErr w:type="spellStart"/>
      <w:r>
        <w:t>obohacení</w:t>
      </w:r>
      <w:proofErr w:type="spellEnd"/>
      <w:r>
        <w:t xml:space="preserve"> a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</w:t>
      </w:r>
      <w:r>
        <w:t>louvy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dodržet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ujednaly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992DC0" w:rsidRDefault="00992DC0">
      <w:pPr>
        <w:pStyle w:val="Zkladntext"/>
        <w:spacing w:before="5"/>
      </w:pPr>
    </w:p>
    <w:p w:rsidR="00992DC0" w:rsidRDefault="00A833AB">
      <w:pPr>
        <w:pStyle w:val="Nadpis1"/>
        <w:ind w:right="97"/>
      </w:pPr>
      <w:r>
        <w:t>VI.</w:t>
      </w:r>
    </w:p>
    <w:p w:rsidR="00992DC0" w:rsidRDefault="00A833AB">
      <w:pPr>
        <w:spacing w:line="274" w:lineRule="exact"/>
        <w:ind w:left="3929"/>
        <w:jc w:val="both"/>
        <w:rPr>
          <w:b/>
          <w:sz w:val="24"/>
        </w:rPr>
      </w:pPr>
      <w:proofErr w:type="spellStart"/>
      <w:r>
        <w:rPr>
          <w:b/>
          <w:sz w:val="24"/>
        </w:rPr>
        <w:t>Závěrečná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ustanovení</w:t>
      </w:r>
      <w:proofErr w:type="spellEnd"/>
    </w:p>
    <w:p w:rsidR="00992DC0" w:rsidRDefault="00A833AB">
      <w:pPr>
        <w:pStyle w:val="Odstavecseseznamem"/>
        <w:numPr>
          <w:ilvl w:val="1"/>
          <w:numId w:val="1"/>
        </w:numPr>
        <w:tabs>
          <w:tab w:val="left" w:pos="997"/>
        </w:tabs>
        <w:ind w:right="612"/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posledním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účastníků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okamžikem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j</w:t>
      </w:r>
      <w:r>
        <w:rPr>
          <w:sz w:val="24"/>
        </w:rPr>
        <w:t>ejího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dodatky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k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.</w:t>
      </w:r>
    </w:p>
    <w:p w:rsidR="00992DC0" w:rsidRDefault="00992DC0">
      <w:pPr>
        <w:pStyle w:val="Zkladntext"/>
        <w:spacing w:before="9"/>
        <w:rPr>
          <w:sz w:val="23"/>
        </w:rPr>
      </w:pPr>
    </w:p>
    <w:p w:rsidR="00992DC0" w:rsidRDefault="00A833AB">
      <w:pPr>
        <w:pStyle w:val="Odstavecseseznamem"/>
        <w:numPr>
          <w:ilvl w:val="1"/>
          <w:numId w:val="1"/>
        </w:numPr>
        <w:tabs>
          <w:tab w:val="left" w:pos="999"/>
        </w:tabs>
        <w:spacing w:before="1"/>
        <w:ind w:left="998" w:hanging="483"/>
        <w:rPr>
          <w:sz w:val="24"/>
        </w:rPr>
      </w:pPr>
      <w:proofErr w:type="spellStart"/>
      <w:r>
        <w:rPr>
          <w:sz w:val="24"/>
        </w:rPr>
        <w:t>Otázky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řídí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českým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právním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řádem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č.</w:t>
      </w:r>
    </w:p>
    <w:p w:rsidR="00992DC0" w:rsidRDefault="00A833AB">
      <w:pPr>
        <w:pStyle w:val="Zkladntext"/>
        <w:ind w:left="998"/>
      </w:pPr>
      <w:proofErr w:type="gramStart"/>
      <w:r>
        <w:t>89/2012</w:t>
      </w:r>
      <w:proofErr w:type="gramEnd"/>
      <w:r>
        <w:t xml:space="preserve">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.</w:t>
      </w:r>
    </w:p>
    <w:p w:rsidR="00992DC0" w:rsidRDefault="00992DC0">
      <w:pPr>
        <w:pStyle w:val="Zkladntext"/>
        <w:spacing w:before="11"/>
        <w:rPr>
          <w:sz w:val="23"/>
        </w:rPr>
      </w:pPr>
    </w:p>
    <w:p w:rsidR="00992DC0" w:rsidRDefault="00A833AB">
      <w:pPr>
        <w:pStyle w:val="Odstavecseseznamem"/>
        <w:numPr>
          <w:ilvl w:val="1"/>
          <w:numId w:val="1"/>
        </w:numPr>
        <w:tabs>
          <w:tab w:val="left" w:pos="999"/>
        </w:tabs>
        <w:ind w:left="998" w:hanging="483"/>
        <w:rPr>
          <w:sz w:val="24"/>
        </w:rPr>
      </w:pPr>
      <w:proofErr w:type="spellStart"/>
      <w:r>
        <w:rPr>
          <w:sz w:val="24"/>
        </w:rPr>
        <w:t>Všechny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nedílnou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součást</w:t>
      </w:r>
      <w:proofErr w:type="spellEnd"/>
      <w:r>
        <w:rPr>
          <w:sz w:val="24"/>
        </w:rPr>
        <w:t>.</w:t>
      </w:r>
    </w:p>
    <w:p w:rsidR="00992DC0" w:rsidRDefault="00992DC0">
      <w:pPr>
        <w:pStyle w:val="Zkladntext"/>
      </w:pPr>
    </w:p>
    <w:p w:rsidR="00992DC0" w:rsidRDefault="00A833AB">
      <w:pPr>
        <w:pStyle w:val="Odstavecseseznamem"/>
        <w:numPr>
          <w:ilvl w:val="1"/>
          <w:numId w:val="1"/>
        </w:numPr>
        <w:tabs>
          <w:tab w:val="left" w:pos="999"/>
        </w:tabs>
        <w:ind w:left="998" w:right="612" w:hanging="483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pokusit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především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urovnání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smírem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soudního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projednávána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soudního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řádu</w:t>
      </w:r>
      <w:proofErr w:type="spellEnd"/>
      <w:r>
        <w:rPr>
          <w:sz w:val="24"/>
        </w:rPr>
        <w:t>.</w:t>
      </w:r>
    </w:p>
    <w:p w:rsidR="00992DC0" w:rsidRDefault="00992DC0">
      <w:pPr>
        <w:pStyle w:val="Zkladntext"/>
        <w:spacing w:before="1"/>
      </w:pPr>
    </w:p>
    <w:p w:rsidR="00992DC0" w:rsidRDefault="00A833AB">
      <w:pPr>
        <w:pStyle w:val="Odstavecseseznamem"/>
        <w:numPr>
          <w:ilvl w:val="1"/>
          <w:numId w:val="1"/>
        </w:numPr>
        <w:tabs>
          <w:tab w:val="left" w:pos="999"/>
        </w:tabs>
        <w:ind w:left="998" w:right="616" w:hanging="483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čtyřech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vyhotoveních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dvou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nich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případě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elektronického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prosíme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zaslání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skrz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Datovou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schránku</w:t>
      </w:r>
      <w:proofErr w:type="spellEnd"/>
      <w:r>
        <w:rPr>
          <w:sz w:val="24"/>
        </w:rPr>
        <w:t>.</w:t>
      </w:r>
    </w:p>
    <w:p w:rsidR="00992DC0" w:rsidRDefault="00992DC0">
      <w:pPr>
        <w:pStyle w:val="Zkladntext"/>
      </w:pPr>
    </w:p>
    <w:p w:rsidR="00992DC0" w:rsidRDefault="00992DC0">
      <w:pPr>
        <w:pStyle w:val="Zkladntext"/>
        <w:rPr>
          <w:i/>
          <w:sz w:val="26"/>
        </w:rPr>
      </w:pPr>
    </w:p>
    <w:p w:rsidR="00992DC0" w:rsidRDefault="00992DC0">
      <w:pPr>
        <w:pStyle w:val="Zkladntext"/>
        <w:spacing w:before="5"/>
        <w:rPr>
          <w:i/>
          <w:sz w:val="32"/>
        </w:rPr>
      </w:pPr>
    </w:p>
    <w:p w:rsidR="00992DC0" w:rsidRDefault="00A833AB">
      <w:pPr>
        <w:pStyle w:val="Zkladntext"/>
        <w:tabs>
          <w:tab w:val="left" w:pos="6277"/>
        </w:tabs>
        <w:spacing w:line="251" w:lineRule="exact"/>
        <w:ind w:left="516"/>
      </w:pPr>
      <w:r>
        <w:pict>
          <v:shape id="_x0000_s2051" style="position:absolute;left:0;text-align:left;margin-left:401.85pt;margin-top:13.95pt;width:35.25pt;height:35pt;z-index:-251817984;mso-position-horizontal-relative:page" coordorigin="8037,279" coordsize="705,700" o:spt="100" adj="0,,0" path="m8164,831r-62,40l8063,909r-20,34l8037,967r,12l8090,979r5,-2l8050,977r6,-26l8079,914r37,-42l8164,831xm8338,279r-14,10l8317,310r-3,25l8313,352r1,16l8315,385r3,18l8321,422r3,19l8328,461r5,19l8338,499r-8,32l8307,591r-33,77l8232,753r-46,83l8138,908r-46,50l8050,977r45,l8097,976r37,-32l8179,887r53,-85l8239,800r-7,l8283,707r34,-72l8338,581r13,-42l8376,539r-16,-42l8365,461r-14,l8343,429r-6,-30l8334,370r-1,-25l8333,334r2,-19l8339,296r9,-12l8365,284r-9,-4l8338,279xm8734,799r-20,l8706,806r,19l8714,832r20,l8737,829r-21,l8709,823r,-15l8716,802r21,l8734,799xm8737,802r-5,l8737,808r,15l8732,829r5,l8741,825r,-19l8737,802xm8728,804r-11,l8717,825r3,l8720,817r9,l8729,817r-2,-1l8731,814r-11,l8720,809r11,l8730,807r-2,-3xm8729,817r-4,l8726,819r1,3l8727,825r4,l8730,822r,-3l8729,817xm8731,809r-6,l8727,809r,5l8725,814r6,l8731,812r,-3xm8376,539r-25,l8390,617r40,53l8467,703r31,20l8433,736r-67,17l8299,774r-67,26l8239,800r61,-18l8373,764r76,-13l8524,741r54,l8567,736r48,-2l8726,734r-18,-10l8681,718r-146,l8519,709r-17,-10l8486,688r-15,-11l8435,640r-30,-43l8380,548r-4,-9xm8578,741r-54,l8571,763r47,16l8661,789r36,3l8711,791r11,-3l8730,783r1,-2l8712,781r-29,-4l8648,768r-40,-14l8578,741xm8734,776r-5,2l8721,781r10,l8734,776xm8726,734r-111,l8672,736r46,9l8737,768r2,-5l8741,761r,-5l8732,737r-6,-3xm8621,713r-19,1l8581,715r-46,3l8681,718r-11,-2l8621,713xm8372,338r-4,21l8364,387r-6,33l8351,461r14,l8366,456r3,-39l8371,378r1,-40xm8365,284r-17,l8356,288r7,8l8369,308r3,17l8375,299r-6,-14l8365,284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V …………</w:t>
      </w:r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 xml:space="preserve"> …………</w:t>
      </w:r>
      <w:r>
        <w:tab/>
        <w:t xml:space="preserve">V </w:t>
      </w:r>
      <w:proofErr w:type="spellStart"/>
      <w:r>
        <w:t>Klecanech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</w:p>
    <w:p w:rsidR="00992DC0" w:rsidRDefault="00A833AB">
      <w:pPr>
        <w:pStyle w:val="Zkladntext"/>
        <w:tabs>
          <w:tab w:val="left" w:pos="6277"/>
        </w:tabs>
        <w:spacing w:before="123"/>
        <w:ind w:left="516"/>
      </w:pPr>
      <w:proofErr w:type="spellStart"/>
      <w:r>
        <w:t>Dodavatel</w:t>
      </w:r>
      <w:proofErr w:type="spellEnd"/>
      <w:r>
        <w:tab/>
      </w:r>
      <w:proofErr w:type="spellStart"/>
      <w:r>
        <w:t>Objednatel</w:t>
      </w:r>
      <w:proofErr w:type="spellEnd"/>
    </w:p>
    <w:p w:rsidR="00992DC0" w:rsidRDefault="00992DC0">
      <w:pPr>
        <w:pStyle w:val="Zkladntext"/>
        <w:rPr>
          <w:sz w:val="20"/>
        </w:rPr>
      </w:pPr>
    </w:p>
    <w:p w:rsidR="00992DC0" w:rsidRDefault="00992DC0">
      <w:pPr>
        <w:pStyle w:val="Zkladntext"/>
        <w:rPr>
          <w:sz w:val="20"/>
        </w:rPr>
      </w:pPr>
    </w:p>
    <w:p w:rsidR="00992DC0" w:rsidRDefault="00992DC0">
      <w:pPr>
        <w:pStyle w:val="Zkladntext"/>
        <w:spacing w:before="2"/>
        <w:rPr>
          <w:sz w:val="11"/>
        </w:rPr>
      </w:pPr>
    </w:p>
    <w:sectPr w:rsidR="00992DC0">
      <w:footerReference w:type="default" r:id="rId13"/>
      <w:pgSz w:w="11910" w:h="16840"/>
      <w:pgMar w:top="1520" w:right="80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33AB">
      <w:r>
        <w:separator/>
      </w:r>
    </w:p>
  </w:endnote>
  <w:endnote w:type="continuationSeparator" w:id="0">
    <w:p w:rsidR="00000000" w:rsidRDefault="00A8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AB" w:rsidRDefault="00A833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C0" w:rsidRDefault="00992DC0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AB" w:rsidRDefault="00A833A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C0" w:rsidRDefault="00992DC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33AB">
      <w:r>
        <w:separator/>
      </w:r>
    </w:p>
  </w:footnote>
  <w:footnote w:type="continuationSeparator" w:id="0">
    <w:p w:rsidR="00000000" w:rsidRDefault="00A8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AB" w:rsidRDefault="00A833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AB" w:rsidRDefault="00A833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AB" w:rsidRDefault="00A833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49CB"/>
    <w:multiLevelType w:val="multilevel"/>
    <w:tmpl w:val="271A6A8A"/>
    <w:lvl w:ilvl="0">
      <w:start w:val="1"/>
      <w:numFmt w:val="decimal"/>
      <w:lvlText w:val="%1"/>
      <w:lvlJc w:val="left"/>
      <w:pPr>
        <w:ind w:left="10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567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</w:rPr>
    </w:lvl>
    <w:lvl w:ilvl="2">
      <w:numFmt w:val="bullet"/>
      <w:lvlText w:val="•"/>
      <w:lvlJc w:val="left"/>
      <w:pPr>
        <w:ind w:left="2905" w:hanging="567"/>
      </w:pPr>
      <w:rPr>
        <w:rFonts w:hint="default"/>
      </w:rPr>
    </w:lvl>
    <w:lvl w:ilvl="3">
      <w:numFmt w:val="bullet"/>
      <w:lvlText w:val="•"/>
      <w:lvlJc w:val="left"/>
      <w:pPr>
        <w:ind w:left="3817" w:hanging="567"/>
      </w:pPr>
      <w:rPr>
        <w:rFonts w:hint="default"/>
      </w:rPr>
    </w:lvl>
    <w:lvl w:ilvl="4">
      <w:numFmt w:val="bullet"/>
      <w:lvlText w:val="•"/>
      <w:lvlJc w:val="left"/>
      <w:pPr>
        <w:ind w:left="4730" w:hanging="567"/>
      </w:pPr>
      <w:rPr>
        <w:rFonts w:hint="default"/>
      </w:rPr>
    </w:lvl>
    <w:lvl w:ilvl="5">
      <w:numFmt w:val="bullet"/>
      <w:lvlText w:val="•"/>
      <w:lvlJc w:val="left"/>
      <w:pPr>
        <w:ind w:left="5642" w:hanging="567"/>
      </w:pPr>
      <w:rPr>
        <w:rFonts w:hint="default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</w:rPr>
    </w:lvl>
    <w:lvl w:ilvl="7">
      <w:numFmt w:val="bullet"/>
      <w:lvlText w:val="•"/>
      <w:lvlJc w:val="left"/>
      <w:pPr>
        <w:ind w:left="7467" w:hanging="567"/>
      </w:pPr>
      <w:rPr>
        <w:rFonts w:hint="default"/>
      </w:rPr>
    </w:lvl>
    <w:lvl w:ilvl="8">
      <w:numFmt w:val="bullet"/>
      <w:lvlText w:val="•"/>
      <w:lvlJc w:val="left"/>
      <w:pPr>
        <w:ind w:left="8380" w:hanging="567"/>
      </w:pPr>
      <w:rPr>
        <w:rFonts w:hint="default"/>
      </w:rPr>
    </w:lvl>
  </w:abstractNum>
  <w:abstractNum w:abstractNumId="1" w15:restartNumberingAfterBreak="0">
    <w:nsid w:val="2C4F0A90"/>
    <w:multiLevelType w:val="multilevel"/>
    <w:tmpl w:val="A274BCDC"/>
    <w:lvl w:ilvl="0">
      <w:start w:val="6"/>
      <w:numFmt w:val="decimal"/>
      <w:lvlText w:val="%1"/>
      <w:lvlJc w:val="left"/>
      <w:pPr>
        <w:ind w:left="996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480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236" w:hanging="480"/>
      </w:pPr>
      <w:rPr>
        <w:rFonts w:hint="default"/>
      </w:rPr>
    </w:lvl>
    <w:lvl w:ilvl="3">
      <w:numFmt w:val="bullet"/>
      <w:lvlText w:val="•"/>
      <w:lvlJc w:val="left"/>
      <w:pPr>
        <w:ind w:left="3232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24" w:hanging="480"/>
      </w:pPr>
      <w:rPr>
        <w:rFonts w:hint="default"/>
      </w:rPr>
    </w:lvl>
    <w:lvl w:ilvl="6">
      <w:numFmt w:val="bullet"/>
      <w:lvlText w:val="•"/>
      <w:lvlJc w:val="left"/>
      <w:pPr>
        <w:ind w:left="6220" w:hanging="480"/>
      </w:pPr>
      <w:rPr>
        <w:rFonts w:hint="default"/>
      </w:rPr>
    </w:lvl>
    <w:lvl w:ilvl="7">
      <w:numFmt w:val="bullet"/>
      <w:lvlText w:val="•"/>
      <w:lvlJc w:val="left"/>
      <w:pPr>
        <w:ind w:left="7217" w:hanging="480"/>
      </w:pPr>
      <w:rPr>
        <w:rFonts w:hint="default"/>
      </w:rPr>
    </w:lvl>
    <w:lvl w:ilvl="8">
      <w:numFmt w:val="bullet"/>
      <w:lvlText w:val="•"/>
      <w:lvlJc w:val="left"/>
      <w:pPr>
        <w:ind w:left="8213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92DC0"/>
    <w:rsid w:val="001A30CA"/>
    <w:rsid w:val="00992DC0"/>
    <w:rsid w:val="00A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4897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98" w:hanging="483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83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33AB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833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3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2022-09-06T08:06:00Z</dcterms:created>
  <dcterms:modified xsi:type="dcterms:W3CDTF">2022-09-06T08:06:00Z</dcterms:modified>
</cp:coreProperties>
</file>