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KVD plus s.r.o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Václavské náměstí 819/43, 110 00 Praha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28395581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CZ28395581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DB2C91" w:rsidP="00EF4D2C"/>
          <w:p w:rsidR="00F419B9" w:rsidRDefault="00F419B9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0A0F81">
              <w:t>26.8.2022</w:t>
            </w:r>
            <w:proofErr w:type="gramEnd"/>
            <w:r>
              <w:t xml:space="preserve"> u Vás objednávám ekologickou likvidaci stavebního odpadu a to včetně nakládky a odvozu pod názvem: </w:t>
            </w:r>
            <w:r w:rsidRPr="00F419B9">
              <w:rPr>
                <w:b/>
              </w:rPr>
              <w:t xml:space="preserve">„Likvidace stavebního </w:t>
            </w:r>
            <w:proofErr w:type="gramStart"/>
            <w:r w:rsidRPr="00F419B9">
              <w:rPr>
                <w:b/>
              </w:rPr>
              <w:t>odpadu –  202</w:t>
            </w:r>
            <w:r w:rsidR="000A0F81">
              <w:rPr>
                <w:b/>
              </w:rPr>
              <w:t>2</w:t>
            </w:r>
            <w:proofErr w:type="gramEnd"/>
            <w:r w:rsidRPr="00F419B9">
              <w:rPr>
                <w:b/>
              </w:rPr>
              <w:t>“.</w:t>
            </w:r>
          </w:p>
          <w:p w:rsidR="00F419B9" w:rsidRDefault="00F419B9" w:rsidP="00F419B9">
            <w:r w:rsidRPr="00F419B9">
              <w:t xml:space="preserve">Jedná se jako každoročně o stavební suť ( cihly, betony, opuka, omítky </w:t>
            </w:r>
            <w:proofErr w:type="gramStart"/>
            <w:r w:rsidRPr="00F419B9">
              <w:t>atd. )</w:t>
            </w:r>
            <w:r w:rsidR="000A0F81">
              <w:t xml:space="preserve"> a </w:t>
            </w:r>
            <w:r w:rsidR="00B02BAD">
              <w:t>tentokrát</w:t>
            </w:r>
            <w:proofErr w:type="gramEnd"/>
            <w:r w:rsidR="00B02BAD">
              <w:t xml:space="preserve"> i </w:t>
            </w:r>
            <w:r w:rsidR="000A0F81">
              <w:t>o asfaltové kry</w:t>
            </w:r>
            <w:r>
              <w:t xml:space="preserve"> </w:t>
            </w:r>
            <w:r w:rsidR="00B02BAD">
              <w:t xml:space="preserve">a to </w:t>
            </w:r>
            <w:r>
              <w:t>v</w:t>
            </w:r>
            <w:r w:rsidR="000A0F81">
              <w:t xml:space="preserve"> celkovém </w:t>
            </w:r>
            <w:r>
              <w:t xml:space="preserve">množství cca </w:t>
            </w:r>
            <w:r w:rsidR="000A0F81">
              <w:t>50</w:t>
            </w:r>
            <w:r>
              <w:t>0t. Skutečné množství bude tedy zřejmé po převážení a také podle toho účtováno na základě vzájemně odsouhlaseného Zjišťovacího protokolu.</w:t>
            </w:r>
          </w:p>
          <w:p w:rsidR="000A0F81" w:rsidRDefault="000A0F81" w:rsidP="00F419B9">
            <w:r>
              <w:t xml:space="preserve">Odvoz bude etapizován ( rozdělen na </w:t>
            </w:r>
            <w:proofErr w:type="gramStart"/>
            <w:r>
              <w:t>úseky ) podle</w:t>
            </w:r>
            <w:proofErr w:type="gramEnd"/>
            <w:r>
              <w:t xml:space="preserve"> </w:t>
            </w:r>
            <w:r w:rsidR="00B02BAD">
              <w:t xml:space="preserve">kapacity </w:t>
            </w:r>
            <w:proofErr w:type="spellStart"/>
            <w:r>
              <w:t>deponie</w:t>
            </w:r>
            <w:proofErr w:type="spellEnd"/>
            <w:r>
              <w:t>.</w:t>
            </w:r>
          </w:p>
          <w:p w:rsidR="00F419B9" w:rsidRDefault="001B3B20" w:rsidP="00F419B9">
            <w:r>
              <w:t xml:space="preserve">Rozbory odpadů </w:t>
            </w:r>
            <w:r w:rsidR="000A0F81">
              <w:t>zajistí objednatel</w:t>
            </w:r>
            <w:r>
              <w:t>.</w:t>
            </w:r>
          </w:p>
          <w:p w:rsidR="001B3B20" w:rsidRDefault="001B3B20" w:rsidP="00F419B9"/>
          <w:p w:rsidR="00DB2C91" w:rsidRDefault="00F419B9" w:rsidP="00EF4D2C"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0A0F81">
            <w:r>
              <w:t xml:space="preserve">Do </w:t>
            </w:r>
            <w:proofErr w:type="gramStart"/>
            <w:r w:rsidR="000A0F81">
              <w:t>31.12.2</w:t>
            </w:r>
            <w:r>
              <w:t>02</w:t>
            </w:r>
            <w:r w:rsidR="000A0F81">
              <w:t>2</w:t>
            </w:r>
            <w:proofErr w:type="gramEnd"/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0A0F81">
            <w:r>
              <w:t xml:space="preserve">Odhadem do </w:t>
            </w:r>
            <w:r w:rsidR="000A0F81" w:rsidRPr="000A0F81">
              <w:rPr>
                <w:b/>
              </w:rPr>
              <w:t>250</w:t>
            </w:r>
            <w:r w:rsidRPr="000A0F81">
              <w:rPr>
                <w:b/>
              </w:rPr>
              <w:t>.000Kč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A0F81" w:rsidP="000A0F81">
            <w:proofErr w:type="gramStart"/>
            <w:r>
              <w:t>26.8.</w:t>
            </w:r>
            <w:r w:rsidR="001B3B20">
              <w:t>202</w:t>
            </w:r>
            <w:r>
              <w:t>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Ing. Martin Knobloch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Provozně technický náměstek nemocnice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lastRenderedPageBreak/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734 158 488, martin.knobloch@pnhberkovice.cz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1B3B20" w:rsidRDefault="001B3B20" w:rsidP="0021095F">
            <w:pPr>
              <w:rPr>
                <w:b/>
              </w:rPr>
            </w:pPr>
          </w:p>
          <w:p w:rsidR="001B3B20" w:rsidRPr="0021095F" w:rsidRDefault="001B3B2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1095F"/>
        </w:tc>
      </w:tr>
    </w:tbl>
    <w:p w:rsidR="00D24562" w:rsidRDefault="00D24562">
      <w:bookmarkStart w:id="0" w:name="_GoBack"/>
      <w:bookmarkEnd w:id="0"/>
    </w:p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5B" w:rsidRDefault="00717A5B">
      <w:r>
        <w:separator/>
      </w:r>
    </w:p>
  </w:endnote>
  <w:endnote w:type="continuationSeparator" w:id="0">
    <w:p w:rsidR="00717A5B" w:rsidRDefault="0071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5B" w:rsidRDefault="00717A5B">
      <w:r>
        <w:separator/>
      </w:r>
    </w:p>
  </w:footnote>
  <w:footnote w:type="continuationSeparator" w:id="0">
    <w:p w:rsidR="00717A5B" w:rsidRDefault="0071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B3B20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02BAD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2BAD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B3B20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F51A839" wp14:editId="1AAF5ADE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02BA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02BAD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A0F81"/>
    <w:rsid w:val="00121FD9"/>
    <w:rsid w:val="0013498D"/>
    <w:rsid w:val="00154ECB"/>
    <w:rsid w:val="00194A89"/>
    <w:rsid w:val="001970EC"/>
    <w:rsid w:val="001A5321"/>
    <w:rsid w:val="001B3B20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17A5B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02BAD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D7096"/>
    <w:rsid w:val="00EF4D2C"/>
    <w:rsid w:val="00F419B9"/>
    <w:rsid w:val="00F833F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5</cp:revision>
  <cp:lastPrinted>2022-09-05T09:50:00Z</cp:lastPrinted>
  <dcterms:created xsi:type="dcterms:W3CDTF">2021-10-14T05:07:00Z</dcterms:created>
  <dcterms:modified xsi:type="dcterms:W3CDTF">2022-09-05T09:51:00Z</dcterms:modified>
</cp:coreProperties>
</file>