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073354">
        <w:rPr>
          <w:rFonts w:ascii="Calibri" w:hAnsi="Calibri" w:cs="Calibri"/>
          <w:sz w:val="28"/>
          <w:szCs w:val="28"/>
        </w:rPr>
        <w:t>3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</w:t>
      </w:r>
      <w:r w:rsidR="00CB0558">
        <w:rPr>
          <w:rFonts w:ascii="Calibri" w:hAnsi="Calibri" w:cs="Calibri"/>
          <w:sz w:val="28"/>
          <w:szCs w:val="28"/>
        </w:rPr>
        <w:t>14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proofErr w:type="gramStart"/>
      <w:r w:rsidR="00CB0558">
        <w:rPr>
          <w:rFonts w:ascii="Calibri" w:hAnsi="Calibri" w:cs="Calibri"/>
          <w:sz w:val="28"/>
          <w:szCs w:val="28"/>
        </w:rPr>
        <w:t>14.12</w:t>
      </w:r>
      <w:r w:rsidR="00486871">
        <w:rPr>
          <w:rFonts w:ascii="Calibri" w:hAnsi="Calibri" w:cs="Calibri"/>
          <w:sz w:val="28"/>
          <w:szCs w:val="28"/>
        </w:rPr>
        <w:t>.2020</w:t>
      </w:r>
      <w:proofErr w:type="gramEnd"/>
    </w:p>
    <w:p w:rsidR="00D07A83" w:rsidRPr="00BC2CF7" w:rsidRDefault="00486871" w:rsidP="00D07A83">
      <w:pPr>
        <w:pStyle w:val="Podtitul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e-mail: </w:t>
      </w:r>
      <w:r w:rsidR="002A0152">
        <w:rPr>
          <w:rFonts w:ascii="Calibri" w:hAnsi="Calibri" w:cs="Calibri"/>
          <w:sz w:val="20"/>
          <w:szCs w:val="20"/>
        </w:rPr>
        <w:t xml:space="preserve"> 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r w:rsidRPr="00403A59">
        <w:rPr>
          <w:rFonts w:ascii="Calibri" w:hAnsi="Calibri" w:cs="Calibri"/>
          <w:bCs/>
          <w:sz w:val="20"/>
          <w:szCs w:val="20"/>
        </w:rPr>
        <w:t>, členem představenstva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poštovní :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>, a.s., Půlkruhová 786/20, 160 00 Praha 6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 xml:space="preserve">Elektronická :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XXXXXXXXXXXXXX</w:t>
      </w:r>
      <w:proofErr w:type="gramEnd"/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osoby 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2A0152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7E7061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2A0152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2A0152">
        <w:rPr>
          <w:rFonts w:ascii="Calibri" w:hAnsi="Calibri" w:cs="Calibri"/>
          <w:sz w:val="20"/>
          <w:szCs w:val="20"/>
        </w:rPr>
        <w:t>XXXXXXXXXXXXXX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7E7061">
        <w:rPr>
          <w:rFonts w:ascii="Calibri" w:hAnsi="Calibri" w:cs="Calibri"/>
          <w:bCs/>
          <w:sz w:val="20"/>
          <w:szCs w:val="20"/>
        </w:rPr>
        <w:t xml:space="preserve">tel.: </w:t>
      </w:r>
      <w:r w:rsidR="002A0152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2A0152">
        <w:rPr>
          <w:rFonts w:ascii="Calibri" w:hAnsi="Calibri" w:cs="Calibri"/>
          <w:sz w:val="20"/>
          <w:szCs w:val="20"/>
        </w:rPr>
        <w:t>XXXXXXXXXXXXXX</w:t>
      </w:r>
    </w:p>
    <w:p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(ve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 xml:space="preserve">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2A0152">
        <w:rPr>
          <w:rFonts w:ascii="Calibri" w:hAnsi="Calibri" w:cs="Calibri"/>
          <w:sz w:val="20"/>
          <w:szCs w:val="20"/>
        </w:rPr>
        <w:t>XXXXXXXXXX</w:t>
      </w:r>
    </w:p>
    <w:p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2A0152">
        <w:rPr>
          <w:rFonts w:ascii="Calibri" w:hAnsi="Calibri" w:cs="Calibri"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2A0152">
        <w:rPr>
          <w:rFonts w:ascii="Calibri" w:hAnsi="Calibri" w:cs="Calibri"/>
          <w:sz w:val="20"/>
          <w:szCs w:val="20"/>
        </w:rPr>
        <w:t>XXXXXXXXXXXXXX</w:t>
      </w: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073354">
        <w:rPr>
          <w:rFonts w:asciiTheme="minorHAnsi" w:hAnsiTheme="minorHAnsi" w:cs="Arial"/>
          <w:b/>
          <w:bCs/>
          <w:sz w:val="22"/>
          <w:szCs w:val="22"/>
        </w:rPr>
        <w:t>3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B0558">
        <w:rPr>
          <w:rFonts w:asciiTheme="minorHAnsi" w:hAnsiTheme="minorHAnsi" w:cs="Arial"/>
          <w:sz w:val="22"/>
          <w:szCs w:val="22"/>
        </w:rPr>
        <w:t>14.12</w:t>
      </w:r>
      <w:r w:rsidR="00403A59">
        <w:rPr>
          <w:rFonts w:asciiTheme="minorHAnsi" w:hAnsiTheme="minorHAnsi" w:cs="Arial"/>
          <w:sz w:val="22"/>
          <w:szCs w:val="22"/>
        </w:rPr>
        <w:t>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</w:t>
      </w:r>
      <w:r w:rsidR="00CB0558">
        <w:rPr>
          <w:rFonts w:asciiTheme="minorHAnsi" w:hAnsiTheme="minorHAnsi" w:cs="Arial"/>
          <w:sz w:val="22"/>
          <w:szCs w:val="22"/>
        </w:rPr>
        <w:t>14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 w:rsidRPr="00403A59">
        <w:rPr>
          <w:rFonts w:asciiTheme="minorHAnsi" w:hAnsiTheme="minorHAnsi" w:cs="Arial"/>
          <w:sz w:val="22"/>
          <w:szCs w:val="22"/>
        </w:rPr>
        <w:t>NPÚ – 430/</w:t>
      </w:r>
      <w:r w:rsidR="00CB0558">
        <w:rPr>
          <w:rFonts w:asciiTheme="minorHAnsi" w:hAnsiTheme="minorHAnsi" w:cs="Arial"/>
          <w:sz w:val="22"/>
          <w:szCs w:val="22"/>
        </w:rPr>
        <w:t>95950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/2020 </w:t>
      </w:r>
      <w:r w:rsidR="00E4497D">
        <w:rPr>
          <w:rFonts w:asciiTheme="minorHAnsi" w:hAnsiTheme="minorHAnsi" w:cs="Arial"/>
          <w:sz w:val="22"/>
          <w:szCs w:val="22"/>
        </w:rPr>
        <w:t>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Plasy - obnova opatské rezidence.</w:t>
      </w:r>
    </w:p>
    <w:p w:rsidR="000C5B86" w:rsidRPr="00663BDE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BA6B7C">
        <w:rPr>
          <w:rFonts w:asciiTheme="minorHAnsi" w:hAnsiTheme="minorHAnsi"/>
          <w:sz w:val="22"/>
          <w:szCs w:val="22"/>
        </w:rPr>
        <w:t>2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403A59" w:rsidRPr="00403A59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CB0558">
        <w:rPr>
          <w:rFonts w:asciiTheme="minorHAnsi" w:hAnsiTheme="minorHAnsi"/>
          <w:sz w:val="22"/>
          <w:szCs w:val="22"/>
        </w:rPr>
        <w:t xml:space="preserve"> – II. část</w:t>
      </w:r>
      <w:r w:rsidR="00920C84" w:rsidRPr="00920C84">
        <w:rPr>
          <w:rFonts w:ascii="Calibri" w:hAnsi="Calibri" w:cs="Calibri"/>
          <w:sz w:val="22"/>
          <w:szCs w:val="22"/>
        </w:rPr>
        <w:t>“</w:t>
      </w:r>
      <w:r w:rsidRPr="00920C84">
        <w:rPr>
          <w:rFonts w:asciiTheme="minorHAnsi" w:hAnsiTheme="minorHAnsi"/>
          <w:sz w:val="22"/>
          <w:szCs w:val="22"/>
        </w:rPr>
        <w:t xml:space="preserve">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073354" w:rsidRPr="00073354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A7DB2">
        <w:rPr>
          <w:rFonts w:asciiTheme="minorHAnsi" w:hAnsiTheme="minorHAnsi"/>
          <w:sz w:val="22"/>
          <w:szCs w:val="22"/>
        </w:rPr>
        <w:t xml:space="preserve">následujících </w:t>
      </w:r>
      <w:r w:rsidRPr="006A7DB2">
        <w:rPr>
          <w:rFonts w:asciiTheme="minorHAnsi" w:hAnsiTheme="minorHAnsi"/>
          <w:sz w:val="22"/>
          <w:szCs w:val="22"/>
        </w:rPr>
        <w:t>změn ve způsobu provádění díla</w:t>
      </w:r>
      <w:r w:rsidR="00073354">
        <w:rPr>
          <w:rFonts w:asciiTheme="minorHAnsi" w:hAnsiTheme="minorHAnsi"/>
          <w:sz w:val="22"/>
          <w:szCs w:val="22"/>
        </w:rPr>
        <w:t xml:space="preserve"> (změnové listy ZL 1 – 6 jsou přílohami dodatků 1 a 2). V průběhu realizace prací byly zjištěny další nové skutečnosti, které smluvním </w:t>
      </w:r>
      <w:proofErr w:type="gramStart"/>
      <w:r w:rsidR="00073354">
        <w:rPr>
          <w:rFonts w:asciiTheme="minorHAnsi" w:hAnsiTheme="minorHAnsi"/>
          <w:sz w:val="22"/>
          <w:szCs w:val="22"/>
        </w:rPr>
        <w:t>stranám  nebyly</w:t>
      </w:r>
      <w:proofErr w:type="gramEnd"/>
      <w:r w:rsidR="00073354">
        <w:rPr>
          <w:rFonts w:asciiTheme="minorHAnsi" w:hAnsiTheme="minorHAnsi"/>
          <w:sz w:val="22"/>
          <w:szCs w:val="22"/>
        </w:rPr>
        <w:t xml:space="preserve"> před uzavřením smlouvy známy. Jedná se zejména, nikoli však výlučně o, nová zjištění při záchranném archeologickém výzkumu, která mají významný dopad do projektového řešení stavby a vyžadují změnu projektové dokumentace a s tím spojené projednání změny stavby před dokončením. Dále se jedná o změny v provádění přeložky NN v ulici Lipová. Přeložka samotná není součástí předmětu díla, nicméně je nezbytná je její realizace (realizaci zajišťuje správce sítě ČEZ Distribuce a.s.) před provedením terénních úprav a stavebních prací. Termín provedení přeložky NN je správcem sítě stanoven k </w:t>
      </w:r>
      <w:proofErr w:type="gramStart"/>
      <w:r w:rsidR="00073354">
        <w:rPr>
          <w:rFonts w:asciiTheme="minorHAnsi" w:hAnsiTheme="minorHAnsi"/>
          <w:sz w:val="22"/>
          <w:szCs w:val="22"/>
        </w:rPr>
        <w:t>15.11.2022</w:t>
      </w:r>
      <w:proofErr w:type="gramEnd"/>
      <w:r w:rsidR="00073354">
        <w:rPr>
          <w:rFonts w:asciiTheme="minorHAnsi" w:hAnsiTheme="minorHAnsi"/>
          <w:sz w:val="22"/>
          <w:szCs w:val="22"/>
        </w:rPr>
        <w:t xml:space="preserve">. </w:t>
      </w:r>
    </w:p>
    <w:p w:rsidR="00073354" w:rsidRPr="00073354" w:rsidRDefault="00073354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Tyto nové skutečnosti, které nebylo možno předvídat, mají vliv na harmonogram provádění prací a ne celkový termín dokončení díla.   </w:t>
      </w:r>
    </w:p>
    <w:p w:rsidR="0089209F" w:rsidRPr="006A7DB2" w:rsidRDefault="00073354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Rozsah změn bude upřesněn a vyčíslen dodatkem č. 4 smlouvy o dílo.   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t xml:space="preserve">projektová dokumentace pro provádění stavby „NKP Klášter Plasy - obnova opatské rezidence“ vypracovaná Projektovým atelierem pro architekturu a pozemní stavby spol. s r.o. ,  IČO 45308616,  </w:t>
      </w:r>
      <w:proofErr w:type="spellStart"/>
      <w:r w:rsidRPr="00B127EB">
        <w:rPr>
          <w:sz w:val="22"/>
          <w:szCs w:val="18"/>
        </w:rPr>
        <w:t>z.č</w:t>
      </w:r>
      <w:proofErr w:type="spellEnd"/>
      <w:r w:rsidRPr="00B127EB">
        <w:rPr>
          <w:sz w:val="22"/>
          <w:szCs w:val="18"/>
        </w:rPr>
        <w:t xml:space="preserve">. </w:t>
      </w:r>
      <w:proofErr w:type="gramStart"/>
      <w:r w:rsidRPr="00B127EB">
        <w:rPr>
          <w:sz w:val="22"/>
          <w:szCs w:val="18"/>
        </w:rPr>
        <w:t>489 045 16 10 z 2./2018</w:t>
      </w:r>
      <w:proofErr w:type="gramEnd"/>
      <w:r w:rsidRPr="00B127EB">
        <w:rPr>
          <w:sz w:val="22"/>
          <w:szCs w:val="18"/>
        </w:rPr>
        <w:t>, včetně vysvětlení  zadavatele k dotazům účastníků  v rámci  zadávacího řízení (dále též „PD“ nebo „projektová dokumentace“)</w:t>
      </w:r>
    </w:p>
    <w:p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lastRenderedPageBreak/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>N006/20/V000</w:t>
      </w:r>
      <w:r w:rsidR="00CB0558">
        <w:rPr>
          <w:sz w:val="22"/>
          <w:szCs w:val="18"/>
        </w:rPr>
        <w:t>27438</w:t>
      </w:r>
      <w:r w:rsidR="00B127EB" w:rsidRPr="00B127EB">
        <w:rPr>
          <w:sz w:val="22"/>
          <w:szCs w:val="18"/>
        </w:rPr>
        <w:t xml:space="preserve"> </w:t>
      </w:r>
      <w:r w:rsidRPr="008133A2">
        <w:rPr>
          <w:sz w:val="22"/>
          <w:szCs w:val="18"/>
        </w:rPr>
        <w:t>(dále též ZD)</w:t>
      </w:r>
    </w:p>
    <w:p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 xml:space="preserve">kraje, odboru kultury, památkové péče a cestovního ruchu pod </w:t>
      </w:r>
      <w:proofErr w:type="gramStart"/>
      <w:r w:rsidRPr="00B127EB">
        <w:rPr>
          <w:sz w:val="22"/>
          <w:szCs w:val="18"/>
        </w:rPr>
        <w:t>č.j.</w:t>
      </w:r>
      <w:proofErr w:type="gramEnd"/>
      <w:r w:rsidRPr="00B127EB">
        <w:rPr>
          <w:sz w:val="22"/>
          <w:szCs w:val="18"/>
        </w:rPr>
        <w:t>: PK-KPP/253/19 ze dne 22. 05. 2019 a PK-KPP/1397/19 z 18. 06. 2019 - příloha smlouvy č. 5, a stavební povolení vydané Stavebním úřadem v Plasích pod č. j. SU-Kro/1647/2017 ze dne 24. 04. 2017 -příloha smlouvy č. 4.</w:t>
      </w:r>
    </w:p>
    <w:p w:rsidR="0044551D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 xml:space="preserve">změnové listy č. ZL </w:t>
      </w:r>
      <w:r>
        <w:rPr>
          <w:rFonts w:asciiTheme="minorHAnsi" w:hAnsiTheme="minorHAnsi"/>
          <w:sz w:val="22"/>
          <w:szCs w:val="22"/>
        </w:rPr>
        <w:t>1</w:t>
      </w:r>
      <w:r w:rsidR="00B127EB">
        <w:rPr>
          <w:rFonts w:asciiTheme="minorHAnsi" w:hAnsiTheme="minorHAnsi"/>
          <w:sz w:val="22"/>
          <w:szCs w:val="22"/>
        </w:rPr>
        <w:t xml:space="preserve"> – ZL </w:t>
      </w:r>
      <w:r w:rsidR="00B16313">
        <w:rPr>
          <w:rFonts w:asciiTheme="minorHAnsi" w:hAnsiTheme="minorHAnsi"/>
          <w:sz w:val="22"/>
          <w:szCs w:val="22"/>
        </w:rPr>
        <w:t>6</w:t>
      </w:r>
      <w:r w:rsidR="00B127EB">
        <w:rPr>
          <w:rFonts w:asciiTheme="minorHAnsi" w:hAnsiTheme="minorHAnsi"/>
          <w:sz w:val="22"/>
          <w:szCs w:val="22"/>
        </w:rPr>
        <w:t>.</w:t>
      </w:r>
    </w:p>
    <w:p w:rsidR="0044551D" w:rsidRPr="00394860" w:rsidRDefault="0044551D" w:rsidP="0044551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jc w:val="both"/>
        <w:rPr>
          <w:rFonts w:asciiTheme="minorHAnsi" w:hAnsiTheme="minorHAnsi"/>
          <w:sz w:val="6"/>
          <w:szCs w:val="22"/>
        </w:rPr>
      </w:pPr>
    </w:p>
    <w:p w:rsidR="0044551D" w:rsidRDefault="0044551D" w:rsidP="0044551D">
      <w:pPr>
        <w:pStyle w:val="Default"/>
        <w:tabs>
          <w:tab w:val="left" w:pos="567"/>
          <w:tab w:val="left" w:pos="1418"/>
          <w:tab w:val="left" w:pos="2127"/>
          <w:tab w:val="left" w:pos="2836"/>
          <w:tab w:val="left" w:pos="3545"/>
        </w:tabs>
        <w:spacing w:before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ab/>
        <w:t xml:space="preserve">Předmět díla se dodatkem č. 3 nemění. </w:t>
      </w:r>
    </w:p>
    <w:p w:rsidR="00EE4B2C" w:rsidRPr="00B373DB" w:rsidRDefault="00B127EB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6A7DB2" w:rsidRPr="00663BDE" w:rsidRDefault="006A7DB2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6A7DB2" w:rsidRDefault="006A7DB2" w:rsidP="006A7DB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Provedení díla – lhůty plnění</w:t>
      </w:r>
    </w:p>
    <w:p w:rsidR="006A7DB2" w:rsidRPr="00A47F8B" w:rsidRDefault="006A7DB2" w:rsidP="006A7DB2">
      <w:pPr>
        <w:widowControl w:val="0"/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F40FC">
        <w:rPr>
          <w:rFonts w:asciiTheme="minorHAnsi" w:hAnsiTheme="minorHAnsi" w:cs="Arial"/>
          <w:sz w:val="22"/>
          <w:szCs w:val="22"/>
        </w:rPr>
        <w:t xml:space="preserve">1.  </w:t>
      </w:r>
      <w:r>
        <w:rPr>
          <w:rFonts w:asciiTheme="minorHAnsi" w:hAnsiTheme="minorHAnsi" w:cs="Arial"/>
          <w:sz w:val="22"/>
          <w:szCs w:val="22"/>
        </w:rPr>
        <w:tab/>
      </w:r>
      <w:r w:rsidRPr="00A47F8B">
        <w:rPr>
          <w:rFonts w:asciiTheme="minorHAnsi" w:hAnsiTheme="minorHAnsi" w:cs="Arial"/>
          <w:sz w:val="22"/>
          <w:szCs w:val="22"/>
        </w:rPr>
        <w:t xml:space="preserve">Ve smyslu č. III smlouvy o dílo zhotovitel upozornil objednatele na skutečnosti, které mohou mít vliv na termín dokončení a předání díla.  S ohledem na objem změn stavby, rozšíření předmětu díla (z důvodu nově zjištěných skutečností i z důvodu změn provádění díla požadovaných objednatelem) dochází k zásahům do harmonogramu realizace stavby. Dalším vnějším vlivem, který dodavatel nemůže ovlivnit, je situace na trhu se stavebními materiály a s tím spojené prodloužené termíny dodávek materiálu. Tyto změny mohou v celkovém důsledku mít dopad do termínu dokončení a předání díla. </w:t>
      </w:r>
    </w:p>
    <w:p w:rsidR="0044551D" w:rsidRPr="0044551D" w:rsidRDefault="006A7DB2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47F8B">
        <w:rPr>
          <w:rFonts w:asciiTheme="minorHAnsi" w:hAnsiTheme="minorHAnsi" w:cs="Arial"/>
          <w:sz w:val="22"/>
          <w:szCs w:val="22"/>
        </w:rPr>
        <w:t xml:space="preserve">2. </w:t>
      </w:r>
      <w:r w:rsidRPr="00A47F8B">
        <w:rPr>
          <w:rFonts w:asciiTheme="minorHAnsi" w:hAnsiTheme="minorHAnsi" w:cs="Arial"/>
          <w:sz w:val="22"/>
          <w:szCs w:val="22"/>
        </w:rPr>
        <w:tab/>
      </w:r>
      <w:r w:rsidR="0044551D" w:rsidRPr="0044551D">
        <w:rPr>
          <w:rFonts w:asciiTheme="minorHAnsi" w:hAnsiTheme="minorHAnsi" w:cs="Arial"/>
          <w:sz w:val="22"/>
          <w:szCs w:val="22"/>
        </w:rPr>
        <w:t>Smluvní strany se ve smyslu čl. III bodu 3, písmene b) a c) smlouvy o dílo dohodly na prodloužení termínu pro dokončení díla. Důvodem prodloužení smluvního termínu jsou zejména skryté překážky v provádění díla, které zhotoviteli brání v provádění díla dle zadání.</w:t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>3.</w:t>
      </w:r>
      <w:r w:rsidRPr="0044551D">
        <w:rPr>
          <w:rFonts w:asciiTheme="minorHAnsi" w:hAnsiTheme="minorHAnsi" w:cs="Arial"/>
          <w:sz w:val="22"/>
          <w:szCs w:val="22"/>
        </w:rPr>
        <w:tab/>
        <w:t>V souladu se smlouvou, zákonem o zadávání veřejných zakázek a zákonem o státní památkové péči objednatel zajišťuje průběžně zpracování změn projektové dokumentace a jejich projednání, čímž dochází k nezbytným posunům termínu uvedených v Harmonogramu stavby.</w:t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>4.</w:t>
      </w:r>
      <w:r w:rsidRPr="0044551D">
        <w:rPr>
          <w:rFonts w:asciiTheme="minorHAnsi" w:hAnsiTheme="minorHAnsi" w:cs="Arial"/>
          <w:sz w:val="22"/>
          <w:szCs w:val="22"/>
        </w:rPr>
        <w:tab/>
        <w:t xml:space="preserve">Termín provádění díla uvedený v čl. III, době 1 b) se tímto dodatkem mění následovně: </w:t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ab/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ab/>
        <w:t xml:space="preserve">b) termín dokončení a předání díla </w:t>
      </w:r>
      <w:r w:rsidRPr="0044551D">
        <w:rPr>
          <w:rFonts w:asciiTheme="minorHAnsi" w:hAnsiTheme="minorHAnsi" w:cs="Arial"/>
          <w:sz w:val="22"/>
          <w:szCs w:val="22"/>
        </w:rPr>
        <w:tab/>
      </w:r>
      <w:proofErr w:type="gramStart"/>
      <w:r w:rsidRPr="0044551D">
        <w:rPr>
          <w:rFonts w:asciiTheme="minorHAnsi" w:hAnsiTheme="minorHAnsi" w:cs="Arial"/>
          <w:sz w:val="22"/>
          <w:szCs w:val="22"/>
        </w:rPr>
        <w:t>31.8.2022</w:t>
      </w:r>
      <w:proofErr w:type="gramEnd"/>
      <w:r w:rsidRPr="0044551D">
        <w:rPr>
          <w:rFonts w:asciiTheme="minorHAnsi" w:hAnsiTheme="minorHAnsi" w:cs="Arial"/>
          <w:sz w:val="22"/>
          <w:szCs w:val="22"/>
        </w:rPr>
        <w:t xml:space="preserve"> (dle </w:t>
      </w:r>
      <w:proofErr w:type="spellStart"/>
      <w:r w:rsidRPr="0044551D">
        <w:rPr>
          <w:rFonts w:asciiTheme="minorHAnsi" w:hAnsiTheme="minorHAnsi" w:cs="Arial"/>
          <w:sz w:val="22"/>
          <w:szCs w:val="22"/>
        </w:rPr>
        <w:t>SoD</w:t>
      </w:r>
      <w:proofErr w:type="spellEnd"/>
      <w:r w:rsidRPr="0044551D">
        <w:rPr>
          <w:rFonts w:asciiTheme="minorHAnsi" w:hAnsiTheme="minorHAnsi" w:cs="Arial"/>
          <w:sz w:val="22"/>
          <w:szCs w:val="22"/>
        </w:rPr>
        <w:t>)</w:t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ab/>
        <w:t xml:space="preserve">nově: </w:t>
      </w:r>
    </w:p>
    <w:p w:rsidR="0044551D" w:rsidRP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ab/>
        <w:t>b) termín dokončení a předání díla</w:t>
      </w:r>
      <w:r w:rsidRPr="0044551D">
        <w:rPr>
          <w:rFonts w:asciiTheme="minorHAnsi" w:hAnsiTheme="minorHAnsi" w:cs="Arial"/>
          <w:sz w:val="22"/>
          <w:szCs w:val="22"/>
        </w:rPr>
        <w:tab/>
      </w:r>
      <w:proofErr w:type="gramStart"/>
      <w:r w:rsidRPr="0044551D">
        <w:rPr>
          <w:rFonts w:asciiTheme="minorHAnsi" w:hAnsiTheme="minorHAnsi" w:cs="Arial"/>
          <w:b/>
          <w:sz w:val="22"/>
          <w:szCs w:val="22"/>
        </w:rPr>
        <w:t>15.6.2023</w:t>
      </w:r>
      <w:proofErr w:type="gramEnd"/>
      <w:r w:rsidRPr="0044551D">
        <w:rPr>
          <w:rFonts w:asciiTheme="minorHAnsi" w:hAnsiTheme="minorHAnsi" w:cs="Arial"/>
          <w:sz w:val="22"/>
          <w:szCs w:val="22"/>
        </w:rPr>
        <w:t xml:space="preserve">   </w:t>
      </w:r>
    </w:p>
    <w:p w:rsidR="00930E22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44551D">
        <w:rPr>
          <w:rFonts w:asciiTheme="minorHAnsi" w:hAnsiTheme="minorHAnsi" w:cs="Arial"/>
          <w:sz w:val="22"/>
          <w:szCs w:val="22"/>
        </w:rPr>
        <w:tab/>
        <w:t xml:space="preserve">c) termín dokončení a předání interiérů </w:t>
      </w:r>
      <w:r>
        <w:rPr>
          <w:rFonts w:asciiTheme="minorHAnsi" w:hAnsiTheme="minorHAnsi" w:cs="Arial"/>
          <w:sz w:val="22"/>
          <w:szCs w:val="22"/>
        </w:rPr>
        <w:t>návštěvnického centra v </w:t>
      </w:r>
      <w:r w:rsidRPr="0044551D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řízemí </w:t>
      </w:r>
      <w:r w:rsidRPr="0044551D">
        <w:rPr>
          <w:rFonts w:asciiTheme="minorHAnsi" w:hAnsiTheme="minorHAnsi" w:cs="Arial"/>
          <w:sz w:val="22"/>
          <w:szCs w:val="22"/>
        </w:rPr>
        <w:t>SO 0</w:t>
      </w:r>
      <w:r>
        <w:rPr>
          <w:rFonts w:asciiTheme="minorHAnsi" w:hAnsiTheme="minorHAnsi" w:cs="Arial"/>
          <w:sz w:val="22"/>
          <w:szCs w:val="22"/>
        </w:rPr>
        <w:t xml:space="preserve">1 </w:t>
      </w:r>
      <w:r>
        <w:rPr>
          <w:rFonts w:asciiTheme="minorHAnsi" w:hAnsiTheme="minorHAnsi" w:cs="Arial"/>
          <w:sz w:val="22"/>
          <w:szCs w:val="22"/>
        </w:rPr>
        <w:tab/>
      </w:r>
      <w:proofErr w:type="gramStart"/>
      <w:r w:rsidRPr="0044551D">
        <w:rPr>
          <w:rFonts w:asciiTheme="minorHAnsi" w:hAnsiTheme="minorHAnsi" w:cs="Arial"/>
          <w:b/>
          <w:sz w:val="22"/>
          <w:szCs w:val="22"/>
        </w:rPr>
        <w:t>15.5.2023</w:t>
      </w:r>
      <w:proofErr w:type="gramEnd"/>
    </w:p>
    <w:p w:rsidR="0044551D" w:rsidRDefault="0044551D" w:rsidP="0044551D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60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6A7DB2" w:rsidRDefault="0044551D" w:rsidP="0044551D">
      <w:pPr>
        <w:widowControl w:val="0"/>
        <w:tabs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</w:t>
      </w:r>
      <w:r>
        <w:rPr>
          <w:rFonts w:asciiTheme="minorHAnsi" w:hAnsiTheme="minorHAnsi" w:cs="Arial"/>
          <w:sz w:val="22"/>
          <w:szCs w:val="22"/>
        </w:rPr>
        <w:tab/>
      </w:r>
      <w:r w:rsidRPr="0044551D">
        <w:rPr>
          <w:rFonts w:asciiTheme="minorHAnsi" w:hAnsiTheme="minorHAnsi" w:cs="Arial"/>
          <w:sz w:val="22"/>
          <w:szCs w:val="22"/>
        </w:rPr>
        <w:t xml:space="preserve">Smluvní strany tímto shodně prohlašují, že v souvislosti s prodloužením termínu dokončení díla způsobeným zejména objednatelem požadovanými vícepracemi, které nebyly zahrnuty v původním předmětu plnění zhotovitele a změnami, které reagují na nové skutečnosti zjištěné během realizace stavby, které objednatel nemohl předpokládat, vznikají zhotoviteli </w:t>
      </w:r>
      <w:r w:rsidRPr="0044551D">
        <w:rPr>
          <w:rFonts w:asciiTheme="minorHAnsi" w:hAnsiTheme="minorHAnsi" w:cs="Arial"/>
          <w:sz w:val="22"/>
          <w:szCs w:val="22"/>
        </w:rPr>
        <w:lastRenderedPageBreak/>
        <w:t>vícenáklady (např. dodatečné mzdové náklady na pracovní tým zhotovitele podílející se na realizaci stavby za dobu spojenou s prodloužením termínu dokončení díla, apod.). V důsledku této situace se smluvní strany dohodly, a objednatel bere na vědomí, že náklady takto zhotoviteli vzniklé a spojené s prodloužením termínu dokončení díla, budou vyčísleny a vypořádány v následujícím dodatku k této smlouvě</w:t>
      </w:r>
      <w:r>
        <w:rPr>
          <w:rFonts w:asciiTheme="minorHAnsi" w:hAnsiTheme="minorHAnsi" w:cs="Arial"/>
          <w:sz w:val="22"/>
          <w:szCs w:val="22"/>
        </w:rPr>
        <w:t>.</w:t>
      </w:r>
    </w:p>
    <w:p w:rsidR="0044551D" w:rsidRDefault="0044551D" w:rsidP="0044551D">
      <w:pPr>
        <w:widowControl w:val="0"/>
        <w:tabs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44551D" w:rsidRPr="00663BDE" w:rsidRDefault="0044551D" w:rsidP="0044551D">
      <w:pPr>
        <w:widowControl w:val="0"/>
        <w:tabs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44551D">
        <w:rPr>
          <w:rFonts w:asciiTheme="minorHAnsi" w:hAnsiTheme="minorHAnsi"/>
          <w:sz w:val="22"/>
          <w:szCs w:val="22"/>
        </w:rPr>
        <w:t>3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44551D">
        <w:rPr>
          <w:rFonts w:asciiTheme="minorHAnsi" w:hAnsiTheme="minorHAnsi"/>
          <w:sz w:val="22"/>
          <w:szCs w:val="22"/>
        </w:rPr>
        <w:t xml:space="preserve">3 </w:t>
      </w:r>
      <w:r w:rsidRPr="00663BDE">
        <w:rPr>
          <w:rFonts w:asciiTheme="minorHAnsi" w:hAnsiTheme="minorHAnsi"/>
          <w:sz w:val="22"/>
          <w:szCs w:val="22"/>
        </w:rPr>
        <w:t xml:space="preserve">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4551D" w:rsidRPr="0044551D" w:rsidRDefault="0044551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44551D">
        <w:rPr>
          <w:rFonts w:asciiTheme="minorHAnsi" w:hAnsiTheme="minorHAnsi" w:cs="Arial"/>
          <w:i/>
          <w:sz w:val="20"/>
          <w:szCs w:val="22"/>
        </w:rPr>
        <w:t xml:space="preserve">Příloha č. 1 Aktualizovaný harmonogram prací 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r w:rsidR="00AD7762">
        <w:rPr>
          <w:rFonts w:asciiTheme="minorHAnsi" w:hAnsiTheme="minorHAnsi" w:cs="Arial"/>
          <w:sz w:val="22"/>
          <w:szCs w:val="22"/>
        </w:rPr>
        <w:t>29. 8. 2022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="00AD7762">
        <w:rPr>
          <w:rFonts w:asciiTheme="minorHAnsi" w:hAnsiTheme="minorHAnsi" w:cs="Arial"/>
          <w:sz w:val="22"/>
          <w:szCs w:val="22"/>
        </w:rPr>
        <w:tab/>
      </w:r>
      <w:r w:rsidR="00AD7762">
        <w:rPr>
          <w:rFonts w:asciiTheme="minorHAnsi" w:hAnsiTheme="minorHAnsi" w:cs="Arial"/>
          <w:sz w:val="22"/>
          <w:szCs w:val="22"/>
        </w:rPr>
        <w:tab/>
      </w:r>
      <w:r w:rsidR="00AD7762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1853B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AD7762">
        <w:rPr>
          <w:rFonts w:asciiTheme="minorHAnsi" w:hAnsiTheme="minorHAnsi" w:cs="Arial"/>
          <w:sz w:val="22"/>
          <w:szCs w:val="22"/>
        </w:rPr>
        <w:t>29. 8. 2022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AD7762">
        <w:rPr>
          <w:rFonts w:ascii="Calibri" w:hAnsi="Calibri" w:cs="Calibri"/>
          <w:sz w:val="20"/>
          <w:szCs w:val="20"/>
        </w:rPr>
        <w:t>XXXXXXXXXX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5B375D">
        <w:rPr>
          <w:rFonts w:asciiTheme="minorHAnsi" w:hAnsiTheme="minorHAnsi" w:cs="Arial"/>
          <w:sz w:val="22"/>
          <w:szCs w:val="22"/>
        </w:rPr>
        <w:t>generální</w:t>
      </w:r>
      <w:proofErr w:type="gramEnd"/>
      <w:r w:rsidR="005B375D">
        <w:rPr>
          <w:rFonts w:asciiTheme="minorHAnsi" w:hAnsiTheme="minorHAnsi" w:cs="Arial"/>
          <w:sz w:val="22"/>
          <w:szCs w:val="22"/>
        </w:rPr>
        <w:t xml:space="preserve"> ředitel na základě plné moci 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48" w:rsidRDefault="00182948">
      <w:r>
        <w:separator/>
      </w:r>
    </w:p>
  </w:endnote>
  <w:endnote w:type="continuationSeparator" w:id="0">
    <w:p w:rsidR="00182948" w:rsidRDefault="0018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F864C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4F0C1F">
      <w:rPr>
        <w:noProof/>
      </w:rPr>
      <w:t>4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48" w:rsidRDefault="00182948">
      <w:r>
        <w:separator/>
      </w:r>
    </w:p>
  </w:footnote>
  <w:footnote w:type="continuationSeparator" w:id="0">
    <w:p w:rsidR="00182948" w:rsidRDefault="0018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46A286AF" wp14:editId="6415CD2D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CD6DB9" w:rsidRPr="00CD6DB9">
      <w:rPr>
        <w:rFonts w:asciiTheme="minorHAnsi" w:hAnsiTheme="minorHAnsi" w:cstheme="minorHAnsi"/>
        <w:sz w:val="20"/>
        <w:szCs w:val="20"/>
      </w:rPr>
      <w:t>NPU-430/</w:t>
    </w:r>
    <w:r w:rsidR="00832BDD">
      <w:rPr>
        <w:rFonts w:asciiTheme="minorHAnsi" w:hAnsiTheme="minorHAnsi" w:cstheme="minorHAnsi"/>
        <w:sz w:val="20"/>
        <w:szCs w:val="20"/>
      </w:rPr>
      <w:t>72140</w:t>
    </w:r>
    <w:r w:rsidR="00073354">
      <w:rPr>
        <w:rFonts w:asciiTheme="minorHAnsi" w:hAnsiTheme="minorHAnsi" w:cstheme="minorHAnsi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5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82948"/>
    <w:rsid w:val="001853B1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E572F"/>
    <w:rsid w:val="001F0ABC"/>
    <w:rsid w:val="001F18D5"/>
    <w:rsid w:val="001F1A1E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0152"/>
    <w:rsid w:val="002A514B"/>
    <w:rsid w:val="002A6E62"/>
    <w:rsid w:val="002B549A"/>
    <w:rsid w:val="002C0469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4124C"/>
    <w:rsid w:val="00342164"/>
    <w:rsid w:val="003462FA"/>
    <w:rsid w:val="00353878"/>
    <w:rsid w:val="003542FD"/>
    <w:rsid w:val="00357682"/>
    <w:rsid w:val="003603E6"/>
    <w:rsid w:val="0036043E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4860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51D"/>
    <w:rsid w:val="00445761"/>
    <w:rsid w:val="00447580"/>
    <w:rsid w:val="004523BE"/>
    <w:rsid w:val="004607E2"/>
    <w:rsid w:val="00464924"/>
    <w:rsid w:val="00465EBD"/>
    <w:rsid w:val="004742AB"/>
    <w:rsid w:val="00480775"/>
    <w:rsid w:val="004832FB"/>
    <w:rsid w:val="004839D5"/>
    <w:rsid w:val="00486575"/>
    <w:rsid w:val="00486871"/>
    <w:rsid w:val="00492193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0C1F"/>
    <w:rsid w:val="004F11B5"/>
    <w:rsid w:val="004F228C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375D"/>
    <w:rsid w:val="005B6986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A7DB2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E7061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670F"/>
    <w:rsid w:val="00821902"/>
    <w:rsid w:val="00821C97"/>
    <w:rsid w:val="00823AB8"/>
    <w:rsid w:val="00823B39"/>
    <w:rsid w:val="0082473B"/>
    <w:rsid w:val="00832BDD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96F90"/>
    <w:rsid w:val="008A13FC"/>
    <w:rsid w:val="008A672A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07DEE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51D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3C8"/>
    <w:rsid w:val="00AB4CBA"/>
    <w:rsid w:val="00AB5190"/>
    <w:rsid w:val="00AB6064"/>
    <w:rsid w:val="00AC7DE9"/>
    <w:rsid w:val="00AD4EF6"/>
    <w:rsid w:val="00AD5F57"/>
    <w:rsid w:val="00AD7762"/>
    <w:rsid w:val="00AF19D8"/>
    <w:rsid w:val="00AF342A"/>
    <w:rsid w:val="00B127EB"/>
    <w:rsid w:val="00B144F2"/>
    <w:rsid w:val="00B14E52"/>
    <w:rsid w:val="00B154B6"/>
    <w:rsid w:val="00B160A1"/>
    <w:rsid w:val="00B16313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1F6"/>
    <w:rsid w:val="00B5198F"/>
    <w:rsid w:val="00B53CD9"/>
    <w:rsid w:val="00B568E2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A6B7C"/>
    <w:rsid w:val="00BB136B"/>
    <w:rsid w:val="00BD4E33"/>
    <w:rsid w:val="00BD58B7"/>
    <w:rsid w:val="00BD6A3D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0558"/>
    <w:rsid w:val="00CB1079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6DB9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F5D"/>
    <w:rsid w:val="00F618D3"/>
    <w:rsid w:val="00F64183"/>
    <w:rsid w:val="00F674FC"/>
    <w:rsid w:val="00F743B8"/>
    <w:rsid w:val="00F74C7E"/>
    <w:rsid w:val="00F80D0B"/>
    <w:rsid w:val="00F819BE"/>
    <w:rsid w:val="00F864CF"/>
    <w:rsid w:val="00F87B89"/>
    <w:rsid w:val="00F95077"/>
    <w:rsid w:val="00FA117C"/>
    <w:rsid w:val="00FA22DE"/>
    <w:rsid w:val="00FA45CF"/>
    <w:rsid w:val="00FA4CA1"/>
    <w:rsid w:val="00FA4E8C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A75C-94EE-4428-A245-FB469AD7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7</cp:revision>
  <cp:lastPrinted>2019-03-13T09:05:00Z</cp:lastPrinted>
  <dcterms:created xsi:type="dcterms:W3CDTF">2022-09-02T07:02:00Z</dcterms:created>
  <dcterms:modified xsi:type="dcterms:W3CDTF">2022-09-02T07:09:00Z</dcterms:modified>
</cp:coreProperties>
</file>