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SH 17/2022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Sportovní klub K2 Prostějov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E. Beneše 15/21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266 66 596,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 10515 vedená u Krajského soudu v Brně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Bc. Janem Zatloukalem, předsedou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+420 777 311 108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jan.zatloukal@skk2.com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23.04.2021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hrací plochu a další 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sportovní haly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účelem odehrání soutěžních, pohárových a přátelských utkání basketbalových a florbalových družstev mládeže, stejně jako jeho tréninků, dále pak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místnost, tančírna, relaxační centrum, sál, M klub, presscentrum,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smlouvě,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si vyhrazuje právo využívat prostory haly na akce v rámci akcí Ministerstva školství mládeže a tělovýchovy ČR pro základní a střední školy s tím, že v uvedených termínech nebudou probíhat tréninky nájemce.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skutečnost bude projednána s nájemcem při tvorbě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plánu,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potřeby trénovat v jiném období nebo nad rámec uvedených termínů budou tyto změny projednány s předstihem s vedením SC-DDM, řádně evidovány a účtovány,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600,- Kč za hodinu a v období mimo topnou sezónu 500,- Kč za hodinu,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300,- Kč za hodinu a v období mimo topnou sezónu 250,- Kč za hodinu,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ceně pronájmu je užívání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hrací plochy a šatny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150,- Kč za hodinu užívání,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tančírny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100,- Kč za hodinu užívání,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200,- za hodinu užívání,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presscentra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60,- Kč za hodinu užívání,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klubu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100,- Kč za hodinu užívání,</w:t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relaxačního centra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600,- Kč za hodinu a v období mimo topnou sezónu 550,- Kč.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pronájem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potřeby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soutěžních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přátelských utkání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stanoven následující smluvní pronájem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topné sezóny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2000,-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 600,- Kč/hod.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100,- Kč/hod.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mimo topnou sezónu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1750,-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 500,- Kč/hod.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100,- Kč/hod.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potřeby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soutěžních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přátelských utkání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stanoven následující smluvní pronájem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topné sezóny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1250,-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 300,- Kč/hod.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100,- Kč/hod.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mimo topnou sezónu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1125,-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 250,- Kč/hod.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100,- Kč/hod.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odehraných utkáních bude pronajímatelem vedena řádná evidence pro potřeby vyúčtování souhrnné výše pronájmu.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k: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Návštěvního řádu SC-DDM,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kterým byl před podpisem této smlouvy řádně seznámen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včetně určení odpovědné osoby, která bude ručit za dodržování tohoto řádu,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všech užívaných prostor,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použitého materiálu (masér, kustod),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sdělení jakýchkoliv změn v časech a termínech pronájmů vedení SC-DDM,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oznámení zrušení pronájmu s dvoudenním předstihem pronajímateli, v opačném případě se zavazuje nájemné uhradit,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vstup hráčů a dalších členů družstva bočním vstupem,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ošetření všech právních vztahů s ochrannými svazy (OSA, Intergram) v případě hudební reprodukce,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bezpečnostních a protipožárních opatření vyvěšených v budově,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požární hlídku na vlastní náklady při účasti více jak 100 osob vč. diváků,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odbornou přípravu takto sestavené požární hlídky prostřednictvím osoby odborně způsobilé dle § 11 zákona č. 237/2000 Sb., o požární ochraně,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provedení úprav uvedení prostor do původního stavu na vlastní náklady a v případě požadavku na změny v rozmístění tribun a dalšího vybavení bude představa předem konzultována s vedením SC-DDM,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zákazu přístupu vstupu diváků na palubovku, jejich manipulaci se sportovním náčiním a materiálem, a to v průběhu celé doby pronájmu (v souladu s Návštěvním řádem SC-DDM),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nájemce bude vykonávat aktivitu v prostorech určených k pronájmu mimo stanovenou dobu, bude mu účtováno obvyklé nájemné.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evidenci, a dle ní fakturuje nájemné dle čl. IV. a V. této smlouvy na základě vystavené faktury,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každém měsíci bude proveden součet utkání za předchozí měsíc, vyúčtování poskytnutých služeb a vystavení faktury bude provedeno dle dohody, nejpozději však jednou za kvartál,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bude pravidelně informován o případné uplatněné smluvních pokutě dle čl. VII. smlouvy,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kvartálně elektronicky.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120" w:before="24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01.09.2022</w:t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-6982</wp:posOffset>
          </wp:positionV>
          <wp:extent cx="797560" cy="75311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5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ind w:left="180" w:firstLine="123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Olympijská 4, 796 01 Prostějov, tel.: +420 730 805 143, +420 730 805 144 (Vápenice)</w:t>
    </w:r>
  </w:p>
  <w:p w:rsidR="00000000" w:rsidDel="00000000" w:rsidP="00000000" w:rsidRDefault="00000000" w:rsidRPr="00000000" w14:paraId="000000A7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e-mail: podatelna@sportcentrumddm.cz, web: www.sportcentrumddm.cz</w:t>
      <w:tab/>
      <w:t xml:space="preserve">  </w:t>
    </w:r>
  </w:p>
  <w:p w:rsidR="00000000" w:rsidDel="00000000" w:rsidP="00000000" w:rsidRDefault="00000000" w:rsidRPr="00000000" w14:paraId="000000A8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JanaObJrsDcMJDCCzvi3mn9gA==">AMUW2mX4hbei/q/cUbFXQJtI0TJcqaALgsABypslAauRc9a1bb1tdLMcPnVlgqaPjQ/dsK47rXUTnQT2rv+Y/rEUzVbK++2gt9uKWiAvtZ4vESr7etmzNqdlVdNb2L5/33vWMsLCEP4M5MWBYFMdXWGfHVhzAkRyxQ==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