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1D" w:rsidRPr="002B4CC3" w:rsidRDefault="006429A4" w:rsidP="006429A4">
      <w:pPr>
        <w:spacing w:after="0" w:line="240" w:lineRule="auto"/>
        <w:jc w:val="center"/>
        <w:rPr>
          <w:b/>
          <w:sz w:val="32"/>
          <w:szCs w:val="32"/>
        </w:rPr>
      </w:pPr>
      <w:r w:rsidRPr="002B4CC3">
        <w:rPr>
          <w:b/>
          <w:sz w:val="32"/>
          <w:szCs w:val="32"/>
        </w:rPr>
        <w:t>P O V Ě Ř O V A C Í    A K</w:t>
      </w:r>
      <w:r w:rsidR="00C3543E">
        <w:rPr>
          <w:b/>
          <w:sz w:val="32"/>
          <w:szCs w:val="32"/>
        </w:rPr>
        <w:t> </w:t>
      </w:r>
      <w:r w:rsidRPr="002B4CC3">
        <w:rPr>
          <w:b/>
          <w:sz w:val="32"/>
          <w:szCs w:val="32"/>
        </w:rPr>
        <w:t>T</w:t>
      </w:r>
      <w:r w:rsidR="00C3543E">
        <w:rPr>
          <w:b/>
          <w:sz w:val="32"/>
          <w:szCs w:val="32"/>
        </w:rPr>
        <w:t xml:space="preserve"> </w:t>
      </w:r>
    </w:p>
    <w:p w:rsidR="006429A4" w:rsidRPr="00E54BDA" w:rsidRDefault="006429A4" w:rsidP="006429A4">
      <w:pPr>
        <w:spacing w:after="0" w:line="240" w:lineRule="auto"/>
        <w:jc w:val="center"/>
        <w:rPr>
          <w:sz w:val="24"/>
          <w:szCs w:val="24"/>
        </w:rPr>
      </w:pPr>
    </w:p>
    <w:p w:rsidR="006429A4" w:rsidRDefault="006429A4" w:rsidP="006429A4">
      <w:pPr>
        <w:spacing w:after="0" w:line="240" w:lineRule="auto"/>
        <w:jc w:val="center"/>
        <w:rPr>
          <w:sz w:val="24"/>
          <w:szCs w:val="24"/>
        </w:rPr>
      </w:pPr>
      <w:r w:rsidRPr="00E54BDA">
        <w:rPr>
          <w:sz w:val="24"/>
          <w:szCs w:val="24"/>
        </w:rPr>
        <w:t xml:space="preserve">dle Rozhodnutí Komise </w:t>
      </w:r>
      <w:r w:rsidR="00990212">
        <w:rPr>
          <w:sz w:val="24"/>
          <w:szCs w:val="24"/>
        </w:rPr>
        <w:t xml:space="preserve">ze dne 20. prosince 2011 </w:t>
      </w:r>
      <w:r w:rsidRPr="00E54BDA">
        <w:rPr>
          <w:sz w:val="24"/>
          <w:szCs w:val="24"/>
        </w:rPr>
        <w:t>o použití čl</w:t>
      </w:r>
      <w:r w:rsidR="00990212">
        <w:rPr>
          <w:sz w:val="24"/>
          <w:szCs w:val="24"/>
        </w:rPr>
        <w:t>.</w:t>
      </w:r>
      <w:r w:rsidRPr="00E54BDA">
        <w:rPr>
          <w:sz w:val="24"/>
          <w:szCs w:val="24"/>
        </w:rPr>
        <w:t xml:space="preserve"> 106 odst.</w:t>
      </w:r>
      <w:r w:rsidR="00990212">
        <w:rPr>
          <w:sz w:val="24"/>
          <w:szCs w:val="24"/>
        </w:rPr>
        <w:t xml:space="preserve"> </w:t>
      </w:r>
      <w:r w:rsidRPr="00E54BDA">
        <w:rPr>
          <w:sz w:val="24"/>
          <w:szCs w:val="24"/>
        </w:rPr>
        <w:t>2 Smlouvy o fungování E</w:t>
      </w:r>
      <w:r w:rsidR="00990212">
        <w:rPr>
          <w:sz w:val="24"/>
          <w:szCs w:val="24"/>
        </w:rPr>
        <w:t>vropské unie</w:t>
      </w:r>
      <w:r w:rsidRPr="00E54BDA">
        <w:rPr>
          <w:sz w:val="24"/>
          <w:szCs w:val="24"/>
        </w:rPr>
        <w:t xml:space="preserve"> na státní podporu ve formě vyrovnávací platby za závazek veřejné služby udělené určitým podnikům pověřeným poskytováním služeb obecného hospodářského zájmu</w:t>
      </w:r>
      <w:r w:rsidR="00990212">
        <w:rPr>
          <w:sz w:val="24"/>
          <w:szCs w:val="24"/>
        </w:rPr>
        <w:t xml:space="preserve"> </w:t>
      </w:r>
      <w:r w:rsidRPr="00E54BDA">
        <w:rPr>
          <w:sz w:val="24"/>
          <w:szCs w:val="24"/>
        </w:rPr>
        <w:t>(Rozhodnutí SGEI</w:t>
      </w:r>
      <w:r w:rsidR="00990212">
        <w:rPr>
          <w:sz w:val="24"/>
          <w:szCs w:val="24"/>
        </w:rPr>
        <w:t>; 2012/21/EU</w:t>
      </w:r>
      <w:r w:rsidRPr="00E54BDA">
        <w:rPr>
          <w:sz w:val="24"/>
          <w:szCs w:val="24"/>
        </w:rPr>
        <w:t>)</w:t>
      </w:r>
    </w:p>
    <w:p w:rsidR="00032741" w:rsidRDefault="00032741" w:rsidP="006429A4">
      <w:pPr>
        <w:spacing w:after="0" w:line="240" w:lineRule="auto"/>
        <w:jc w:val="center"/>
        <w:rPr>
          <w:sz w:val="24"/>
          <w:szCs w:val="24"/>
        </w:rPr>
      </w:pPr>
    </w:p>
    <w:p w:rsidR="00032741" w:rsidRDefault="00032741" w:rsidP="00C3543E">
      <w:pPr>
        <w:spacing w:after="0" w:line="240" w:lineRule="auto"/>
        <w:jc w:val="both"/>
        <w:rPr>
          <w:sz w:val="24"/>
          <w:szCs w:val="24"/>
        </w:rPr>
      </w:pPr>
    </w:p>
    <w:p w:rsidR="00C3543E" w:rsidRPr="00C3543E" w:rsidRDefault="00C3543E" w:rsidP="00C3543E">
      <w:pPr>
        <w:spacing w:after="0" w:line="240" w:lineRule="auto"/>
        <w:jc w:val="both"/>
        <w:rPr>
          <w:sz w:val="24"/>
          <w:szCs w:val="24"/>
        </w:rPr>
      </w:pPr>
      <w:r w:rsidRPr="0080374D">
        <w:rPr>
          <w:sz w:val="24"/>
          <w:szCs w:val="24"/>
          <w:u w:val="single"/>
        </w:rPr>
        <w:t>Číslo pověřovacího aktu:</w:t>
      </w:r>
      <w:r w:rsidRPr="0080374D">
        <w:rPr>
          <w:sz w:val="24"/>
          <w:szCs w:val="24"/>
        </w:rPr>
        <w:t xml:space="preserve"> .........</w:t>
      </w:r>
    </w:p>
    <w:p w:rsidR="006429A4" w:rsidRPr="00E54BDA" w:rsidRDefault="006429A4" w:rsidP="006429A4">
      <w:pPr>
        <w:spacing w:after="0" w:line="240" w:lineRule="auto"/>
        <w:jc w:val="center"/>
        <w:rPr>
          <w:sz w:val="24"/>
          <w:szCs w:val="24"/>
        </w:rPr>
      </w:pPr>
    </w:p>
    <w:p w:rsidR="006429A4" w:rsidRPr="00E54BDA" w:rsidRDefault="006429A4" w:rsidP="006429A4">
      <w:pPr>
        <w:spacing w:after="0" w:line="240" w:lineRule="auto"/>
        <w:jc w:val="both"/>
        <w:rPr>
          <w:sz w:val="24"/>
          <w:szCs w:val="24"/>
          <w:u w:val="single"/>
        </w:rPr>
      </w:pPr>
      <w:r w:rsidRPr="00E54BDA">
        <w:rPr>
          <w:sz w:val="24"/>
          <w:szCs w:val="24"/>
          <w:u w:val="single"/>
        </w:rPr>
        <w:t>Pověřovatel:</w:t>
      </w:r>
    </w:p>
    <w:p w:rsidR="006429A4" w:rsidRPr="00E54BDA" w:rsidRDefault="006429A4" w:rsidP="006429A4">
      <w:pPr>
        <w:spacing w:after="0" w:line="240" w:lineRule="auto"/>
        <w:rPr>
          <w:sz w:val="24"/>
          <w:szCs w:val="24"/>
        </w:rPr>
      </w:pPr>
      <w:r w:rsidRPr="00E54BDA">
        <w:rPr>
          <w:b/>
          <w:sz w:val="24"/>
          <w:szCs w:val="24"/>
        </w:rPr>
        <w:t>Město Bruntál</w:t>
      </w:r>
      <w:r w:rsidRPr="00E54BDA">
        <w:rPr>
          <w:sz w:val="24"/>
          <w:szCs w:val="24"/>
        </w:rPr>
        <w:t>, se sídlem Nádražní 994/20, 792 01 Bruntál, IČ: 00295892</w:t>
      </w:r>
    </w:p>
    <w:p w:rsidR="006429A4" w:rsidRPr="00E54BDA" w:rsidRDefault="006429A4" w:rsidP="006429A4">
      <w:pPr>
        <w:spacing w:after="0" w:line="240" w:lineRule="auto"/>
        <w:rPr>
          <w:sz w:val="24"/>
          <w:szCs w:val="24"/>
        </w:rPr>
      </w:pPr>
    </w:p>
    <w:p w:rsidR="006429A4" w:rsidRPr="00E54BDA" w:rsidRDefault="006429A4" w:rsidP="006429A4">
      <w:pPr>
        <w:spacing w:after="0" w:line="240" w:lineRule="auto"/>
        <w:rPr>
          <w:sz w:val="24"/>
          <w:szCs w:val="24"/>
          <w:u w:val="single"/>
        </w:rPr>
      </w:pPr>
      <w:r w:rsidRPr="00E54BDA">
        <w:rPr>
          <w:sz w:val="24"/>
          <w:szCs w:val="24"/>
          <w:u w:val="single"/>
        </w:rPr>
        <w:t>Poskytovatel služby obecného hospodářského zájmu:</w:t>
      </w:r>
    </w:p>
    <w:p w:rsidR="006429A4" w:rsidRPr="00E54BDA" w:rsidRDefault="006429A4" w:rsidP="00402B4D">
      <w:pPr>
        <w:spacing w:after="0" w:line="240" w:lineRule="auto"/>
        <w:jc w:val="both"/>
        <w:rPr>
          <w:rStyle w:val="platne"/>
          <w:sz w:val="24"/>
          <w:szCs w:val="24"/>
        </w:rPr>
      </w:pPr>
      <w:r w:rsidRPr="00E54BDA">
        <w:rPr>
          <w:b/>
          <w:sz w:val="24"/>
          <w:szCs w:val="24"/>
        </w:rPr>
        <w:t xml:space="preserve">TS Bruntál, s.r.o., </w:t>
      </w:r>
      <w:r w:rsidRPr="00E54BDA">
        <w:rPr>
          <w:sz w:val="24"/>
          <w:szCs w:val="24"/>
        </w:rPr>
        <w:t xml:space="preserve">se sídlem </w:t>
      </w:r>
      <w:r w:rsidRPr="00E54BDA">
        <w:rPr>
          <w:rStyle w:val="platne"/>
          <w:sz w:val="24"/>
          <w:szCs w:val="24"/>
        </w:rPr>
        <w:t>Bruntál, Zeyerova 12, PSČ 792 01, IČ:</w:t>
      </w:r>
      <w:r w:rsidR="00402B4D" w:rsidRPr="00E54BDA">
        <w:rPr>
          <w:rStyle w:val="platne"/>
          <w:sz w:val="24"/>
          <w:szCs w:val="24"/>
        </w:rPr>
        <w:t xml:space="preserve"> 25823337, zapsaná v obchodním rejstříku vedeném u Krajského soudu v Ostravě, oddíl C, vložka číslo 19499</w:t>
      </w:r>
    </w:p>
    <w:p w:rsidR="00402B4D" w:rsidRPr="00E54BDA" w:rsidRDefault="00402B4D" w:rsidP="006429A4">
      <w:pPr>
        <w:spacing w:after="0" w:line="240" w:lineRule="auto"/>
        <w:rPr>
          <w:rStyle w:val="platne"/>
          <w:sz w:val="24"/>
          <w:szCs w:val="24"/>
        </w:rPr>
      </w:pPr>
    </w:p>
    <w:p w:rsidR="00402B4D" w:rsidRPr="00E54BDA" w:rsidRDefault="00402B4D" w:rsidP="006429A4">
      <w:pPr>
        <w:pBdr>
          <w:bottom w:val="single" w:sz="6" w:space="1" w:color="auto"/>
        </w:pBdr>
        <w:spacing w:after="0" w:line="240" w:lineRule="auto"/>
        <w:rPr>
          <w:rStyle w:val="platne"/>
          <w:sz w:val="24"/>
          <w:szCs w:val="24"/>
        </w:rPr>
      </w:pPr>
    </w:p>
    <w:p w:rsidR="00402B4D" w:rsidRPr="00E54BDA" w:rsidRDefault="00402B4D" w:rsidP="006429A4">
      <w:pPr>
        <w:spacing w:after="0" w:line="240" w:lineRule="auto"/>
        <w:rPr>
          <w:rStyle w:val="platne"/>
          <w:sz w:val="24"/>
          <w:szCs w:val="24"/>
        </w:rPr>
      </w:pPr>
    </w:p>
    <w:p w:rsidR="00402B4D" w:rsidRPr="00E54BDA" w:rsidRDefault="00402B4D" w:rsidP="00E54BDA">
      <w:pPr>
        <w:spacing w:after="0" w:line="240" w:lineRule="auto"/>
        <w:jc w:val="both"/>
        <w:rPr>
          <w:rStyle w:val="platne"/>
          <w:b/>
          <w:i/>
          <w:sz w:val="24"/>
          <w:szCs w:val="24"/>
        </w:rPr>
      </w:pPr>
      <w:r w:rsidRPr="00E54BDA">
        <w:rPr>
          <w:rStyle w:val="platne"/>
          <w:b/>
          <w:i/>
          <w:sz w:val="24"/>
          <w:szCs w:val="24"/>
        </w:rPr>
        <w:t xml:space="preserve">Pověřovatel </w:t>
      </w:r>
      <w:r w:rsidRPr="00E54BDA">
        <w:rPr>
          <w:b/>
          <w:i/>
          <w:sz w:val="24"/>
          <w:szCs w:val="24"/>
        </w:rPr>
        <w:t xml:space="preserve">Město Bruntál, se sídlem Nádražní 994/20, 792 01 Bruntál, IČ: 00295892 pověřuje společnost TS Bruntál, s.r.o., se sídlem </w:t>
      </w:r>
      <w:r w:rsidRPr="00E54BDA">
        <w:rPr>
          <w:rStyle w:val="platne"/>
          <w:b/>
          <w:i/>
          <w:sz w:val="24"/>
          <w:szCs w:val="24"/>
        </w:rPr>
        <w:t xml:space="preserve">Bruntál, Zeyerova 12, PSČ 792 01, IČ: 25823337, zapsanou v obchodním rejstříku vedeném u Krajského soudu v Ostravě, oddíl C, vložka číslo 19499, k poskytování služeb obecného hospodářského zájmu – služeb charakteru </w:t>
      </w:r>
      <w:r w:rsidR="00475CCE" w:rsidRPr="00E54BDA">
        <w:rPr>
          <w:rStyle w:val="platne"/>
          <w:b/>
          <w:i/>
          <w:sz w:val="24"/>
          <w:szCs w:val="24"/>
        </w:rPr>
        <w:t xml:space="preserve">technických služeb města níže v tomto pověření </w:t>
      </w:r>
      <w:proofErr w:type="gramStart"/>
      <w:r w:rsidR="00475CCE" w:rsidRPr="00E54BDA">
        <w:rPr>
          <w:rStyle w:val="platne"/>
          <w:b/>
          <w:i/>
          <w:sz w:val="24"/>
          <w:szCs w:val="24"/>
        </w:rPr>
        <w:t>specifikovaných</w:t>
      </w:r>
      <w:proofErr w:type="gramEnd"/>
      <w:r w:rsidR="00475CCE" w:rsidRPr="00E54BDA">
        <w:rPr>
          <w:rStyle w:val="platne"/>
          <w:b/>
          <w:i/>
          <w:sz w:val="24"/>
          <w:szCs w:val="24"/>
        </w:rPr>
        <w:t xml:space="preserve"> a to</w:t>
      </w:r>
      <w:r w:rsidRPr="00E54BDA">
        <w:rPr>
          <w:rStyle w:val="platne"/>
          <w:b/>
          <w:i/>
          <w:sz w:val="24"/>
          <w:szCs w:val="24"/>
        </w:rPr>
        <w:t xml:space="preserve"> na období 1</w:t>
      </w:r>
      <w:r w:rsidR="00767F4A">
        <w:rPr>
          <w:rStyle w:val="platne"/>
          <w:b/>
          <w:i/>
          <w:sz w:val="24"/>
          <w:szCs w:val="24"/>
        </w:rPr>
        <w:t>6 měsíců</w:t>
      </w:r>
      <w:r w:rsidR="00475CCE" w:rsidRPr="00E54BDA">
        <w:rPr>
          <w:rStyle w:val="platne"/>
          <w:b/>
          <w:i/>
          <w:sz w:val="24"/>
          <w:szCs w:val="24"/>
        </w:rPr>
        <w:t>,</w:t>
      </w:r>
      <w:r w:rsidRPr="00E54BDA">
        <w:rPr>
          <w:rStyle w:val="platne"/>
          <w:b/>
          <w:i/>
          <w:sz w:val="24"/>
          <w:szCs w:val="24"/>
        </w:rPr>
        <w:t xml:space="preserve"> počínaje </w:t>
      </w:r>
      <w:r w:rsidR="00303E9D">
        <w:rPr>
          <w:rStyle w:val="platne"/>
          <w:b/>
          <w:i/>
          <w:sz w:val="24"/>
          <w:szCs w:val="24"/>
        </w:rPr>
        <w:t>datem 1.září 20</w:t>
      </w:r>
      <w:r w:rsidR="00767F4A">
        <w:rPr>
          <w:rStyle w:val="platne"/>
          <w:b/>
          <w:i/>
          <w:sz w:val="24"/>
          <w:szCs w:val="24"/>
        </w:rPr>
        <w:t>22</w:t>
      </w:r>
      <w:r w:rsidRPr="00E54BDA">
        <w:rPr>
          <w:rStyle w:val="platne"/>
          <w:b/>
          <w:i/>
          <w:sz w:val="24"/>
          <w:szCs w:val="24"/>
        </w:rPr>
        <w:t>.</w:t>
      </w:r>
    </w:p>
    <w:p w:rsidR="00402B4D" w:rsidRPr="00E54BDA" w:rsidRDefault="00402B4D" w:rsidP="00402B4D">
      <w:pPr>
        <w:pBdr>
          <w:bottom w:val="single" w:sz="6" w:space="1" w:color="auto"/>
        </w:pBdr>
        <w:spacing w:after="0" w:line="240" w:lineRule="auto"/>
        <w:rPr>
          <w:rStyle w:val="platne"/>
          <w:b/>
          <w:i/>
          <w:sz w:val="24"/>
          <w:szCs w:val="24"/>
        </w:rPr>
      </w:pPr>
    </w:p>
    <w:p w:rsidR="00402B4D" w:rsidRPr="00E54BDA" w:rsidRDefault="00402B4D" w:rsidP="00402B4D">
      <w:pPr>
        <w:spacing w:after="0" w:line="240" w:lineRule="auto"/>
        <w:rPr>
          <w:rStyle w:val="platne"/>
          <w:i/>
          <w:sz w:val="24"/>
          <w:szCs w:val="24"/>
        </w:rPr>
      </w:pPr>
    </w:p>
    <w:p w:rsidR="00402B4D" w:rsidRPr="00E54BDA" w:rsidRDefault="00BF5E2F" w:rsidP="00402B4D">
      <w:pPr>
        <w:spacing w:after="0" w:line="240" w:lineRule="auto"/>
        <w:rPr>
          <w:rStyle w:val="platne"/>
          <w:sz w:val="24"/>
          <w:szCs w:val="24"/>
          <w:u w:val="single"/>
        </w:rPr>
      </w:pPr>
      <w:r w:rsidRPr="0080374D">
        <w:rPr>
          <w:rStyle w:val="platne"/>
          <w:sz w:val="24"/>
          <w:szCs w:val="24"/>
        </w:rPr>
        <w:t xml:space="preserve">I. </w:t>
      </w:r>
      <w:r w:rsidR="00402B4D" w:rsidRPr="0080374D">
        <w:rPr>
          <w:rStyle w:val="platne"/>
          <w:sz w:val="24"/>
          <w:szCs w:val="24"/>
          <w:u w:val="single"/>
        </w:rPr>
        <w:t>Náplň a trvání závazků veřejné služby:</w:t>
      </w:r>
    </w:p>
    <w:p w:rsidR="00C3543E" w:rsidRDefault="00C3543E" w:rsidP="00402B4D">
      <w:pPr>
        <w:spacing w:after="0" w:line="240" w:lineRule="auto"/>
        <w:jc w:val="both"/>
        <w:rPr>
          <w:rStyle w:val="platne"/>
          <w:sz w:val="24"/>
          <w:szCs w:val="24"/>
        </w:rPr>
      </w:pPr>
    </w:p>
    <w:p w:rsidR="00BF5E2F" w:rsidRDefault="00402B4D" w:rsidP="008F6F5B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Style w:val="platne"/>
          <w:sz w:val="24"/>
          <w:szCs w:val="24"/>
        </w:rPr>
      </w:pPr>
      <w:r w:rsidRPr="008F6F5B">
        <w:rPr>
          <w:rStyle w:val="platne"/>
          <w:sz w:val="24"/>
          <w:szCs w:val="24"/>
        </w:rPr>
        <w:t xml:space="preserve">Pověřovatel </w:t>
      </w:r>
      <w:r w:rsidRPr="008F6F5B">
        <w:rPr>
          <w:sz w:val="24"/>
          <w:szCs w:val="24"/>
        </w:rPr>
        <w:t xml:space="preserve">Město Bruntál, se sídlem Nádražní 994/20, 792 01 Bruntál, IČ: 00295892 </w:t>
      </w:r>
      <w:r w:rsidRPr="008F6F5B">
        <w:rPr>
          <w:rStyle w:val="platne"/>
          <w:sz w:val="24"/>
          <w:szCs w:val="24"/>
        </w:rPr>
        <w:t xml:space="preserve">je zakladatelem a jediným společníkem společnosti </w:t>
      </w:r>
      <w:r w:rsidRPr="008F6F5B">
        <w:rPr>
          <w:b/>
          <w:sz w:val="24"/>
          <w:szCs w:val="24"/>
        </w:rPr>
        <w:t xml:space="preserve">TS Bruntál, s.r.o., </w:t>
      </w:r>
      <w:r w:rsidRPr="008F6F5B">
        <w:rPr>
          <w:sz w:val="24"/>
          <w:szCs w:val="24"/>
        </w:rPr>
        <w:t xml:space="preserve">se sídlem </w:t>
      </w:r>
      <w:r w:rsidRPr="008F6F5B">
        <w:rPr>
          <w:rStyle w:val="platne"/>
          <w:sz w:val="24"/>
          <w:szCs w:val="24"/>
        </w:rPr>
        <w:t>Bruntál, Zeyerova 12, PSČ 792 01, IČ: 25823337, zapsaná v obchodním rejstříku vedeném u Krajského soudu v Ostravě, oddíl C, vložka číslo 19499.</w:t>
      </w:r>
      <w:r w:rsidR="00C3543E" w:rsidRPr="008F6F5B">
        <w:rPr>
          <w:rStyle w:val="platne"/>
          <w:sz w:val="24"/>
          <w:szCs w:val="24"/>
        </w:rPr>
        <w:t xml:space="preserve"> </w:t>
      </w:r>
      <w:r w:rsidRPr="008F6F5B">
        <w:rPr>
          <w:rStyle w:val="platne"/>
          <w:sz w:val="24"/>
          <w:szCs w:val="24"/>
        </w:rPr>
        <w:t xml:space="preserve">Hlavním účelem společnosti </w:t>
      </w:r>
      <w:r w:rsidR="00C3543E" w:rsidRPr="008F6F5B">
        <w:rPr>
          <w:rStyle w:val="platne"/>
          <w:sz w:val="24"/>
          <w:szCs w:val="24"/>
        </w:rPr>
        <w:t xml:space="preserve">TS Bruntál, s.r.o. </w:t>
      </w:r>
      <w:r w:rsidRPr="008F6F5B">
        <w:rPr>
          <w:rStyle w:val="platne"/>
          <w:sz w:val="24"/>
          <w:szCs w:val="24"/>
        </w:rPr>
        <w:t xml:space="preserve">je </w:t>
      </w:r>
      <w:r w:rsidR="00C3543E" w:rsidRPr="008F6F5B">
        <w:rPr>
          <w:rStyle w:val="platne"/>
          <w:sz w:val="24"/>
          <w:szCs w:val="24"/>
        </w:rPr>
        <w:t>po</w:t>
      </w:r>
      <w:r w:rsidR="0003517D" w:rsidRPr="008F6F5B">
        <w:rPr>
          <w:rStyle w:val="platne"/>
          <w:sz w:val="24"/>
          <w:szCs w:val="24"/>
        </w:rPr>
        <w:t>dle její zakladatelské listiny údržba místních komunikací, likvidace komunálního odpadu, správa zeleně a osvětlení, pohřebnictv</w:t>
      </w:r>
      <w:r w:rsidR="00C3543E" w:rsidRPr="008F6F5B">
        <w:rPr>
          <w:rStyle w:val="platne"/>
          <w:sz w:val="24"/>
          <w:szCs w:val="24"/>
        </w:rPr>
        <w:t xml:space="preserve">í a správa sportovních zařízení, </w:t>
      </w:r>
      <w:r w:rsidR="0003517D" w:rsidRPr="008F6F5B">
        <w:rPr>
          <w:rStyle w:val="platne"/>
          <w:sz w:val="24"/>
          <w:szCs w:val="24"/>
        </w:rPr>
        <w:t>to vše zejména na území města Bruntál.</w:t>
      </w:r>
      <w:r w:rsidR="00BF5E2F" w:rsidRPr="008F6F5B">
        <w:rPr>
          <w:rStyle w:val="platne"/>
          <w:sz w:val="24"/>
          <w:szCs w:val="24"/>
        </w:rPr>
        <w:t xml:space="preserve"> </w:t>
      </w:r>
    </w:p>
    <w:p w:rsidR="00132645" w:rsidRPr="0080374D" w:rsidRDefault="00053063" w:rsidP="00BF5E2F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80374D">
        <w:rPr>
          <w:rStyle w:val="platne"/>
          <w:sz w:val="24"/>
          <w:szCs w:val="24"/>
        </w:rPr>
        <w:t xml:space="preserve">Tímto pověřovacím aktem je řešen </w:t>
      </w:r>
      <w:r w:rsidR="00C3543E" w:rsidRPr="0080374D">
        <w:rPr>
          <w:rStyle w:val="platne"/>
          <w:sz w:val="24"/>
          <w:szCs w:val="24"/>
        </w:rPr>
        <w:t>dosud ztrátový provoz víceúčelové sportovní haly ve vlastnictví pověřovatele za účelem</w:t>
      </w:r>
      <w:r w:rsidR="00C3543E" w:rsidRPr="0080374D">
        <w:rPr>
          <w:rFonts w:cstheme="minorHAnsi"/>
          <w:snapToGrid w:val="0"/>
          <w:sz w:val="24"/>
          <w:szCs w:val="24"/>
        </w:rPr>
        <w:t xml:space="preserve"> využití</w:t>
      </w:r>
      <w:r w:rsidR="00C3543E" w:rsidRPr="0080374D">
        <w:rPr>
          <w:rFonts w:cstheme="minorHAnsi"/>
          <w:sz w:val="24"/>
          <w:szCs w:val="24"/>
        </w:rPr>
        <w:t xml:space="preserve"> víceúčelové sportovní haly pro kulturní a sportovní potřeby, včetně pořádání společenských akcí, koncertů, apod.; </w:t>
      </w:r>
      <w:r w:rsidR="00303E9D" w:rsidRPr="008F6F5B">
        <w:rPr>
          <w:rFonts w:cstheme="minorHAnsi"/>
          <w:sz w:val="24"/>
          <w:szCs w:val="24"/>
        </w:rPr>
        <w:t xml:space="preserve">sportovní </w:t>
      </w:r>
      <w:r w:rsidR="00C3543E" w:rsidRPr="0080374D">
        <w:rPr>
          <w:rFonts w:cstheme="minorHAnsi"/>
          <w:sz w:val="24"/>
          <w:szCs w:val="24"/>
        </w:rPr>
        <w:t>hala bude využívána buď přímo poskytovatelem, či poskytovatelem dávána do podnájmu sportovním klubům, sportovcům a ostatní veřejnosti</w:t>
      </w:r>
      <w:r w:rsidR="00C3543E" w:rsidRPr="0080374D">
        <w:rPr>
          <w:rFonts w:cstheme="minorHAnsi"/>
          <w:snapToGrid w:val="0"/>
          <w:color w:val="000000"/>
          <w:sz w:val="24"/>
        </w:rPr>
        <w:t xml:space="preserve">. Víceúčelovou sportovní halou se rozumí budova č.p. 1502, část obce Bruntál, v obci Bruntál a katastrálním území </w:t>
      </w:r>
      <w:proofErr w:type="gramStart"/>
      <w:r w:rsidR="00C3543E" w:rsidRPr="0080374D">
        <w:rPr>
          <w:rFonts w:cstheme="minorHAnsi"/>
          <w:snapToGrid w:val="0"/>
          <w:color w:val="000000"/>
          <w:sz w:val="24"/>
        </w:rPr>
        <w:t>Bruntál - město</w:t>
      </w:r>
      <w:proofErr w:type="gramEnd"/>
      <w:r w:rsidR="00C3543E" w:rsidRPr="0080374D">
        <w:rPr>
          <w:rFonts w:cstheme="minorHAnsi"/>
          <w:snapToGrid w:val="0"/>
          <w:color w:val="000000"/>
          <w:sz w:val="24"/>
        </w:rPr>
        <w:t>,</w:t>
      </w:r>
      <w:r w:rsidR="00C3543E" w:rsidRPr="0080374D">
        <w:rPr>
          <w:rFonts w:cstheme="minorHAnsi"/>
          <w:snapToGrid w:val="0"/>
          <w:color w:val="000000"/>
          <w:sz w:val="24"/>
          <w:szCs w:val="24"/>
        </w:rPr>
        <w:t xml:space="preserve"> způsob využití vedený v katastru nemovitostí </w:t>
      </w:r>
      <w:r w:rsidR="00C3543E" w:rsidRPr="0080374D">
        <w:rPr>
          <w:rFonts w:cstheme="minorHAnsi"/>
          <w:i/>
          <w:snapToGrid w:val="0"/>
          <w:color w:val="000000"/>
          <w:sz w:val="24"/>
          <w:szCs w:val="24"/>
        </w:rPr>
        <w:t>stavba občanského vybavení</w:t>
      </w:r>
      <w:r w:rsidR="00C3543E" w:rsidRPr="0080374D">
        <w:rPr>
          <w:rFonts w:cstheme="minorHAnsi"/>
          <w:snapToGrid w:val="0"/>
          <w:color w:val="000000"/>
          <w:sz w:val="24"/>
          <w:szCs w:val="24"/>
        </w:rPr>
        <w:t xml:space="preserve">, </w:t>
      </w:r>
      <w:r w:rsidR="00C3543E" w:rsidRPr="0080374D">
        <w:rPr>
          <w:rFonts w:cstheme="minorHAnsi"/>
          <w:snapToGrid w:val="0"/>
          <w:color w:val="000000"/>
          <w:sz w:val="24"/>
        </w:rPr>
        <w:t>postavená na pozemku parc.č.1806/2 – zastavěná plocha a nádvoří, katastrální území Bruntál – město, jak je tato nemovitost</w:t>
      </w:r>
      <w:r w:rsidR="00C3543E" w:rsidRPr="0080374D">
        <w:rPr>
          <w:rFonts w:cstheme="minorHAnsi"/>
          <w:snapToGrid w:val="0"/>
          <w:color w:val="000000"/>
          <w:sz w:val="24"/>
          <w:szCs w:val="24"/>
        </w:rPr>
        <w:t xml:space="preserve"> zapsána na LV č. 1870 u Katastrálního úřadu pro Moravskoslezský kraj, Katastrální pracoviště Bruntál. </w:t>
      </w:r>
    </w:p>
    <w:p w:rsidR="00132645" w:rsidRPr="0080374D" w:rsidRDefault="00132645" w:rsidP="00132645">
      <w:pPr>
        <w:pStyle w:val="Odstavecseseznamem"/>
        <w:rPr>
          <w:rFonts w:cstheme="minorHAnsi"/>
          <w:snapToGrid w:val="0"/>
          <w:color w:val="000000"/>
          <w:sz w:val="24"/>
          <w:szCs w:val="24"/>
        </w:rPr>
      </w:pPr>
    </w:p>
    <w:p w:rsidR="00132645" w:rsidRPr="0080374D" w:rsidRDefault="00395172" w:rsidP="00132645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80374D">
        <w:rPr>
          <w:sz w:val="24"/>
          <w:szCs w:val="24"/>
        </w:rPr>
        <w:lastRenderedPageBreak/>
        <w:t xml:space="preserve">Poskytovatel TS Bruntál, s.r.o. je povinen </w:t>
      </w:r>
      <w:r w:rsidR="00BF5E2F" w:rsidRPr="0080374D">
        <w:rPr>
          <w:sz w:val="24"/>
          <w:szCs w:val="24"/>
        </w:rPr>
        <w:t>vést</w:t>
      </w:r>
      <w:r w:rsidR="00132645" w:rsidRPr="0080374D">
        <w:rPr>
          <w:sz w:val="24"/>
          <w:szCs w:val="24"/>
        </w:rPr>
        <w:t xml:space="preserve"> v rámci své účetní evidence odděleně náklady a výnosy (tzn. náklady a výnosy organizačního a účetního střediska „Sportovní hala, ul. Zeyerova, Bruntál“), a to za účelem správného a prokazatelného určení ztráty z provozu Sportovní haly, ul. Zeyerova, Bruntál. Tzn. že účetnictví poskytovatele TS Bruntál bude odděleně evidovat náklady a výnosy služeb obecného hospodářského zájmu od nákladů a </w:t>
      </w:r>
      <w:proofErr w:type="gramStart"/>
      <w:r w:rsidR="00132645" w:rsidRPr="0080374D">
        <w:rPr>
          <w:sz w:val="24"/>
          <w:szCs w:val="24"/>
        </w:rPr>
        <w:t>výnosů  jiných</w:t>
      </w:r>
      <w:proofErr w:type="gramEnd"/>
      <w:r w:rsidR="00132645" w:rsidRPr="0080374D">
        <w:rPr>
          <w:sz w:val="24"/>
          <w:szCs w:val="24"/>
        </w:rPr>
        <w:t xml:space="preserve"> (komerčních) aktivit.</w:t>
      </w:r>
    </w:p>
    <w:p w:rsidR="00132645" w:rsidRPr="00132645" w:rsidRDefault="00132645" w:rsidP="00132645">
      <w:pPr>
        <w:pStyle w:val="Odstavecseseznamem"/>
        <w:rPr>
          <w:sz w:val="24"/>
          <w:szCs w:val="24"/>
          <w:highlight w:val="green"/>
        </w:rPr>
      </w:pPr>
    </w:p>
    <w:p w:rsidR="001D52E7" w:rsidRPr="0080374D" w:rsidRDefault="001D52E7" w:rsidP="00132645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Style w:val="platne"/>
          <w:sz w:val="24"/>
          <w:szCs w:val="24"/>
        </w:rPr>
      </w:pPr>
      <w:r w:rsidRPr="0080374D">
        <w:rPr>
          <w:sz w:val="24"/>
          <w:szCs w:val="24"/>
        </w:rPr>
        <w:t xml:space="preserve">Poskytovatel </w:t>
      </w:r>
      <w:r w:rsidRPr="0080374D">
        <w:rPr>
          <w:b/>
          <w:sz w:val="24"/>
          <w:szCs w:val="24"/>
        </w:rPr>
        <w:t xml:space="preserve">TS Bruntál, s.r.o., </w:t>
      </w:r>
      <w:r w:rsidRPr="0080374D">
        <w:rPr>
          <w:sz w:val="24"/>
          <w:szCs w:val="24"/>
        </w:rPr>
        <w:t xml:space="preserve">se sídlem </w:t>
      </w:r>
      <w:r w:rsidRPr="0080374D">
        <w:rPr>
          <w:rStyle w:val="platne"/>
          <w:sz w:val="24"/>
          <w:szCs w:val="24"/>
        </w:rPr>
        <w:t xml:space="preserve">Bruntál, Zeyerova 12, PSČ 792 01, IČ: 25823337, zapsaná v obchodním rejstříku vedeném u Krajského soudu v Ostravě, oddíl C, vložka číslo 19499, </w:t>
      </w:r>
      <w:r w:rsidRPr="0080374D">
        <w:rPr>
          <w:rStyle w:val="platne"/>
          <w:b/>
          <w:sz w:val="24"/>
          <w:szCs w:val="24"/>
        </w:rPr>
        <w:t>se zavazuje zabezpečovat služb</w:t>
      </w:r>
      <w:r w:rsidR="00C3543E" w:rsidRPr="0080374D">
        <w:rPr>
          <w:rStyle w:val="platne"/>
          <w:b/>
          <w:sz w:val="24"/>
          <w:szCs w:val="24"/>
        </w:rPr>
        <w:t>u</w:t>
      </w:r>
      <w:r w:rsidRPr="0080374D">
        <w:rPr>
          <w:rStyle w:val="platne"/>
          <w:b/>
          <w:sz w:val="24"/>
          <w:szCs w:val="24"/>
        </w:rPr>
        <w:t xml:space="preserve"> obecného hospodářského zájmu</w:t>
      </w:r>
      <w:r w:rsidR="00BF5E2F" w:rsidRPr="0080374D">
        <w:rPr>
          <w:rStyle w:val="platne"/>
          <w:b/>
          <w:sz w:val="24"/>
          <w:szCs w:val="24"/>
        </w:rPr>
        <w:t>,</w:t>
      </w:r>
      <w:r w:rsidRPr="0080374D">
        <w:rPr>
          <w:rStyle w:val="platne"/>
          <w:sz w:val="24"/>
          <w:szCs w:val="24"/>
        </w:rPr>
        <w:t xml:space="preserve"> uveden</w:t>
      </w:r>
      <w:r w:rsidR="00BF5E2F" w:rsidRPr="0080374D">
        <w:rPr>
          <w:rStyle w:val="platne"/>
          <w:sz w:val="24"/>
          <w:szCs w:val="24"/>
        </w:rPr>
        <w:t>ou</w:t>
      </w:r>
      <w:r w:rsidRPr="0080374D">
        <w:rPr>
          <w:rStyle w:val="platne"/>
          <w:sz w:val="24"/>
          <w:szCs w:val="24"/>
        </w:rPr>
        <w:t xml:space="preserve"> </w:t>
      </w:r>
      <w:proofErr w:type="gramStart"/>
      <w:r w:rsidRPr="0080374D">
        <w:rPr>
          <w:rStyle w:val="platne"/>
          <w:sz w:val="24"/>
          <w:szCs w:val="24"/>
        </w:rPr>
        <w:t>v  odstavci</w:t>
      </w:r>
      <w:proofErr w:type="gramEnd"/>
      <w:r w:rsidRPr="0080374D">
        <w:rPr>
          <w:rStyle w:val="platne"/>
          <w:sz w:val="24"/>
          <w:szCs w:val="24"/>
        </w:rPr>
        <w:t xml:space="preserve"> </w:t>
      </w:r>
      <w:r w:rsidR="00303E9D" w:rsidRPr="008F6F5B">
        <w:rPr>
          <w:rStyle w:val="platne"/>
          <w:sz w:val="24"/>
          <w:szCs w:val="24"/>
        </w:rPr>
        <w:t>2</w:t>
      </w:r>
      <w:r w:rsidR="00BF5E2F" w:rsidRPr="008F6F5B">
        <w:rPr>
          <w:rStyle w:val="platne"/>
          <w:sz w:val="24"/>
          <w:szCs w:val="24"/>
        </w:rPr>
        <w:t xml:space="preserve"> (</w:t>
      </w:r>
      <w:r w:rsidR="00303E9D" w:rsidRPr="008F6F5B">
        <w:rPr>
          <w:rStyle w:val="platne"/>
          <w:sz w:val="24"/>
          <w:szCs w:val="24"/>
        </w:rPr>
        <w:t>dva</w:t>
      </w:r>
      <w:r w:rsidR="00BF5E2F" w:rsidRPr="008F6F5B">
        <w:rPr>
          <w:rStyle w:val="platne"/>
          <w:sz w:val="24"/>
          <w:szCs w:val="24"/>
        </w:rPr>
        <w:t xml:space="preserve">) </w:t>
      </w:r>
      <w:r w:rsidRPr="008F6F5B">
        <w:rPr>
          <w:rStyle w:val="platne"/>
          <w:sz w:val="24"/>
          <w:szCs w:val="24"/>
        </w:rPr>
        <w:t xml:space="preserve">tohoto pověřovacího aktu, v zájmu zajištění potřeb veřejnosti na tomto úseku veřejného zájmu, v období od </w:t>
      </w:r>
      <w:r w:rsidRPr="000421DA">
        <w:rPr>
          <w:rStyle w:val="platne"/>
          <w:b/>
          <w:sz w:val="24"/>
          <w:szCs w:val="24"/>
        </w:rPr>
        <w:t xml:space="preserve">1. </w:t>
      </w:r>
      <w:r w:rsidR="00F613FF" w:rsidRPr="000421DA">
        <w:rPr>
          <w:rStyle w:val="platne"/>
          <w:b/>
          <w:sz w:val="24"/>
          <w:szCs w:val="24"/>
        </w:rPr>
        <w:t>září</w:t>
      </w:r>
      <w:r w:rsidRPr="000421DA">
        <w:rPr>
          <w:rStyle w:val="platne"/>
          <w:b/>
          <w:sz w:val="24"/>
          <w:szCs w:val="24"/>
        </w:rPr>
        <w:t xml:space="preserve"> 20</w:t>
      </w:r>
      <w:r w:rsidR="00B231E7" w:rsidRPr="000421DA">
        <w:rPr>
          <w:rStyle w:val="platne"/>
          <w:b/>
          <w:sz w:val="24"/>
          <w:szCs w:val="24"/>
        </w:rPr>
        <w:t>22</w:t>
      </w:r>
      <w:r w:rsidRPr="008F6F5B">
        <w:rPr>
          <w:rStyle w:val="platne"/>
          <w:sz w:val="24"/>
          <w:szCs w:val="24"/>
        </w:rPr>
        <w:t xml:space="preserve"> </w:t>
      </w:r>
      <w:r w:rsidRPr="008F6F5B">
        <w:rPr>
          <w:rStyle w:val="platne"/>
          <w:b/>
          <w:sz w:val="24"/>
          <w:szCs w:val="24"/>
        </w:rPr>
        <w:t>po dobu 1</w:t>
      </w:r>
      <w:r w:rsidR="00767F4A">
        <w:rPr>
          <w:rStyle w:val="platne"/>
          <w:b/>
          <w:sz w:val="24"/>
          <w:szCs w:val="24"/>
        </w:rPr>
        <w:t>6 měsíců</w:t>
      </w:r>
      <w:r w:rsidR="00303E9D" w:rsidRPr="008F6F5B">
        <w:rPr>
          <w:rStyle w:val="platne"/>
          <w:b/>
          <w:sz w:val="24"/>
          <w:szCs w:val="24"/>
        </w:rPr>
        <w:t>, tj. do 31.</w:t>
      </w:r>
      <w:r w:rsidR="000421DA">
        <w:rPr>
          <w:rStyle w:val="platne"/>
          <w:b/>
          <w:sz w:val="24"/>
          <w:szCs w:val="24"/>
        </w:rPr>
        <w:t>12</w:t>
      </w:r>
      <w:r w:rsidR="00303E9D" w:rsidRPr="008F6F5B">
        <w:rPr>
          <w:rStyle w:val="platne"/>
          <w:b/>
          <w:sz w:val="24"/>
          <w:szCs w:val="24"/>
        </w:rPr>
        <w:t>.202</w:t>
      </w:r>
      <w:r w:rsidR="000421DA">
        <w:rPr>
          <w:rStyle w:val="platne"/>
          <w:b/>
          <w:sz w:val="24"/>
          <w:szCs w:val="24"/>
        </w:rPr>
        <w:t>3</w:t>
      </w:r>
      <w:r w:rsidRPr="008F6F5B">
        <w:rPr>
          <w:rStyle w:val="platne"/>
          <w:sz w:val="24"/>
          <w:szCs w:val="24"/>
        </w:rPr>
        <w:t>.</w:t>
      </w:r>
      <w:r w:rsidR="00B75EAC" w:rsidRPr="008F6F5B">
        <w:rPr>
          <w:rStyle w:val="platne"/>
          <w:sz w:val="24"/>
          <w:szCs w:val="24"/>
        </w:rPr>
        <w:t xml:space="preserve"> Tento závazek je blíže specifikován v samostatn</w:t>
      </w:r>
      <w:r w:rsidR="00BF5E2F" w:rsidRPr="008F6F5B">
        <w:rPr>
          <w:rStyle w:val="platne"/>
          <w:sz w:val="24"/>
          <w:szCs w:val="24"/>
        </w:rPr>
        <w:t>é</w:t>
      </w:r>
      <w:r w:rsidR="00B75EAC" w:rsidRPr="008F6F5B">
        <w:rPr>
          <w:rStyle w:val="platne"/>
          <w:sz w:val="24"/>
          <w:szCs w:val="24"/>
        </w:rPr>
        <w:t xml:space="preserve"> </w:t>
      </w:r>
      <w:r w:rsidR="00BF5E2F" w:rsidRPr="008F6F5B">
        <w:rPr>
          <w:rStyle w:val="platne"/>
          <w:sz w:val="24"/>
          <w:szCs w:val="24"/>
        </w:rPr>
        <w:t xml:space="preserve">nájemní </w:t>
      </w:r>
      <w:r w:rsidR="00B75EAC" w:rsidRPr="008F6F5B">
        <w:rPr>
          <w:rStyle w:val="platne"/>
          <w:sz w:val="24"/>
          <w:szCs w:val="24"/>
        </w:rPr>
        <w:t>smlouv</w:t>
      </w:r>
      <w:r w:rsidR="00BF5E2F" w:rsidRPr="008F6F5B">
        <w:rPr>
          <w:rStyle w:val="platne"/>
          <w:sz w:val="24"/>
          <w:szCs w:val="24"/>
        </w:rPr>
        <w:t>ě</w:t>
      </w:r>
      <w:r w:rsidR="00B75EAC" w:rsidRPr="008F6F5B">
        <w:rPr>
          <w:rStyle w:val="platne"/>
          <w:sz w:val="24"/>
          <w:szCs w:val="24"/>
        </w:rPr>
        <w:t>, sjednan</w:t>
      </w:r>
      <w:r w:rsidR="00BF5E2F" w:rsidRPr="008F6F5B">
        <w:rPr>
          <w:rStyle w:val="platne"/>
          <w:sz w:val="24"/>
          <w:szCs w:val="24"/>
        </w:rPr>
        <w:t>é</w:t>
      </w:r>
      <w:r w:rsidR="00B75EAC" w:rsidRPr="008F6F5B">
        <w:rPr>
          <w:rStyle w:val="platne"/>
          <w:sz w:val="24"/>
          <w:szCs w:val="24"/>
        </w:rPr>
        <w:t xml:space="preserve"> mezi poskytovatelem</w:t>
      </w:r>
      <w:r w:rsidR="00B75EAC" w:rsidRPr="0080374D">
        <w:rPr>
          <w:rStyle w:val="platne"/>
          <w:sz w:val="24"/>
          <w:szCs w:val="24"/>
        </w:rPr>
        <w:t xml:space="preserve"> a pověřovatelem.</w:t>
      </w:r>
      <w:r w:rsidR="00423833" w:rsidRPr="0080374D">
        <w:rPr>
          <w:rStyle w:val="platne"/>
          <w:sz w:val="24"/>
          <w:szCs w:val="24"/>
        </w:rPr>
        <w:t xml:space="preserve"> </w:t>
      </w:r>
    </w:p>
    <w:p w:rsidR="00395172" w:rsidRPr="0080374D" w:rsidRDefault="00395172" w:rsidP="001D52E7">
      <w:pPr>
        <w:spacing w:after="0" w:line="240" w:lineRule="auto"/>
        <w:jc w:val="both"/>
        <w:rPr>
          <w:rStyle w:val="platne"/>
          <w:i/>
          <w:sz w:val="24"/>
          <w:szCs w:val="24"/>
        </w:rPr>
      </w:pPr>
    </w:p>
    <w:p w:rsidR="00BF5E2F" w:rsidRPr="0080374D" w:rsidRDefault="00BF5E2F" w:rsidP="003B1594">
      <w:pPr>
        <w:spacing w:after="0" w:line="240" w:lineRule="auto"/>
        <w:jc w:val="both"/>
        <w:rPr>
          <w:rStyle w:val="platne"/>
          <w:sz w:val="24"/>
          <w:szCs w:val="24"/>
          <w:u w:val="single"/>
        </w:rPr>
      </w:pPr>
    </w:p>
    <w:p w:rsidR="003B1594" w:rsidRPr="0080374D" w:rsidRDefault="00BF5E2F" w:rsidP="003B1594">
      <w:pPr>
        <w:spacing w:after="0" w:line="240" w:lineRule="auto"/>
        <w:jc w:val="both"/>
        <w:rPr>
          <w:rStyle w:val="platne"/>
          <w:sz w:val="24"/>
          <w:szCs w:val="24"/>
          <w:u w:val="single"/>
        </w:rPr>
      </w:pPr>
      <w:r w:rsidRPr="0080374D">
        <w:rPr>
          <w:rStyle w:val="platne"/>
          <w:sz w:val="24"/>
          <w:szCs w:val="24"/>
        </w:rPr>
        <w:t xml:space="preserve">II. </w:t>
      </w:r>
      <w:r w:rsidR="003B1594" w:rsidRPr="0080374D">
        <w:rPr>
          <w:rStyle w:val="platne"/>
          <w:sz w:val="24"/>
          <w:szCs w:val="24"/>
          <w:u w:val="single"/>
        </w:rPr>
        <w:t>Mechanismus a výpočet pro kontrolu a přezkoumání vyrovnávací platby:</w:t>
      </w:r>
    </w:p>
    <w:p w:rsidR="00BF5E2F" w:rsidRPr="0080374D" w:rsidRDefault="00BF5E2F" w:rsidP="000D29FC">
      <w:pPr>
        <w:spacing w:after="0" w:line="240" w:lineRule="auto"/>
        <w:jc w:val="both"/>
        <w:rPr>
          <w:rStyle w:val="platne"/>
          <w:sz w:val="24"/>
          <w:szCs w:val="24"/>
        </w:rPr>
      </w:pPr>
    </w:p>
    <w:p w:rsidR="00895C03" w:rsidRDefault="00DD3C3F" w:rsidP="000D29FC">
      <w:pPr>
        <w:spacing w:after="0" w:line="240" w:lineRule="auto"/>
        <w:jc w:val="both"/>
        <w:rPr>
          <w:rStyle w:val="platne"/>
          <w:sz w:val="24"/>
          <w:szCs w:val="24"/>
        </w:rPr>
      </w:pPr>
      <w:r w:rsidRPr="0080374D">
        <w:rPr>
          <w:rStyle w:val="platne"/>
          <w:sz w:val="24"/>
          <w:szCs w:val="24"/>
        </w:rPr>
        <w:t xml:space="preserve">Pověřovatel určuje, že předmětem financování vyrovnávací platbou je zajištění provozu </w:t>
      </w:r>
      <w:r w:rsidR="00BF5E2F" w:rsidRPr="0080374D">
        <w:rPr>
          <w:rStyle w:val="platne"/>
          <w:sz w:val="24"/>
          <w:szCs w:val="24"/>
        </w:rPr>
        <w:t xml:space="preserve">víceúčelové sportovní haly, uvedené v článku I odst. </w:t>
      </w:r>
      <w:r w:rsidR="00303E9D" w:rsidRPr="00F07B4D">
        <w:rPr>
          <w:rStyle w:val="platne"/>
          <w:sz w:val="24"/>
          <w:szCs w:val="24"/>
        </w:rPr>
        <w:t>2</w:t>
      </w:r>
      <w:r w:rsidR="00BF5E2F" w:rsidRPr="0080374D">
        <w:rPr>
          <w:rStyle w:val="platne"/>
          <w:sz w:val="24"/>
          <w:szCs w:val="24"/>
        </w:rPr>
        <w:t xml:space="preserve"> tohoto Pověřovacího aktu.</w:t>
      </w:r>
      <w:r>
        <w:rPr>
          <w:rStyle w:val="platne"/>
          <w:sz w:val="24"/>
          <w:szCs w:val="24"/>
        </w:rPr>
        <w:t xml:space="preserve"> </w:t>
      </w:r>
    </w:p>
    <w:p w:rsidR="00BF5E2F" w:rsidRPr="00BF5E2F" w:rsidRDefault="00BF5E2F" w:rsidP="00BF5E2F">
      <w:pPr>
        <w:spacing w:after="0" w:line="240" w:lineRule="auto"/>
        <w:ind w:left="360"/>
        <w:jc w:val="both"/>
        <w:rPr>
          <w:rStyle w:val="platne"/>
          <w:sz w:val="24"/>
          <w:szCs w:val="24"/>
        </w:rPr>
      </w:pPr>
    </w:p>
    <w:p w:rsidR="00660426" w:rsidRPr="008F6F5B" w:rsidRDefault="00660426" w:rsidP="008F6F5B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Style w:val="platne"/>
          <w:sz w:val="24"/>
          <w:szCs w:val="24"/>
        </w:rPr>
      </w:pPr>
      <w:r w:rsidRPr="008F6F5B">
        <w:rPr>
          <w:rStyle w:val="platne"/>
          <w:sz w:val="24"/>
          <w:szCs w:val="24"/>
        </w:rPr>
        <w:t xml:space="preserve">Výše vyrovnávací platby na každý kalendářní rok vychází z  návrhu rozpočtu, který poskytovatel služby obecného hospodářského zájmu předkládá Městu Bruntál vždy nejpozději do posledního dne měsíce října roku předcházejícího roku, na který se návrh rozpočtu překládá. Návrh rozpočtu vychází z analýzy předpokládaných nákladů a výnosů. Pověřovatel zhodnotí předložený návrh, když na základě vstupních údajů (přehled předpokládaných nákladů a výnosů) stanoví předpokládanou výši vyrovnávací platby vždy pro následující kalendářní rok v rámci procesu schvalování návrhu rozpočtu Města Bruntál. Takto pověřovatel pravidelně stanoví na každý kalendářní rok předpokládanou roční výši vyrovnávací platby pro zajištění služby obecného hospodářského </w:t>
      </w:r>
      <w:proofErr w:type="gramStart"/>
      <w:r w:rsidRPr="008F6F5B">
        <w:rPr>
          <w:rStyle w:val="platne"/>
          <w:sz w:val="24"/>
          <w:szCs w:val="24"/>
        </w:rPr>
        <w:t xml:space="preserve">zájmu - </w:t>
      </w:r>
      <w:r w:rsidRPr="008F6F5B">
        <w:rPr>
          <w:rStyle w:val="platne"/>
          <w:b/>
          <w:sz w:val="24"/>
          <w:szCs w:val="24"/>
        </w:rPr>
        <w:t>provoz</w:t>
      </w:r>
      <w:proofErr w:type="gramEnd"/>
      <w:r w:rsidRPr="008F6F5B">
        <w:rPr>
          <w:rStyle w:val="platne"/>
          <w:b/>
          <w:sz w:val="24"/>
          <w:szCs w:val="24"/>
        </w:rPr>
        <w:t xml:space="preserve"> Sportovní haly, ul. Zeyerova</w:t>
      </w:r>
      <w:r w:rsidRPr="008F6F5B">
        <w:rPr>
          <w:rFonts w:cstheme="minorHAnsi"/>
          <w:b/>
          <w:snapToGrid w:val="0"/>
          <w:sz w:val="24"/>
        </w:rPr>
        <w:t xml:space="preserve"> č.p. 1502</w:t>
      </w:r>
      <w:r w:rsidRPr="008F6F5B">
        <w:rPr>
          <w:rStyle w:val="platne"/>
          <w:b/>
          <w:sz w:val="24"/>
          <w:szCs w:val="24"/>
        </w:rPr>
        <w:t>, Bruntál</w:t>
      </w:r>
      <w:r w:rsidRPr="008F6F5B">
        <w:rPr>
          <w:rStyle w:val="platne"/>
          <w:sz w:val="24"/>
          <w:szCs w:val="24"/>
        </w:rPr>
        <w:t xml:space="preserve">. Dle tohoto schváleného rozpočtu pověřovatel poukazuje poskytovateli poměrnou část vyrovnávací platby v měsíčních platbách, vždy na základě poskytovatelem vystavené zálohové faktury. </w:t>
      </w:r>
    </w:p>
    <w:p w:rsidR="00660426" w:rsidRPr="008F6F5B" w:rsidRDefault="00660426" w:rsidP="008F6F5B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Style w:val="platne"/>
          <w:sz w:val="24"/>
          <w:szCs w:val="24"/>
        </w:rPr>
      </w:pPr>
      <w:r w:rsidRPr="008F6F5B">
        <w:rPr>
          <w:rStyle w:val="platne"/>
          <w:sz w:val="24"/>
          <w:szCs w:val="24"/>
        </w:rPr>
        <w:t>Pro rok 20</w:t>
      </w:r>
      <w:r w:rsidR="000421DA">
        <w:rPr>
          <w:rStyle w:val="platne"/>
          <w:sz w:val="24"/>
          <w:szCs w:val="24"/>
        </w:rPr>
        <w:t>22</w:t>
      </w:r>
      <w:r w:rsidRPr="008F6F5B">
        <w:rPr>
          <w:rStyle w:val="platne"/>
          <w:sz w:val="24"/>
          <w:szCs w:val="24"/>
        </w:rPr>
        <w:t xml:space="preserve"> je měsíční výše vyrovnávací platby stanovena na částku </w:t>
      </w:r>
      <w:r w:rsidR="00B5541D" w:rsidRPr="00F24CA5">
        <w:rPr>
          <w:rStyle w:val="platne"/>
          <w:b/>
          <w:sz w:val="24"/>
          <w:szCs w:val="24"/>
        </w:rPr>
        <w:t>82.583</w:t>
      </w:r>
      <w:r w:rsidRPr="00F24CA5">
        <w:rPr>
          <w:rStyle w:val="platne"/>
          <w:b/>
          <w:sz w:val="24"/>
          <w:szCs w:val="24"/>
        </w:rPr>
        <w:t>,- Kč</w:t>
      </w:r>
      <w:r w:rsidRPr="008F6F5B">
        <w:rPr>
          <w:rStyle w:val="platne"/>
          <w:sz w:val="24"/>
          <w:szCs w:val="24"/>
        </w:rPr>
        <w:t>, bez DPH.</w:t>
      </w:r>
      <w:r w:rsidR="00303E9D" w:rsidRPr="008F6F5B">
        <w:rPr>
          <w:rStyle w:val="platne"/>
          <w:sz w:val="24"/>
          <w:szCs w:val="24"/>
        </w:rPr>
        <w:t xml:space="preserve"> První platba bude provedena v měsíci září na měsíc září 20</w:t>
      </w:r>
      <w:r w:rsidR="000421DA">
        <w:rPr>
          <w:rStyle w:val="platne"/>
          <w:sz w:val="24"/>
          <w:szCs w:val="24"/>
        </w:rPr>
        <w:t>22</w:t>
      </w:r>
      <w:r w:rsidR="00303E9D" w:rsidRPr="008F6F5B">
        <w:rPr>
          <w:rStyle w:val="platne"/>
          <w:sz w:val="24"/>
          <w:szCs w:val="24"/>
        </w:rPr>
        <w:t xml:space="preserve">. </w:t>
      </w:r>
    </w:p>
    <w:p w:rsidR="004F152E" w:rsidRPr="004F152E" w:rsidRDefault="004F152E" w:rsidP="004F152E">
      <w:pPr>
        <w:spacing w:after="0" w:line="240" w:lineRule="auto"/>
        <w:ind w:left="284"/>
        <w:jc w:val="both"/>
        <w:rPr>
          <w:rStyle w:val="platne"/>
          <w:sz w:val="24"/>
          <w:szCs w:val="24"/>
        </w:rPr>
      </w:pPr>
    </w:p>
    <w:p w:rsidR="004F152E" w:rsidRPr="008F6F5B" w:rsidRDefault="00895C03" w:rsidP="00303E9D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Style w:val="platne"/>
          <w:sz w:val="24"/>
          <w:szCs w:val="24"/>
        </w:rPr>
      </w:pPr>
      <w:r w:rsidRPr="004F152E">
        <w:rPr>
          <w:rStyle w:val="platne"/>
          <w:sz w:val="24"/>
          <w:szCs w:val="24"/>
        </w:rPr>
        <w:t xml:space="preserve">Poskytovatel služby obecného hospodářského zájmu je povinen předložit pověřovateli vždy nejpozději do </w:t>
      </w:r>
      <w:r w:rsidR="00303E9D" w:rsidRPr="008F6F5B">
        <w:rPr>
          <w:rStyle w:val="platne"/>
          <w:sz w:val="24"/>
          <w:szCs w:val="24"/>
        </w:rPr>
        <w:t>31.</w:t>
      </w:r>
      <w:r w:rsidRPr="008F6F5B">
        <w:rPr>
          <w:rStyle w:val="platne"/>
          <w:sz w:val="24"/>
          <w:szCs w:val="24"/>
        </w:rPr>
        <w:t xml:space="preserve"> března následujícího roku výsledek hospodaření poskytovatele v rozsahu </w:t>
      </w:r>
      <w:r w:rsidR="00953CCB" w:rsidRPr="008F6F5B">
        <w:rPr>
          <w:rStyle w:val="platne"/>
          <w:sz w:val="24"/>
          <w:szCs w:val="24"/>
        </w:rPr>
        <w:t>věcného vyhodnocení hospodaření</w:t>
      </w:r>
      <w:r w:rsidRPr="008F6F5B">
        <w:rPr>
          <w:rStyle w:val="platne"/>
          <w:sz w:val="24"/>
          <w:szCs w:val="24"/>
        </w:rPr>
        <w:t xml:space="preserve">, včetně </w:t>
      </w:r>
      <w:r w:rsidR="00303E9D" w:rsidRPr="008F6F5B">
        <w:rPr>
          <w:rStyle w:val="platne"/>
          <w:sz w:val="24"/>
          <w:szCs w:val="24"/>
        </w:rPr>
        <w:t xml:space="preserve">vzájemně odsouhlaseného </w:t>
      </w:r>
      <w:r w:rsidRPr="008F6F5B">
        <w:rPr>
          <w:rStyle w:val="platne"/>
          <w:sz w:val="24"/>
          <w:szCs w:val="24"/>
        </w:rPr>
        <w:t>podílu režijních nákladů a přiměřeného zisku.</w:t>
      </w:r>
    </w:p>
    <w:p w:rsidR="004F152E" w:rsidRPr="004F152E" w:rsidRDefault="004F152E" w:rsidP="004F152E">
      <w:pPr>
        <w:pStyle w:val="Odstavecseseznamem"/>
        <w:rPr>
          <w:rStyle w:val="platne"/>
          <w:sz w:val="24"/>
          <w:szCs w:val="24"/>
        </w:rPr>
      </w:pPr>
    </w:p>
    <w:p w:rsidR="00895C03" w:rsidRPr="004F152E" w:rsidRDefault="004E4AD0" w:rsidP="00303E9D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Style w:val="platne"/>
          <w:sz w:val="24"/>
          <w:szCs w:val="24"/>
        </w:rPr>
      </w:pPr>
      <w:r w:rsidRPr="004F152E">
        <w:rPr>
          <w:rStyle w:val="platne"/>
          <w:sz w:val="24"/>
          <w:szCs w:val="24"/>
        </w:rPr>
        <w:t>Zúčtovacím obdobím vyrovnávací platby je kalendářní rok nebo jeho poměrná část v případě, kdy je naplňování závazku veřejné služby zahájeno nebo ukončeno</w:t>
      </w:r>
      <w:r w:rsidR="00AE3EE7">
        <w:rPr>
          <w:rStyle w:val="platne"/>
          <w:sz w:val="24"/>
          <w:szCs w:val="24"/>
        </w:rPr>
        <w:t xml:space="preserve"> v jeho průběhu</w:t>
      </w:r>
      <w:r w:rsidRPr="004F152E">
        <w:rPr>
          <w:rStyle w:val="platne"/>
          <w:sz w:val="24"/>
          <w:szCs w:val="24"/>
        </w:rPr>
        <w:t>.</w:t>
      </w:r>
      <w:r w:rsidR="00953CCB" w:rsidRPr="004F152E">
        <w:rPr>
          <w:rStyle w:val="platne"/>
          <w:sz w:val="24"/>
          <w:szCs w:val="24"/>
        </w:rPr>
        <w:t xml:space="preserve"> Dojde-li</w:t>
      </w:r>
      <w:r w:rsidRPr="004F152E">
        <w:rPr>
          <w:rStyle w:val="platne"/>
          <w:sz w:val="24"/>
          <w:szCs w:val="24"/>
        </w:rPr>
        <w:t xml:space="preserve"> </w:t>
      </w:r>
      <w:r w:rsidR="00953CCB" w:rsidRPr="004F152E">
        <w:rPr>
          <w:rStyle w:val="platne"/>
          <w:sz w:val="24"/>
          <w:szCs w:val="24"/>
        </w:rPr>
        <w:t xml:space="preserve">k zahájení nebo ukončení poskytování služby obecného hospodářského zájmu v průběhu měsíce </w:t>
      </w:r>
      <w:r w:rsidR="00953CCB" w:rsidRPr="008F6F5B">
        <w:rPr>
          <w:rStyle w:val="platne"/>
          <w:sz w:val="24"/>
          <w:szCs w:val="24"/>
        </w:rPr>
        <w:t xml:space="preserve">náleží </w:t>
      </w:r>
      <w:r w:rsidR="0080374D" w:rsidRPr="008F6F5B">
        <w:rPr>
          <w:rStyle w:val="platne"/>
          <w:sz w:val="24"/>
          <w:szCs w:val="24"/>
        </w:rPr>
        <w:t xml:space="preserve">poskytovateli </w:t>
      </w:r>
      <w:r w:rsidR="00953CCB" w:rsidRPr="008F6F5B">
        <w:rPr>
          <w:rStyle w:val="platne"/>
          <w:sz w:val="24"/>
          <w:szCs w:val="24"/>
        </w:rPr>
        <w:t>výše vyrovnávací</w:t>
      </w:r>
      <w:r w:rsidR="00953CCB" w:rsidRPr="004F152E">
        <w:rPr>
          <w:rStyle w:val="platne"/>
          <w:sz w:val="24"/>
          <w:szCs w:val="24"/>
        </w:rPr>
        <w:t xml:space="preserve"> platby na celý tento měsíc. </w:t>
      </w:r>
      <w:r w:rsidR="00895C03" w:rsidRPr="004F152E">
        <w:rPr>
          <w:rStyle w:val="platne"/>
          <w:sz w:val="24"/>
          <w:szCs w:val="24"/>
        </w:rPr>
        <w:t>Porovnáním přijatých vyrovnávacích plateb</w:t>
      </w:r>
      <w:r w:rsidRPr="004F152E">
        <w:rPr>
          <w:rStyle w:val="platne"/>
          <w:sz w:val="24"/>
          <w:szCs w:val="24"/>
        </w:rPr>
        <w:t xml:space="preserve"> s celkovým </w:t>
      </w:r>
      <w:r w:rsidR="00E31958" w:rsidRPr="004F152E">
        <w:rPr>
          <w:rStyle w:val="platne"/>
          <w:sz w:val="24"/>
          <w:szCs w:val="24"/>
        </w:rPr>
        <w:t xml:space="preserve">skutečným </w:t>
      </w:r>
      <w:r w:rsidRPr="004F152E">
        <w:rPr>
          <w:rStyle w:val="platne"/>
          <w:sz w:val="24"/>
          <w:szCs w:val="24"/>
        </w:rPr>
        <w:lastRenderedPageBreak/>
        <w:t>výsledkem hospodaření dle odst. 2 tohoto pověřovacího aktu bude provedeno konečné vyúčtování vyrovnávací platby.</w:t>
      </w:r>
    </w:p>
    <w:p w:rsidR="00895C03" w:rsidRPr="00895C03" w:rsidRDefault="00895C03" w:rsidP="00895C03">
      <w:pPr>
        <w:pStyle w:val="Odstavecseseznamem"/>
        <w:spacing w:after="0" w:line="240" w:lineRule="auto"/>
        <w:jc w:val="both"/>
        <w:rPr>
          <w:rStyle w:val="platne"/>
          <w:sz w:val="24"/>
          <w:szCs w:val="24"/>
        </w:rPr>
      </w:pPr>
    </w:p>
    <w:p w:rsidR="003B1594" w:rsidRPr="00A655DB" w:rsidRDefault="00BF5E2F" w:rsidP="003B1594">
      <w:pPr>
        <w:spacing w:after="0" w:line="240" w:lineRule="auto"/>
        <w:jc w:val="both"/>
        <w:rPr>
          <w:rStyle w:val="platne"/>
          <w:sz w:val="24"/>
          <w:szCs w:val="24"/>
          <w:u w:val="single"/>
        </w:rPr>
      </w:pPr>
      <w:r w:rsidRPr="0080374D">
        <w:rPr>
          <w:rStyle w:val="platne"/>
          <w:sz w:val="24"/>
          <w:szCs w:val="24"/>
        </w:rPr>
        <w:t xml:space="preserve">III. </w:t>
      </w:r>
      <w:r w:rsidR="003B1594" w:rsidRPr="0080374D">
        <w:rPr>
          <w:rStyle w:val="platne"/>
          <w:sz w:val="24"/>
          <w:szCs w:val="24"/>
          <w:u w:val="single"/>
        </w:rPr>
        <w:t>Opatření k zamezení a vrácení jakékoliv nadměrné vyrovnávací platby:</w:t>
      </w:r>
    </w:p>
    <w:p w:rsidR="004F152E" w:rsidRDefault="004F152E" w:rsidP="003B1594">
      <w:pPr>
        <w:spacing w:after="0" w:line="240" w:lineRule="auto"/>
        <w:jc w:val="both"/>
        <w:rPr>
          <w:rStyle w:val="platne"/>
          <w:sz w:val="24"/>
          <w:szCs w:val="24"/>
        </w:rPr>
      </w:pPr>
    </w:p>
    <w:p w:rsidR="00A26036" w:rsidRDefault="004F152E" w:rsidP="003B1594">
      <w:pPr>
        <w:spacing w:after="0" w:line="240" w:lineRule="auto"/>
        <w:jc w:val="both"/>
        <w:rPr>
          <w:rStyle w:val="platne"/>
          <w:sz w:val="24"/>
          <w:szCs w:val="24"/>
        </w:rPr>
      </w:pPr>
      <w:r>
        <w:rPr>
          <w:rStyle w:val="platne"/>
          <w:sz w:val="24"/>
          <w:szCs w:val="24"/>
        </w:rPr>
        <w:tab/>
      </w:r>
      <w:r w:rsidR="004E4AD0">
        <w:rPr>
          <w:rStyle w:val="platne"/>
          <w:sz w:val="24"/>
          <w:szCs w:val="24"/>
        </w:rPr>
        <w:t>Konečné vyúčtování vyrovnávací platby bude předloženo společně s</w:t>
      </w:r>
      <w:r w:rsidR="00953CCB">
        <w:rPr>
          <w:rStyle w:val="platne"/>
          <w:sz w:val="24"/>
          <w:szCs w:val="24"/>
        </w:rPr>
        <w:t xml:space="preserve"> vyhodnocením </w:t>
      </w:r>
      <w:r w:rsidR="00A26036">
        <w:rPr>
          <w:rStyle w:val="platne"/>
          <w:sz w:val="24"/>
          <w:szCs w:val="24"/>
        </w:rPr>
        <w:t>závazného ukazatele, tedy skutečným</w:t>
      </w:r>
      <w:r w:rsidR="004E4AD0">
        <w:rPr>
          <w:rStyle w:val="platne"/>
          <w:sz w:val="24"/>
          <w:szCs w:val="24"/>
        </w:rPr>
        <w:t> výsledkem hospodaření</w:t>
      </w:r>
      <w:r w:rsidR="00A26036">
        <w:rPr>
          <w:rStyle w:val="platne"/>
          <w:sz w:val="24"/>
          <w:szCs w:val="24"/>
        </w:rPr>
        <w:t xml:space="preserve"> za příslušný </w:t>
      </w:r>
      <w:r w:rsidR="00A26036" w:rsidRPr="008F6F5B">
        <w:rPr>
          <w:rStyle w:val="platne"/>
          <w:sz w:val="24"/>
          <w:szCs w:val="24"/>
        </w:rPr>
        <w:t>kalendářní</w:t>
      </w:r>
      <w:r w:rsidR="00303E9D" w:rsidRPr="008F6F5B">
        <w:rPr>
          <w:rStyle w:val="platne"/>
          <w:sz w:val="24"/>
          <w:szCs w:val="24"/>
        </w:rPr>
        <w:t xml:space="preserve"> rok</w:t>
      </w:r>
      <w:r w:rsidR="004E4AD0" w:rsidRPr="008F6F5B">
        <w:rPr>
          <w:rStyle w:val="platne"/>
          <w:sz w:val="24"/>
          <w:szCs w:val="24"/>
        </w:rPr>
        <w:t>,</w:t>
      </w:r>
      <w:r w:rsidR="004E4AD0">
        <w:rPr>
          <w:rStyle w:val="platne"/>
          <w:sz w:val="24"/>
          <w:szCs w:val="24"/>
        </w:rPr>
        <w:t xml:space="preserve"> včetně podílu režijních nákladů a přiměřeného zisku ve lhůtě do 31</w:t>
      </w:r>
      <w:r w:rsidR="00A26036">
        <w:rPr>
          <w:rStyle w:val="platne"/>
          <w:sz w:val="24"/>
          <w:szCs w:val="24"/>
        </w:rPr>
        <w:t>.</w:t>
      </w:r>
      <w:r w:rsidR="004E4AD0">
        <w:rPr>
          <w:rStyle w:val="platne"/>
          <w:sz w:val="24"/>
          <w:szCs w:val="24"/>
        </w:rPr>
        <w:t xml:space="preserve"> března roku následujícího po roce</w:t>
      </w:r>
      <w:r w:rsidR="00A26036">
        <w:rPr>
          <w:rStyle w:val="platne"/>
          <w:sz w:val="24"/>
          <w:szCs w:val="24"/>
        </w:rPr>
        <w:t>,</w:t>
      </w:r>
      <w:r w:rsidR="004E4AD0">
        <w:rPr>
          <w:rStyle w:val="platne"/>
          <w:sz w:val="24"/>
          <w:szCs w:val="24"/>
        </w:rPr>
        <w:t xml:space="preserve"> </w:t>
      </w:r>
      <w:r w:rsidR="00173B7C">
        <w:rPr>
          <w:rStyle w:val="platne"/>
          <w:sz w:val="24"/>
          <w:szCs w:val="24"/>
        </w:rPr>
        <w:t xml:space="preserve">za který se vyúčtování </w:t>
      </w:r>
      <w:r w:rsidR="004E4AD0">
        <w:rPr>
          <w:rStyle w:val="platne"/>
          <w:sz w:val="24"/>
          <w:szCs w:val="24"/>
        </w:rPr>
        <w:t>vyrovnávací platb</w:t>
      </w:r>
      <w:r w:rsidR="00173B7C">
        <w:rPr>
          <w:rStyle w:val="platne"/>
          <w:sz w:val="24"/>
          <w:szCs w:val="24"/>
        </w:rPr>
        <w:t xml:space="preserve">y </w:t>
      </w:r>
      <w:r w:rsidR="00A26036">
        <w:rPr>
          <w:rStyle w:val="platne"/>
          <w:sz w:val="24"/>
          <w:szCs w:val="24"/>
        </w:rPr>
        <w:t>provádí</w:t>
      </w:r>
      <w:r w:rsidR="004E4AD0">
        <w:rPr>
          <w:rStyle w:val="platne"/>
          <w:sz w:val="24"/>
          <w:szCs w:val="24"/>
        </w:rPr>
        <w:t xml:space="preserve">. </w:t>
      </w:r>
      <w:r w:rsidR="00A26036">
        <w:rPr>
          <w:rStyle w:val="platne"/>
          <w:sz w:val="24"/>
          <w:szCs w:val="24"/>
        </w:rPr>
        <w:t>Pokud bylo měsíčními vyrovnávacími platbami zaplaceno více než je skutečný výsledek hospodaření za příslušný rok,</w:t>
      </w:r>
      <w:r w:rsidR="004E4AD0">
        <w:rPr>
          <w:rStyle w:val="platne"/>
          <w:sz w:val="24"/>
          <w:szCs w:val="24"/>
        </w:rPr>
        <w:t xml:space="preserve"> </w:t>
      </w:r>
      <w:r w:rsidR="00A26036" w:rsidRPr="008F6F5B">
        <w:rPr>
          <w:rStyle w:val="platne"/>
          <w:sz w:val="24"/>
          <w:szCs w:val="24"/>
        </w:rPr>
        <w:t xml:space="preserve">včetně </w:t>
      </w:r>
      <w:r w:rsidR="00303E9D" w:rsidRPr="008F6F5B">
        <w:rPr>
          <w:rStyle w:val="platne"/>
          <w:sz w:val="24"/>
          <w:szCs w:val="24"/>
        </w:rPr>
        <w:t xml:space="preserve">vzájemně odsouhlaseného </w:t>
      </w:r>
      <w:r w:rsidR="00A26036" w:rsidRPr="008F6F5B">
        <w:rPr>
          <w:rStyle w:val="platne"/>
          <w:sz w:val="24"/>
          <w:szCs w:val="24"/>
        </w:rPr>
        <w:t xml:space="preserve">podílu režijních nákladů a přiměřeného zisku zavazuje se poskytovatel služby obecného hospodářského zájmu vrátit rozdíl ve lhůtě do </w:t>
      </w:r>
      <w:r w:rsidR="00303E9D" w:rsidRPr="008F6F5B">
        <w:rPr>
          <w:rStyle w:val="platne"/>
          <w:sz w:val="24"/>
          <w:szCs w:val="24"/>
        </w:rPr>
        <w:t xml:space="preserve">20 </w:t>
      </w:r>
      <w:r w:rsidR="00A26036" w:rsidRPr="008F6F5B">
        <w:rPr>
          <w:rStyle w:val="platne"/>
          <w:sz w:val="24"/>
          <w:szCs w:val="24"/>
        </w:rPr>
        <w:t xml:space="preserve">dní od </w:t>
      </w:r>
      <w:r w:rsidR="00E31958" w:rsidRPr="008F6F5B">
        <w:rPr>
          <w:rStyle w:val="platne"/>
          <w:sz w:val="24"/>
          <w:szCs w:val="24"/>
        </w:rPr>
        <w:t xml:space="preserve">vyhotovení konečného vyúčtování vyrovnávací platby. V případě, že bylo měsíčními vyrovnávacími platbami zaplaceno méně než je skutečný výsledek hospodaření za příslušný rok, včetně podílu režijních nákladů a přiměřeného zisku zavazuje se pověřovatel </w:t>
      </w:r>
      <w:r w:rsidR="00303E9D" w:rsidRPr="008F6F5B">
        <w:rPr>
          <w:rStyle w:val="platne"/>
          <w:sz w:val="24"/>
          <w:szCs w:val="24"/>
        </w:rPr>
        <w:t>dorovnat</w:t>
      </w:r>
      <w:r w:rsidR="00E31958" w:rsidRPr="00303E9D">
        <w:rPr>
          <w:rStyle w:val="platne"/>
          <w:color w:val="FF0000"/>
          <w:sz w:val="24"/>
          <w:szCs w:val="24"/>
        </w:rPr>
        <w:t xml:space="preserve"> </w:t>
      </w:r>
      <w:r w:rsidR="00E31958">
        <w:rPr>
          <w:rStyle w:val="platne"/>
          <w:sz w:val="24"/>
          <w:szCs w:val="24"/>
        </w:rPr>
        <w:t xml:space="preserve">rozdíl ve lhůtě do </w:t>
      </w:r>
      <w:bookmarkStart w:id="0" w:name="_GoBack"/>
      <w:r w:rsidR="00303E9D" w:rsidRPr="00F07B4D">
        <w:rPr>
          <w:rStyle w:val="platne"/>
          <w:sz w:val="24"/>
          <w:szCs w:val="24"/>
        </w:rPr>
        <w:t>2</w:t>
      </w:r>
      <w:r w:rsidR="00E31958" w:rsidRPr="00F07B4D">
        <w:rPr>
          <w:rStyle w:val="platne"/>
          <w:sz w:val="24"/>
          <w:szCs w:val="24"/>
        </w:rPr>
        <w:t>0</w:t>
      </w:r>
      <w:bookmarkEnd w:id="0"/>
      <w:r w:rsidR="00E31958">
        <w:rPr>
          <w:rStyle w:val="platne"/>
          <w:sz w:val="24"/>
          <w:szCs w:val="24"/>
        </w:rPr>
        <w:t xml:space="preserve"> dní od vyhotovení konečného vyúčtování vyrovnávací platby.</w:t>
      </w:r>
    </w:p>
    <w:p w:rsidR="00896407" w:rsidRPr="00896407" w:rsidRDefault="00896407" w:rsidP="00896407">
      <w:pPr>
        <w:spacing w:after="0" w:line="240" w:lineRule="auto"/>
        <w:jc w:val="both"/>
        <w:rPr>
          <w:rStyle w:val="platne"/>
          <w:sz w:val="24"/>
          <w:szCs w:val="24"/>
        </w:rPr>
      </w:pPr>
      <w:r w:rsidRPr="00896407">
        <w:rPr>
          <w:rStyle w:val="platne"/>
          <w:sz w:val="24"/>
          <w:szCs w:val="24"/>
        </w:rPr>
        <w:t>Poskytovatel se zavazuje k poskytnutí vešker</w:t>
      </w:r>
      <w:r w:rsidR="00F11709">
        <w:rPr>
          <w:rStyle w:val="platne"/>
          <w:sz w:val="24"/>
          <w:szCs w:val="24"/>
        </w:rPr>
        <w:t>é</w:t>
      </w:r>
      <w:r w:rsidRPr="00896407">
        <w:rPr>
          <w:rStyle w:val="platne"/>
          <w:sz w:val="24"/>
          <w:szCs w:val="24"/>
        </w:rPr>
        <w:t xml:space="preserve"> součinnost</w:t>
      </w:r>
      <w:r w:rsidR="00F11709">
        <w:rPr>
          <w:rStyle w:val="platne"/>
          <w:sz w:val="24"/>
          <w:szCs w:val="24"/>
        </w:rPr>
        <w:t>i</w:t>
      </w:r>
      <w:r w:rsidRPr="00896407">
        <w:rPr>
          <w:rStyle w:val="platne"/>
          <w:sz w:val="24"/>
          <w:szCs w:val="24"/>
        </w:rPr>
        <w:t xml:space="preserve"> s provedením kontroly ze strany příslušných orgánů veřejné </w:t>
      </w:r>
      <w:r w:rsidR="00303E9D">
        <w:rPr>
          <w:rStyle w:val="platne"/>
          <w:sz w:val="24"/>
          <w:szCs w:val="24"/>
        </w:rPr>
        <w:t>s</w:t>
      </w:r>
      <w:r w:rsidRPr="00896407">
        <w:rPr>
          <w:rStyle w:val="platne"/>
          <w:sz w:val="24"/>
          <w:szCs w:val="24"/>
        </w:rPr>
        <w:t>právy ke zjištění</w:t>
      </w:r>
      <w:r>
        <w:rPr>
          <w:rStyle w:val="platne"/>
          <w:sz w:val="24"/>
          <w:szCs w:val="24"/>
        </w:rPr>
        <w:t>,</w:t>
      </w:r>
      <w:r w:rsidRPr="00896407">
        <w:rPr>
          <w:rStyle w:val="platne"/>
          <w:sz w:val="24"/>
          <w:szCs w:val="24"/>
        </w:rPr>
        <w:t xml:space="preserve"> zda nedošlo </w:t>
      </w:r>
      <w:r w:rsidR="00F11709">
        <w:rPr>
          <w:rStyle w:val="platne"/>
          <w:sz w:val="24"/>
          <w:szCs w:val="24"/>
        </w:rPr>
        <w:t xml:space="preserve">k </w:t>
      </w:r>
      <w:r w:rsidRPr="00896407">
        <w:rPr>
          <w:rStyle w:val="platne"/>
          <w:sz w:val="24"/>
          <w:szCs w:val="24"/>
        </w:rPr>
        <w:t xml:space="preserve">poskytnutí vyrovnávací platby přesahující stanovenou výši během trvání doby pověření alespoň každé tři roky a na konci této doby pověření. </w:t>
      </w:r>
    </w:p>
    <w:p w:rsidR="00AD5B72" w:rsidRPr="00A655DB" w:rsidRDefault="00AD5B72" w:rsidP="00402B4D">
      <w:pPr>
        <w:spacing w:after="0" w:line="240" w:lineRule="auto"/>
        <w:jc w:val="both"/>
        <w:rPr>
          <w:rStyle w:val="platne"/>
          <w:sz w:val="24"/>
          <w:szCs w:val="24"/>
        </w:rPr>
      </w:pPr>
    </w:p>
    <w:p w:rsidR="00AD5B72" w:rsidRPr="00A655DB" w:rsidRDefault="00BF5E2F" w:rsidP="00402B4D">
      <w:pPr>
        <w:spacing w:after="0" w:line="240" w:lineRule="auto"/>
        <w:jc w:val="both"/>
        <w:rPr>
          <w:rStyle w:val="platne"/>
          <w:sz w:val="24"/>
          <w:szCs w:val="24"/>
          <w:u w:val="single"/>
        </w:rPr>
      </w:pPr>
      <w:r w:rsidRPr="0080374D">
        <w:rPr>
          <w:rStyle w:val="platne"/>
          <w:sz w:val="24"/>
          <w:szCs w:val="24"/>
        </w:rPr>
        <w:t xml:space="preserve">IV. </w:t>
      </w:r>
      <w:r w:rsidR="00990212" w:rsidRPr="0080374D">
        <w:rPr>
          <w:rStyle w:val="platne"/>
          <w:sz w:val="24"/>
          <w:szCs w:val="24"/>
          <w:u w:val="single"/>
        </w:rPr>
        <w:t>Odkaz</w:t>
      </w:r>
      <w:r w:rsidR="00990212" w:rsidRPr="00A655DB">
        <w:rPr>
          <w:rStyle w:val="platne"/>
          <w:sz w:val="24"/>
          <w:szCs w:val="24"/>
          <w:u w:val="single"/>
        </w:rPr>
        <w:t xml:space="preserve"> na rozhodnutí </w:t>
      </w:r>
      <w:r w:rsidR="00990212" w:rsidRPr="00A655DB">
        <w:rPr>
          <w:sz w:val="24"/>
          <w:szCs w:val="24"/>
          <w:u w:val="single"/>
        </w:rPr>
        <w:t>SGEI; 2012/21/EU:</w:t>
      </w:r>
    </w:p>
    <w:p w:rsidR="004F152E" w:rsidRDefault="004F152E" w:rsidP="00990212">
      <w:pPr>
        <w:spacing w:after="0" w:line="240" w:lineRule="auto"/>
        <w:jc w:val="both"/>
        <w:rPr>
          <w:rStyle w:val="platne"/>
          <w:b/>
          <w:sz w:val="24"/>
          <w:szCs w:val="24"/>
        </w:rPr>
      </w:pPr>
    </w:p>
    <w:p w:rsidR="00990212" w:rsidRPr="004F152E" w:rsidRDefault="004F152E" w:rsidP="00990212">
      <w:pPr>
        <w:spacing w:after="0" w:line="240" w:lineRule="auto"/>
        <w:jc w:val="both"/>
        <w:rPr>
          <w:sz w:val="24"/>
          <w:szCs w:val="24"/>
        </w:rPr>
      </w:pPr>
      <w:r>
        <w:rPr>
          <w:rStyle w:val="platne"/>
          <w:b/>
          <w:sz w:val="24"/>
          <w:szCs w:val="24"/>
        </w:rPr>
        <w:tab/>
      </w:r>
      <w:r w:rsidR="00E54BDA" w:rsidRPr="004F152E">
        <w:rPr>
          <w:rStyle w:val="platne"/>
          <w:sz w:val="24"/>
          <w:szCs w:val="24"/>
        </w:rPr>
        <w:t>Tento pověřovací akt je vyhotoven v souladu s </w:t>
      </w:r>
      <w:r w:rsidR="00990212" w:rsidRPr="004F152E">
        <w:rPr>
          <w:sz w:val="24"/>
          <w:szCs w:val="24"/>
        </w:rPr>
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 (Rozhodnutí SGEI; 2012/21/EU).</w:t>
      </w:r>
    </w:p>
    <w:p w:rsidR="00423833" w:rsidRDefault="00423833" w:rsidP="00990212">
      <w:pPr>
        <w:spacing w:after="0" w:line="240" w:lineRule="auto"/>
        <w:jc w:val="both"/>
        <w:rPr>
          <w:b/>
          <w:sz w:val="24"/>
          <w:szCs w:val="24"/>
        </w:rPr>
      </w:pPr>
    </w:p>
    <w:p w:rsidR="004F152E" w:rsidRDefault="004F152E" w:rsidP="006429A4">
      <w:pPr>
        <w:spacing w:after="0" w:line="240" w:lineRule="auto"/>
        <w:rPr>
          <w:sz w:val="24"/>
          <w:szCs w:val="24"/>
        </w:rPr>
      </w:pPr>
    </w:p>
    <w:p w:rsidR="004F152E" w:rsidRDefault="004F152E" w:rsidP="006429A4">
      <w:pPr>
        <w:spacing w:after="0" w:line="240" w:lineRule="auto"/>
        <w:rPr>
          <w:sz w:val="24"/>
          <w:szCs w:val="24"/>
        </w:rPr>
      </w:pPr>
    </w:p>
    <w:p w:rsidR="00E54BDA" w:rsidRDefault="00E54BDA" w:rsidP="004F152E">
      <w:pPr>
        <w:spacing w:after="0" w:line="240" w:lineRule="auto"/>
        <w:rPr>
          <w:rFonts w:cstheme="minorHAnsi"/>
          <w:sz w:val="24"/>
          <w:szCs w:val="24"/>
        </w:rPr>
      </w:pPr>
      <w:r w:rsidRPr="00E54BDA">
        <w:rPr>
          <w:sz w:val="24"/>
          <w:szCs w:val="24"/>
        </w:rPr>
        <w:t xml:space="preserve">V Bruntále dne </w:t>
      </w:r>
      <w:r w:rsidRPr="004F152E">
        <w:rPr>
          <w:sz w:val="24"/>
          <w:szCs w:val="24"/>
        </w:rPr>
        <w:t>..........................</w:t>
      </w:r>
      <w:r w:rsidRPr="00E54BDA">
        <w:rPr>
          <w:rFonts w:cstheme="minorHAnsi"/>
          <w:sz w:val="24"/>
          <w:szCs w:val="24"/>
        </w:rPr>
        <w:tab/>
        <w:t xml:space="preserve">            </w:t>
      </w:r>
      <w:r w:rsidRPr="00E54BDA">
        <w:rPr>
          <w:rFonts w:cstheme="minorHAnsi"/>
          <w:sz w:val="24"/>
          <w:szCs w:val="24"/>
        </w:rPr>
        <w:tab/>
      </w:r>
      <w:r w:rsidRPr="00E54BDA">
        <w:rPr>
          <w:rFonts w:cstheme="minorHAnsi"/>
          <w:sz w:val="24"/>
          <w:szCs w:val="24"/>
        </w:rPr>
        <w:tab/>
      </w:r>
      <w:r w:rsidRPr="00E54BDA">
        <w:rPr>
          <w:rFonts w:cstheme="minorHAnsi"/>
          <w:sz w:val="24"/>
          <w:szCs w:val="24"/>
        </w:rPr>
        <w:tab/>
      </w:r>
    </w:p>
    <w:p w:rsidR="00117AD7" w:rsidRPr="0080374D" w:rsidRDefault="00117AD7" w:rsidP="004F152E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0374D">
        <w:rPr>
          <w:rFonts w:cstheme="minorHAnsi"/>
          <w:i/>
          <w:sz w:val="24"/>
          <w:szCs w:val="24"/>
        </w:rPr>
        <w:t>Pověřovatel:</w:t>
      </w:r>
    </w:p>
    <w:p w:rsidR="00117AD7" w:rsidRPr="0080374D" w:rsidRDefault="00117AD7" w:rsidP="004F152E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:rsidR="00E93576" w:rsidRPr="0080374D" w:rsidRDefault="00E54BDA" w:rsidP="00E54B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="00E93576" w:rsidRPr="0080374D">
        <w:rPr>
          <w:rFonts w:cstheme="minorHAnsi"/>
          <w:sz w:val="24"/>
          <w:szCs w:val="24"/>
        </w:rPr>
        <w:t>Město Bruntál</w:t>
      </w:r>
      <w:r w:rsidR="00117AD7" w:rsidRPr="0080374D">
        <w:rPr>
          <w:rFonts w:cstheme="minorHAnsi"/>
          <w:sz w:val="24"/>
          <w:szCs w:val="24"/>
        </w:rPr>
        <w:t xml:space="preserve"> </w:t>
      </w:r>
    </w:p>
    <w:p w:rsidR="00E54BDA" w:rsidRPr="0080374D" w:rsidRDefault="00E93576" w:rsidP="00E54B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="00E54BDA" w:rsidRPr="0080374D">
        <w:rPr>
          <w:rFonts w:cstheme="minorHAnsi"/>
          <w:sz w:val="24"/>
          <w:szCs w:val="24"/>
        </w:rPr>
        <w:t xml:space="preserve">Ing. </w:t>
      </w:r>
      <w:r w:rsidR="00767F4A">
        <w:rPr>
          <w:rFonts w:cstheme="minorHAnsi"/>
          <w:sz w:val="24"/>
          <w:szCs w:val="24"/>
        </w:rPr>
        <w:t xml:space="preserve">Hana </w:t>
      </w:r>
      <w:proofErr w:type="spellStart"/>
      <w:r w:rsidR="00767F4A">
        <w:rPr>
          <w:rFonts w:cstheme="minorHAnsi"/>
          <w:sz w:val="24"/>
          <w:szCs w:val="24"/>
        </w:rPr>
        <w:t>Šutovská</w:t>
      </w:r>
      <w:proofErr w:type="spellEnd"/>
    </w:p>
    <w:p w:rsidR="008018FC" w:rsidRDefault="00E54BDA" w:rsidP="00B75E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Pr="0080374D">
        <w:rPr>
          <w:rFonts w:cstheme="minorHAnsi"/>
          <w:sz w:val="24"/>
          <w:szCs w:val="24"/>
        </w:rPr>
        <w:tab/>
      </w:r>
      <w:r w:rsidR="00767F4A">
        <w:rPr>
          <w:rFonts w:cstheme="minorHAnsi"/>
          <w:sz w:val="24"/>
          <w:szCs w:val="24"/>
        </w:rPr>
        <w:t>1. místo</w:t>
      </w:r>
      <w:r w:rsidRPr="0080374D">
        <w:rPr>
          <w:rFonts w:cstheme="minorHAnsi"/>
          <w:sz w:val="24"/>
          <w:szCs w:val="24"/>
        </w:rPr>
        <w:t>starost</w:t>
      </w:r>
      <w:r w:rsidR="00767F4A">
        <w:rPr>
          <w:rFonts w:cstheme="minorHAnsi"/>
          <w:sz w:val="24"/>
          <w:szCs w:val="24"/>
        </w:rPr>
        <w:t>k</w:t>
      </w:r>
      <w:r w:rsidRPr="0080374D">
        <w:rPr>
          <w:rFonts w:cstheme="minorHAnsi"/>
          <w:sz w:val="24"/>
          <w:szCs w:val="24"/>
        </w:rPr>
        <w:t>a města</w:t>
      </w:r>
    </w:p>
    <w:p w:rsidR="00423833" w:rsidRDefault="00423833" w:rsidP="00B75E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833" w:rsidRPr="00896407" w:rsidRDefault="00423833" w:rsidP="00423833">
      <w:pPr>
        <w:spacing w:after="0" w:line="240" w:lineRule="auto"/>
        <w:jc w:val="both"/>
        <w:rPr>
          <w:sz w:val="24"/>
          <w:szCs w:val="24"/>
        </w:rPr>
      </w:pPr>
      <w:r w:rsidRPr="00896407">
        <w:rPr>
          <w:sz w:val="24"/>
          <w:szCs w:val="24"/>
        </w:rPr>
        <w:t>Poskytovatel služby obecného hospodářského zájmu tento Pověřovací akt a zmocnění z něho plynoucí akceptoval rozhodnutím jediného společníka při výkonu působnosti valné hromady společnosti TS Bruntál, s.r.o. a pověřil jednatele společnosti podpisem.</w:t>
      </w:r>
    </w:p>
    <w:p w:rsidR="00423833" w:rsidRDefault="00423833" w:rsidP="00423833">
      <w:pPr>
        <w:spacing w:after="0" w:line="240" w:lineRule="auto"/>
        <w:jc w:val="both"/>
        <w:rPr>
          <w:sz w:val="24"/>
          <w:szCs w:val="24"/>
        </w:rPr>
      </w:pPr>
    </w:p>
    <w:p w:rsidR="004F152E" w:rsidRDefault="004F152E" w:rsidP="00423833">
      <w:pPr>
        <w:spacing w:after="0" w:line="240" w:lineRule="auto"/>
        <w:jc w:val="both"/>
        <w:rPr>
          <w:sz w:val="24"/>
          <w:szCs w:val="24"/>
        </w:rPr>
      </w:pPr>
    </w:p>
    <w:p w:rsidR="004F152E" w:rsidRPr="00117AD7" w:rsidRDefault="00117AD7" w:rsidP="00423833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374D">
        <w:rPr>
          <w:i/>
          <w:sz w:val="24"/>
          <w:szCs w:val="24"/>
        </w:rPr>
        <w:t>Poskytovatel:</w:t>
      </w:r>
    </w:p>
    <w:p w:rsidR="00117AD7" w:rsidRDefault="00423833" w:rsidP="00423833">
      <w:pPr>
        <w:spacing w:after="0" w:line="240" w:lineRule="auto"/>
        <w:jc w:val="both"/>
        <w:rPr>
          <w:sz w:val="24"/>
          <w:szCs w:val="24"/>
        </w:rPr>
      </w:pP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</w:p>
    <w:p w:rsidR="00423833" w:rsidRPr="00896407" w:rsidRDefault="00117AD7" w:rsidP="00423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3833" w:rsidRPr="00896407">
        <w:rPr>
          <w:sz w:val="24"/>
          <w:szCs w:val="24"/>
        </w:rPr>
        <w:t>TS Bruntál, s.r.o.</w:t>
      </w:r>
    </w:p>
    <w:p w:rsidR="00423833" w:rsidRDefault="00423833" w:rsidP="00423833">
      <w:pPr>
        <w:spacing w:after="0" w:line="240" w:lineRule="auto"/>
        <w:jc w:val="both"/>
        <w:rPr>
          <w:sz w:val="24"/>
          <w:szCs w:val="24"/>
        </w:rPr>
      </w:pP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</w:r>
      <w:r w:rsidRPr="00896407">
        <w:rPr>
          <w:sz w:val="24"/>
          <w:szCs w:val="24"/>
        </w:rPr>
        <w:tab/>
        <w:t xml:space="preserve">Ing. Václav </w:t>
      </w:r>
      <w:proofErr w:type="spellStart"/>
      <w:r w:rsidRPr="00896407">
        <w:rPr>
          <w:sz w:val="24"/>
          <w:szCs w:val="24"/>
        </w:rPr>
        <w:t>Frgal</w:t>
      </w:r>
      <w:proofErr w:type="spellEnd"/>
      <w:r w:rsidRPr="00896407">
        <w:rPr>
          <w:sz w:val="24"/>
          <w:szCs w:val="24"/>
        </w:rPr>
        <w:t>, jednatel</w:t>
      </w:r>
    </w:p>
    <w:sectPr w:rsidR="00423833" w:rsidSect="004C14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22E" w:rsidRDefault="00EE222E" w:rsidP="0092424D">
      <w:pPr>
        <w:spacing w:after="0" w:line="240" w:lineRule="auto"/>
      </w:pPr>
      <w:r>
        <w:separator/>
      </w:r>
    </w:p>
  </w:endnote>
  <w:endnote w:type="continuationSeparator" w:id="0">
    <w:p w:rsidR="00EE222E" w:rsidRDefault="00EE222E" w:rsidP="0092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22E" w:rsidRDefault="00EE222E" w:rsidP="0092424D">
      <w:pPr>
        <w:spacing w:after="0" w:line="240" w:lineRule="auto"/>
      </w:pPr>
      <w:r>
        <w:separator/>
      </w:r>
    </w:p>
  </w:footnote>
  <w:footnote w:type="continuationSeparator" w:id="0">
    <w:p w:rsidR="00EE222E" w:rsidRDefault="00EE222E" w:rsidP="0092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24D" w:rsidRDefault="0092424D">
    <w:pPr>
      <w:pStyle w:val="Zhlav"/>
    </w:pPr>
    <w:r>
      <w:t>Příloha č.3 ke Smlouvě o nájmu – „sportovní hala“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2BF"/>
    <w:multiLevelType w:val="hybridMultilevel"/>
    <w:tmpl w:val="D0D65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329"/>
    <w:multiLevelType w:val="hybridMultilevel"/>
    <w:tmpl w:val="63261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79A3"/>
    <w:multiLevelType w:val="hybridMultilevel"/>
    <w:tmpl w:val="F7261A6A"/>
    <w:lvl w:ilvl="0" w:tplc="A6686B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0D17"/>
    <w:multiLevelType w:val="multilevel"/>
    <w:tmpl w:val="47A603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3FF012B9"/>
    <w:multiLevelType w:val="hybridMultilevel"/>
    <w:tmpl w:val="D0D65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10DA6"/>
    <w:multiLevelType w:val="hybridMultilevel"/>
    <w:tmpl w:val="D0D65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25224"/>
    <w:multiLevelType w:val="hybridMultilevel"/>
    <w:tmpl w:val="F7261A6A"/>
    <w:lvl w:ilvl="0" w:tplc="A6686B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A4"/>
    <w:rsid w:val="00011B75"/>
    <w:rsid w:val="00032741"/>
    <w:rsid w:val="0003517D"/>
    <w:rsid w:val="000421DA"/>
    <w:rsid w:val="00053063"/>
    <w:rsid w:val="00074A30"/>
    <w:rsid w:val="000953BE"/>
    <w:rsid w:val="000B45CF"/>
    <w:rsid w:val="000D29FC"/>
    <w:rsid w:val="00117AD7"/>
    <w:rsid w:val="00132645"/>
    <w:rsid w:val="00156A18"/>
    <w:rsid w:val="00173B7C"/>
    <w:rsid w:val="001C6E42"/>
    <w:rsid w:val="001D52E7"/>
    <w:rsid w:val="001F049D"/>
    <w:rsid w:val="002B4CC3"/>
    <w:rsid w:val="00303E9D"/>
    <w:rsid w:val="003058CF"/>
    <w:rsid w:val="00307339"/>
    <w:rsid w:val="00331214"/>
    <w:rsid w:val="00343845"/>
    <w:rsid w:val="00395172"/>
    <w:rsid w:val="003B1594"/>
    <w:rsid w:val="003B2413"/>
    <w:rsid w:val="003F0DCE"/>
    <w:rsid w:val="00402B4D"/>
    <w:rsid w:val="00423833"/>
    <w:rsid w:val="004444BE"/>
    <w:rsid w:val="00475CCE"/>
    <w:rsid w:val="004B320C"/>
    <w:rsid w:val="004C14C5"/>
    <w:rsid w:val="004D2FFE"/>
    <w:rsid w:val="004E4AD0"/>
    <w:rsid w:val="004F152E"/>
    <w:rsid w:val="00551D3E"/>
    <w:rsid w:val="006429A4"/>
    <w:rsid w:val="00655F02"/>
    <w:rsid w:val="00660426"/>
    <w:rsid w:val="00767F4A"/>
    <w:rsid w:val="007772BD"/>
    <w:rsid w:val="008018FC"/>
    <w:rsid w:val="0080374D"/>
    <w:rsid w:val="00893AF4"/>
    <w:rsid w:val="00895C03"/>
    <w:rsid w:val="00896407"/>
    <w:rsid w:val="008A325F"/>
    <w:rsid w:val="008F6F5B"/>
    <w:rsid w:val="0092424D"/>
    <w:rsid w:val="00951945"/>
    <w:rsid w:val="00953CCB"/>
    <w:rsid w:val="00990212"/>
    <w:rsid w:val="00A1217F"/>
    <w:rsid w:val="00A26036"/>
    <w:rsid w:val="00A655DB"/>
    <w:rsid w:val="00A7761D"/>
    <w:rsid w:val="00AD5B72"/>
    <w:rsid w:val="00AE3EE7"/>
    <w:rsid w:val="00AF7EA9"/>
    <w:rsid w:val="00B231E7"/>
    <w:rsid w:val="00B5541D"/>
    <w:rsid w:val="00B75EAC"/>
    <w:rsid w:val="00BF5E2F"/>
    <w:rsid w:val="00C00AE4"/>
    <w:rsid w:val="00C150D6"/>
    <w:rsid w:val="00C3543E"/>
    <w:rsid w:val="00D009FE"/>
    <w:rsid w:val="00DD3C3F"/>
    <w:rsid w:val="00DE3393"/>
    <w:rsid w:val="00E249E5"/>
    <w:rsid w:val="00E31958"/>
    <w:rsid w:val="00E54BDA"/>
    <w:rsid w:val="00E93576"/>
    <w:rsid w:val="00EE222E"/>
    <w:rsid w:val="00F07B4D"/>
    <w:rsid w:val="00F11709"/>
    <w:rsid w:val="00F24CA5"/>
    <w:rsid w:val="00F613FF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94F6-A8E8-4597-9481-B70E796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6429A4"/>
  </w:style>
  <w:style w:type="paragraph" w:styleId="Odstavecseseznamem">
    <w:name w:val="List Paragraph"/>
    <w:basedOn w:val="Normln"/>
    <w:uiPriority w:val="34"/>
    <w:qFormat/>
    <w:rsid w:val="00E54BD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54BDA"/>
    <w:pPr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4BDA"/>
    <w:rPr>
      <w:rFonts w:ascii="Arial" w:eastAsiaTheme="minorEastAsia" w:hAnsi="Arial" w:cs="Arial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395172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395172"/>
    <w:rPr>
      <w:rFonts w:ascii="Calibri" w:eastAsia="Times New Roman" w:hAnsi="Calibri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24D"/>
  </w:style>
  <w:style w:type="paragraph" w:styleId="Zpat">
    <w:name w:val="footer"/>
    <w:basedOn w:val="Normln"/>
    <w:link w:val="ZpatChar"/>
    <w:uiPriority w:val="99"/>
    <w:unhideWhenUsed/>
    <w:rsid w:val="0092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90FD-21E1-44A1-BBC1-2B5C9966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JUDr.David</dc:creator>
  <cp:lastModifiedBy>Pavlíková Renata</cp:lastModifiedBy>
  <cp:revision>11</cp:revision>
  <cp:lastPrinted>2022-08-15T11:27:00Z</cp:lastPrinted>
  <dcterms:created xsi:type="dcterms:W3CDTF">2022-08-02T06:04:00Z</dcterms:created>
  <dcterms:modified xsi:type="dcterms:W3CDTF">2022-08-29T10:41:00Z</dcterms:modified>
</cp:coreProperties>
</file>