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e-002pt;margin-top:717.5pt;width:29.3pt;height:34.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9.85pt;margin-top:0;width:476.65pt;height:5.e-002pt;z-index:251657729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661"/>
                    <w:gridCol w:w="629"/>
                    <w:gridCol w:w="792"/>
                    <w:gridCol w:w="854"/>
                    <w:gridCol w:w="1243"/>
                    <w:gridCol w:w="1066"/>
                    <w:gridCol w:w="998"/>
                    <w:gridCol w:w="1070"/>
                    <w:gridCol w:w="1219"/>
                  </w:tblGrid>
                  <w:tr>
                    <w:trPr>
                      <w:trHeight w:val="566" w:hRule="exact"/>
                    </w:trPr>
                    <w:tc>
                      <w:tcPr>
                        <w:shd w:val="clear" w:color="auto" w:fill="FFFFFF"/>
                        <w:gridSpan w:val="7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6" w:lineRule="exact"/>
                          <w:ind w:left="240" w:right="0" w:firstLine="0"/>
                        </w:pPr>
                        <w:r>
                          <w:rPr>
                            <w:rStyle w:val="CharStyle9"/>
                          </w:rPr>
                          <w:t>Výpočet pachtu k dodatku č. 1 pachtovní smlouvy č. 12N21/44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4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</w:rPr>
                          <w:t>Datum tisku: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20.07.2022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Spočítáno k datu splátky: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240" w:right="0" w:firstLine="0"/>
                        </w:pPr>
                        <w:r>
                          <w:rPr>
                            <w:rStyle w:val="CharStyle11"/>
                          </w:rPr>
                          <w:t>1.10.2022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62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Vydané parcely: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802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Poznámka Parcela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/ Díl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180" w:firstLine="0"/>
                        </w:pPr>
                        <w:r>
                          <w:rPr>
                            <w:rStyle w:val="CharStyle12"/>
                          </w:rPr>
                          <w:t>Skup.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500" w:right="0" w:firstLine="0"/>
                        </w:pPr>
                        <w:r>
                          <w:rPr>
                            <w:rStyle w:val="CharStyle12"/>
                          </w:rPr>
                          <w:t>Výměra Datum [m*] zahájení pachtu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6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Datum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6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ukončení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6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pachtu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Počet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dní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Pacht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9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Katastr: Lány u Dašic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560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23,00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04.11.2021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0,44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část 17 m2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560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17,00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04.11.2021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0,33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40,00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1"/>
                          </w:rPr>
                          <w:t>0,77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Celkem vydané parcely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40,00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0,77</w:t>
                        </w:r>
                      </w:p>
                    </w:tc>
                  </w:tr>
                  <w:tr>
                    <w:trPr>
                      <w:trHeight w:val="494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Stávající parcely: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835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7"/>
                          <w:tabs>
                            <w:tab w:leader="none" w:pos="1320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Poznámka</w:t>
                          <w:tab/>
                          <w:t>Parcela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/ DII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180" w:firstLine="0"/>
                        </w:pPr>
                        <w:r>
                          <w:rPr>
                            <w:rStyle w:val="CharStyle12"/>
                          </w:rPr>
                          <w:t>Skup.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6" w:lineRule="exact"/>
                          <w:ind w:left="500" w:right="0" w:firstLine="0"/>
                        </w:pPr>
                        <w:r>
                          <w:rPr>
                            <w:rStyle w:val="CharStyle12"/>
                          </w:rPr>
                          <w:t>Výměra Datum [m*] zahájení pachtu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Datum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ukončení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pachtu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Počet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dní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Pacht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gridSpan w:val="9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Katastr: Dašice</w:t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370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73,00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18,16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479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522,00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129,88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479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16,00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3,98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494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730,00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181,64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547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12,44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565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17,00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4,23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571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584,00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145,31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573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233,00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57,98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573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264,00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65,69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část 20411 m2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634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20411,00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5 078,67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634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1033,00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257,03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634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6745,00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1 678,29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část 536 m2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832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536,00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133,37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847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1684,00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419,01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847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461,00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114,71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910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1206,00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300,08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1072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66,00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16,42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část 91070 m2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1164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91070,00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22 660,04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1164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561,00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139,59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část 475 m2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1164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475,00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118,19</w:t>
                        </w:r>
                      </w:p>
                    </w:tc>
                  </w:tr>
                  <w:tr>
                    <w:trPr>
                      <w:trHeight w:val="677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část 26257 m2 celá výměra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45111 m2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1205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26256,00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6 533,02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1208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239,00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59,47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část 565 m2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1277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565,00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140,58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89.3pt;margin-top:728.5pt;width:20.15pt;height:25.0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/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02" w:lineRule="exact"/>
      </w:pPr>
    </w:p>
    <w:p>
      <w:pPr>
        <w:widowControl w:val="0"/>
        <w:rPr>
          <w:sz w:val="2"/>
          <w:szCs w:val="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type w:val="continuous"/>
          <w:pgSz w:w="11971" w:h="16882"/>
          <w:pgMar w:top="1704" w:left="384" w:right="1256" w:bottom="1168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"/>
        <w:widowControl w:val="0"/>
        <w:keepNext/>
        <w:keepLines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spacing w:before="0" w:after="167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Výpočet pachtu k dodatku č. 1 pachtovní smlouvy č. 12N21/44</w:t>
      </w:r>
      <w:bookmarkEnd w:id="0"/>
    </w:p>
    <w:p>
      <w:pPr>
        <w:pStyle w:val="Style7"/>
        <w:tabs>
          <w:tab w:leader="none" w:pos="1445" w:val="left"/>
          <w:tab w:leader="none" w:pos="3840" w:val="left"/>
          <w:tab w:leader="none" w:pos="6235" w:val="left"/>
        </w:tabs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spacing w:before="0" w:after="0"/>
        <w:ind w:left="0" w:right="0" w:firstLine="0"/>
        <w:sectPr>
          <w:pgSz w:w="11904" w:h="16834"/>
          <w:pgMar w:top="1689" w:left="1497" w:right="3072" w:bottom="1147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tisku:</w:t>
        <w:tab/>
        <w:t>20.07.2022</w:t>
        <w:tab/>
        <w:t>Spočítáno k datu splátky:</w:t>
        <w:tab/>
        <w:t>1.10.2022</w:t>
      </w:r>
    </w:p>
    <w:p>
      <w:pPr>
        <w:widowControl w:val="0"/>
        <w:spacing w:before="70" w:after="7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4" w:h="16834"/>
          <w:pgMar w:top="1659" w:left="0" w:right="0" w:bottom="111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0" type="#_x0000_t202" style="position:absolute;margin-left:5.e-002pt;margin-top:147.7pt;width:49.45pt;height:11.6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část 95 m2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0.5pt;margin-top:472.65pt;width:54.25pt;height:11.6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část 223 m2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86.15pt;margin-top:0;width:390.5pt;height:5.e-002pt;z-index:251657733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95"/>
                    <w:gridCol w:w="874"/>
                    <w:gridCol w:w="974"/>
                    <w:gridCol w:w="1094"/>
                    <w:gridCol w:w="1661"/>
                    <w:gridCol w:w="1522"/>
                    <w:gridCol w:w="1090"/>
                  </w:tblGrid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1302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43,00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10,70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1302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2346,00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583,73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1302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2145,00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533,72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1303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79,00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19,66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1313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1183,00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294,35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1313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27,00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6,72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1370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22,00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5,47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1371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1992,00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495,65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1441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863,00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214,73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1464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95,00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23,64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1464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454,00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112,96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1568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182,00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45,29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1585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193,00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48,02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1586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18,00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4,48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1586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26,00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6,47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1586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280,00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69,67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1920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292,00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72,66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1920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545,00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135,61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1983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2,49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2012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519,00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129,14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1265,00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314,76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512,00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127,40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770,00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191,59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492,00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122,42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2135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1733,00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431,21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1754,00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436,43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1174,00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292,11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396,00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98,53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2144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389,00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96,79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2171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223,00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55,49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2190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121,00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30,11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2198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711,00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176,91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2207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1738,00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432,45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2250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1480,00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368,25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2251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1324,00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329,44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2259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199,00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49,52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2259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95,00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23,64</w:t>
                        </w:r>
                      </w:p>
                    </w:tc>
                  </w:tr>
                  <w:tr>
                    <w:trPr>
                      <w:trHeight w:val="893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2263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172,00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01.03.2021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46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42,80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460" w:after="0" w:line="19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2/4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64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4" w:h="16834"/>
          <w:pgMar w:top="1659" w:left="1315" w:right="1056" w:bottom="1117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"/>
        <w:widowControl w:val="0"/>
        <w:keepNext/>
        <w:keepLines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spacing w:before="0" w:after="167"/>
        <w:ind w:left="28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Výpočet pachtu k dodatku č. 1 pachtovní smlouvy č. 12N21/44</w:t>
      </w:r>
      <w:bookmarkEnd w:id="1"/>
    </w:p>
    <w:p>
      <w:pPr>
        <w:pStyle w:val="Style7"/>
        <w:tabs>
          <w:tab w:leader="none" w:pos="1730" w:val="left"/>
          <w:tab w:leader="none" w:pos="4125" w:val="left"/>
          <w:tab w:leader="none" w:pos="6515" w:val="left"/>
        </w:tabs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spacing w:before="0" w:after="0"/>
        <w:ind w:left="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tisku:</w:t>
        <w:tab/>
        <w:t>20.07.2022</w:t>
        <w:tab/>
        <w:t>Spočítáno k datu splátky:</w:t>
        <w:tab/>
        <w:t>1.10.2022</w:t>
      </w:r>
    </w:p>
    <w:tbl>
      <w:tblPr>
        <w:tblOverlap w:val="never"/>
        <w:tblLayout w:type="fixed"/>
        <w:jc w:val="center"/>
      </w:tblPr>
      <w:tblGrid>
        <w:gridCol w:w="1690"/>
        <w:gridCol w:w="662"/>
        <w:gridCol w:w="835"/>
        <w:gridCol w:w="850"/>
        <w:gridCol w:w="1219"/>
        <w:gridCol w:w="1666"/>
        <w:gridCol w:w="1373"/>
        <w:gridCol w:w="1291"/>
      </w:tblGrid>
      <w:tr>
        <w:trPr>
          <w:trHeight w:val="466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2337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143,00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35,58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2337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333,00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82,86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180135,00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44 821,23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Katastr: Lány u Dašic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204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534,00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107,14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267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5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2145,00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430,37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část 487 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317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487,00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97,71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513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373,00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74,84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513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137,00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27,49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513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103,00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20,67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513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89,00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17,86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513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2118,00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424,96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560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95,00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19,06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560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2531,00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507,82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část 1 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560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0,20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560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79,00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15,85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590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275,00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55,18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část 61 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638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61,00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12,24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638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759,00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152,29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663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165,00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33,11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část 75 m2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669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75,00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15,05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669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31,00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6,22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669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387,00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77,65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669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166,00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33,31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669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63,00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12,64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704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1104,00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221,51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826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266,00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53,37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12044,00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2 416,54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Katastr: Velké Koloděje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121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405,00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77,25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370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3476,00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663,01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392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362,00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69,05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461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1855,00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353,82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6098,00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1 163,13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Katastr: Zminný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část 10 m2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10"/>
              </w:rPr>
              <w:t>88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1,69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177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165,00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27,91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0"/>
              </w:rPr>
              <w:t>231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6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2141,00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362,21</w:t>
            </w:r>
          </w:p>
        </w:tc>
      </w:tr>
    </w:tbl>
    <w:p>
      <w:pPr>
        <w:framePr w:w="958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1004" w:after="0"/>
        <w:ind w:left="1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/</w:t>
      </w:r>
      <w:r>
        <w:br w:type="page"/>
      </w:r>
    </w:p>
    <w:p>
      <w:pPr>
        <w:pStyle w:val="Style15"/>
        <w:widowControl w:val="0"/>
        <w:keepNext/>
        <w:keepLines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spacing w:before="0" w:after="167"/>
        <w:ind w:left="26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57.6pt;margin-top:-96.95pt;width:585.1pt;height:83.5pt;z-index:-125829376;mso-wrap-distance-left:5.pt;mso-wrap-distance-right:5.pt;mso-position-horizontal-relative:margin" wrapcoords="0 0 21600 0 21600 21600 0 21600 0 0">
            <v:imagedata r:id="rId6" r:href="rId7"/>
            <w10:wrap type="topAndBottom" anchorx="margin"/>
          </v:shape>
        </w:pict>
      </w: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Výpočet pachtu k dodatku č. 1 pachtovní smlouvy č. 12N21/44</w:t>
      </w:r>
      <w:bookmarkEnd w:id="2"/>
    </w:p>
    <w:p>
      <w:pPr>
        <w:pStyle w:val="Style7"/>
        <w:tabs>
          <w:tab w:leader="none" w:pos="1705" w:val="left"/>
          <w:tab w:leader="none" w:pos="4100" w:val="left"/>
        </w:tabs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spacing w:before="0" w:after="0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tisku:</w:t>
        <w:tab/>
        <w:t>20.07.2022</w:t>
        <w:tab/>
        <w:t>Spočítáno k datu splátky; 1.10.2022</w:t>
      </w:r>
    </w:p>
    <w:tbl>
      <w:tblPr>
        <w:tblOverlap w:val="never"/>
        <w:tblLayout w:type="fixed"/>
        <w:jc w:val="left"/>
      </w:tblPr>
      <w:tblGrid>
        <w:gridCol w:w="2386"/>
        <w:gridCol w:w="797"/>
        <w:gridCol w:w="830"/>
        <w:gridCol w:w="1238"/>
        <w:gridCol w:w="1661"/>
        <w:gridCol w:w="1358"/>
        <w:gridCol w:w="1296"/>
      </w:tblGrid>
      <w:tr>
        <w:trPr>
          <w:trHeight w:val="46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10"/>
              </w:rPr>
              <w:t>261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4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165,00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27,91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tabs>
                <w:tab w:leader="none" w:pos="176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část 403 m2</w:t>
              <w:tab/>
              <w:t>348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4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403,00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68,18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80" w:firstLine="0"/>
            </w:pPr>
            <w:r>
              <w:rPr>
                <w:rStyle w:val="CharStyle10"/>
              </w:rPr>
              <w:t>404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4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194,00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32,82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40" w:right="0" w:firstLine="0"/>
            </w:pPr>
            <w:r>
              <w:rPr>
                <w:rStyle w:val="CharStyle10"/>
              </w:rPr>
              <w:t>451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4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1427,00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01.03.2021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241,42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66" w:h="2088" w:hSpace="10" w:wrap="notBeside" w:vAnchor="text" w:hAnchor="text" w:x="1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66" w:h="2088" w:hSpace="10" w:wrap="notBeside" w:vAnchor="text" w:hAnchor="text" w:x="1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4505,00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66" w:h="2088" w:hSpace="10" w:wrap="notBeside" w:vAnchor="text" w:hAnchor="text" w:x="1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66" w:h="2088" w:hSpace="10" w:wrap="notBeside" w:vAnchor="text" w:hAnchor="text" w:x="1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0"/>
              </w:rPr>
              <w:t>762,14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2"/>
              </w:rPr>
              <w:t>Celkem stávající parcely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66" w:h="2088" w:hSpace="10" w:wrap="notBeside" w:vAnchor="text" w:hAnchor="text" w:x="1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66" w:h="2088" w:hSpace="10" w:wrap="notBeside" w:vAnchor="text" w:hAnchor="text" w:x="1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</w:rPr>
              <w:t>202782,00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66" w:h="2088" w:hSpace="10" w:wrap="notBeside" w:vAnchor="text" w:hAnchor="text" w:x="1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566" w:h="2088" w:hSpace="10" w:wrap="notBeside" w:vAnchor="text" w:hAnchor="text" w:x="11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9566" w:h="2088" w:hSpace="10" w:wrap="notBeside" w:vAnchor="text" w:hAnchor="text" w:x="11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</w:rPr>
              <w:t>49 163,04</w:t>
            </w:r>
          </w:p>
        </w:tc>
      </w:tr>
    </w:tbl>
    <w:p>
      <w:pPr>
        <w:pStyle w:val="Style21"/>
        <w:framePr w:w="826" w:h="260" w:hSpace="10" w:wrap="notBeside" w:vAnchor="text" w:hAnchor="text" w:x="16" w:y="22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Celkem</w:t>
      </w:r>
    </w:p>
    <w:p>
      <w:pPr>
        <w:pStyle w:val="Style21"/>
        <w:framePr w:w="739" w:h="260" w:hSpace="10" w:wrap="notBeside" w:vAnchor="text" w:hAnchor="text" w:x="8809" w:y="228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49 164</w: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erReference w:type="even" r:id="rId8"/>
      <w:footerReference w:type="default" r:id="rId9"/>
      <w:pgSz w:w="12043" w:h="16934"/>
      <w:pgMar w:top="1300" w:left="1257" w:right="1199" w:bottom="682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514.55pt;margin-top:813.75pt;width:17.3pt;height:7.2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4"/>
                      <w:b/>
                      <w:bCs/>
                    </w:rPr>
                    <w:t>#</w:t>
                  </w:r>
                </w:fldSimple>
                <w:r>
                  <w:rPr>
                    <w:rStyle w:val="CharStyle4"/>
                    <w:b/>
                    <w:bCs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514.55pt;margin-top:813.75pt;width:17.3pt;height:7.2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4"/>
                      <w:b/>
                      <w:bCs/>
                    </w:rPr>
                    <w:t>#</w:t>
                  </w:r>
                </w:fldSimple>
                <w:r>
                  <w:rPr>
                    <w:rStyle w:val="CharStyle4"/>
                    <w:b/>
                    <w:bCs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514.55pt;margin-top:813.75pt;width:17.3pt;height:7.2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4"/>
                      <w:b/>
                      <w:bCs/>
                    </w:rPr>
                    <w:t>#</w:t>
                  </w:r>
                </w:fldSimple>
                <w:r>
                  <w:rPr>
                    <w:rStyle w:val="CharStyle4"/>
                    <w:b/>
                    <w:bCs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50"/>
    </w:rPr>
  </w:style>
  <w:style w:type="character" w:customStyle="1" w:styleId="CharStyle4">
    <w:name w:val="Char Style 4"/>
    <w:basedOn w:val="CharStyle3"/>
    <w:rPr>
      <w:lang w:val="cs-CZ" w:eastAsia="cs-CZ" w:bidi="cs-CZ"/>
      <w:w w:val="100"/>
      <w:color w:val="000000"/>
      <w:position w:val="0"/>
    </w:rPr>
  </w:style>
  <w:style w:type="character" w:customStyle="1" w:styleId="CharStyle6">
    <w:name w:val="Char Style 6 Exact"/>
    <w:basedOn w:val="DefaultParagraphFont"/>
    <w:link w:val="Style5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9">
    <w:name w:val="Char Style 9"/>
    <w:basedOn w:val="CharStyle8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10">
    <w:name w:val="Char Style 10"/>
    <w:basedOn w:val="CharStyle8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11">
    <w:name w:val="Char Style 11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2">
    <w:name w:val="Char Style 12"/>
    <w:basedOn w:val="CharStyle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4">
    <w:name w:val="Char Style 14 Exact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38"/>
      <w:szCs w:val="38"/>
      <w:rFonts w:ascii="Arial" w:eastAsia="Arial" w:hAnsi="Arial" w:cs="Arial"/>
    </w:rPr>
  </w:style>
  <w:style w:type="character" w:customStyle="1" w:styleId="CharStyle16">
    <w:name w:val="Char Style 16"/>
    <w:basedOn w:val="DefaultParagraphFont"/>
    <w:link w:val="Style15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8">
    <w:name w:val="Char Style 18 Exact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0">
    <w:name w:val="Char Style 20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50"/>
      <w:szCs w:val="50"/>
      <w:rFonts w:ascii="Arial" w:eastAsia="Arial" w:hAnsi="Arial" w:cs="Arial"/>
    </w:rPr>
  </w:style>
  <w:style w:type="character" w:customStyle="1" w:styleId="CharStyle22">
    <w:name w:val="Char Style 22"/>
    <w:basedOn w:val="DefaultParagraphFont"/>
    <w:link w:val="Style21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50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jc w:val="both"/>
      <w:spacing w:before="140"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line="424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  <w:rFonts w:ascii="Arial" w:eastAsia="Arial" w:hAnsi="Arial" w:cs="Arial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jc w:val="both"/>
      <w:outlineLvl w:val="0"/>
      <w:spacing w:after="140" w:line="2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line="19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before="1080" w:line="558" w:lineRule="exact"/>
    </w:pPr>
    <w:rPr>
      <w:b w:val="0"/>
      <w:bCs w:val="0"/>
      <w:i w:val="0"/>
      <w:iCs w:val="0"/>
      <w:u w:val="none"/>
      <w:strike w:val="0"/>
      <w:smallCaps w:val="0"/>
      <w:sz w:val="50"/>
      <w:szCs w:val="50"/>
      <w:rFonts w:ascii="Arial" w:eastAsia="Arial" w:hAnsi="Arial" w:cs="Arial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