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6918" w:rsidRDefault="00056918">
      <w:pPr>
        <w:spacing w:line="121" w:lineRule="exact"/>
        <w:rPr>
          <w:sz w:val="10"/>
          <w:szCs w:val="10"/>
        </w:rPr>
      </w:pPr>
    </w:p>
    <w:p w:rsidR="00056918" w:rsidRDefault="00056918">
      <w:pPr>
        <w:rPr>
          <w:sz w:val="2"/>
          <w:szCs w:val="2"/>
        </w:rPr>
        <w:sectPr w:rsidR="00056918">
          <w:pgSz w:w="11909" w:h="16838"/>
          <w:pgMar w:top="1208" w:right="0" w:bottom="1150" w:left="0" w:header="0" w:footer="3" w:gutter="0"/>
          <w:cols w:space="720"/>
          <w:noEndnote/>
          <w:docGrid w:linePitch="360"/>
        </w:sectPr>
      </w:pPr>
    </w:p>
    <w:p w:rsidR="00056918" w:rsidRDefault="00801869">
      <w:pPr>
        <w:pStyle w:val="Style10"/>
        <w:keepNext/>
        <w:keepLines/>
        <w:shd w:val="clear" w:color="auto" w:fill="auto"/>
        <w:ind w:left="20"/>
      </w:pPr>
      <w:bookmarkStart w:id="0" w:name="bookmark0"/>
      <w:r>
        <w:lastRenderedPageBreak/>
        <w:t>SMLOUVA O PŘÍPOJEM! K DISTRIBUČNÍ SOUSTAVĚ</w:t>
      </w:r>
      <w:bookmarkEnd w:id="0"/>
    </w:p>
    <w:p w:rsidR="00056918" w:rsidRDefault="00801869">
      <w:pPr>
        <w:pStyle w:val="Style10"/>
        <w:keepNext/>
        <w:keepLines/>
        <w:shd w:val="clear" w:color="auto" w:fill="auto"/>
        <w:spacing w:after="277"/>
        <w:ind w:left="20"/>
      </w:pPr>
      <w:bookmarkStart w:id="1" w:name="bookmark1"/>
      <w:r>
        <w:t>KATEGORIE STŘEDNÍ ODBĚRATEL - VELKOODBĚRATEL</w:t>
      </w:r>
      <w:bookmarkEnd w:id="1"/>
    </w:p>
    <w:p w:rsidR="00056918" w:rsidRDefault="00801869">
      <w:pPr>
        <w:pStyle w:val="Style12"/>
        <w:shd w:val="clear" w:color="auto" w:fill="auto"/>
        <w:tabs>
          <w:tab w:val="left" w:pos="3521"/>
          <w:tab w:val="left" w:pos="5436"/>
          <w:tab w:val="left" w:pos="7966"/>
        </w:tabs>
        <w:spacing w:before="0"/>
        <w:ind w:left="660" w:firstLine="0"/>
      </w:pPr>
      <w:r>
        <w:t>Číslo smlouvy</w:t>
      </w:r>
      <w:r>
        <w:tab/>
        <w:t>EIC</w:t>
      </w:r>
      <w:r>
        <w:tab/>
        <w:t>Číslo zákazníka</w:t>
      </w:r>
      <w:r>
        <w:tab/>
        <w:t>ID e-portálu</w:t>
      </w:r>
    </w:p>
    <w:p w:rsidR="00056918" w:rsidRDefault="00801869">
      <w:pPr>
        <w:pStyle w:val="Style14"/>
        <w:shd w:val="clear" w:color="auto" w:fill="auto"/>
        <w:tabs>
          <w:tab w:val="left" w:pos="2705"/>
          <w:tab w:val="left" w:pos="5436"/>
        </w:tabs>
        <w:spacing w:after="216"/>
        <w:ind w:left="660" w:firstLine="0"/>
      </w:pPr>
      <w:r>
        <w:t>0040619281</w:t>
      </w:r>
      <w:r>
        <w:tab/>
        <w:t>27ZG100Z0000197E</w:t>
      </w:r>
      <w:r>
        <w:tab/>
        <w:t>0180000459</w:t>
      </w:r>
    </w:p>
    <w:p w:rsidR="00056918" w:rsidRDefault="00801869">
      <w:pPr>
        <w:pStyle w:val="Style12"/>
        <w:shd w:val="clear" w:color="auto" w:fill="auto"/>
        <w:spacing w:before="0" w:after="264" w:line="230" w:lineRule="exact"/>
        <w:ind w:firstLine="0"/>
      </w:pPr>
      <w:r>
        <w:t>uzavřená v souladu se zákonem č. 458/2000 Sb., energetický zákon, ve zněn[ pozdějších předpisů (dále jen "Energetický zákon") a v souladu s prováděcími předpisy, technickými pravidly a Řádem provozovatele distribuční soustavy, který je dostupný na webových</w:t>
      </w:r>
      <w:r>
        <w:t xml:space="preserve"> stránkách provozovatele </w:t>
      </w:r>
      <w:hyperlink r:id="rId8" w:history="1">
        <w:r>
          <w:rPr>
            <w:lang w:val="en-US" w:eastAsia="en-US" w:bidi="en-US"/>
          </w:rPr>
          <w:t xml:space="preserve">http://www.ppdistribuce.cz/distribucni- </w:t>
        </w:r>
        <w:r>
          <w:t>soustava/rad-provozovatele-ds</w:t>
        </w:r>
      </w:hyperlink>
      <w:r>
        <w:t>, mezi</w:t>
      </w:r>
    </w:p>
    <w:p w:rsidR="00056918" w:rsidRDefault="00801869">
      <w:pPr>
        <w:pStyle w:val="Style14"/>
        <w:pBdr>
          <w:top w:val="single" w:sz="4" w:space="1" w:color="auto"/>
          <w:left w:val="single" w:sz="4" w:space="4" w:color="auto"/>
          <w:bottom w:val="single" w:sz="4" w:space="1" w:color="auto"/>
          <w:right w:val="single" w:sz="4" w:space="4" w:color="auto"/>
        </w:pBdr>
        <w:shd w:val="clear" w:color="auto" w:fill="auto"/>
        <w:tabs>
          <w:tab w:val="left" w:leader="underscore" w:pos="9624"/>
        </w:tabs>
        <w:spacing w:after="0"/>
        <w:ind w:left="420"/>
      </w:pPr>
      <w:r>
        <w:rPr>
          <w:rStyle w:val="CharStyle16"/>
          <w:b/>
          <w:bCs/>
        </w:rPr>
        <w:t>PROVOZOVATELEM DISTRIBUČNÍ SOUSTAVY (DÁLE 3EN PROVOZOVATEL)</w:t>
      </w:r>
      <w:r>
        <w:rPr>
          <w:rStyle w:val="CharStyle16"/>
          <w:b/>
          <w:bCs/>
        </w:rPr>
        <w:tab/>
      </w:r>
    </w:p>
    <w:p w:rsidR="00056918" w:rsidRDefault="00801869">
      <w:pPr>
        <w:pStyle w:val="Style12"/>
        <w:pBdr>
          <w:top w:val="single" w:sz="4" w:space="1" w:color="auto"/>
          <w:left w:val="single" w:sz="4" w:space="4" w:color="auto"/>
          <w:bottom w:val="single" w:sz="4" w:space="1" w:color="auto"/>
          <w:right w:val="single" w:sz="4" w:space="4" w:color="auto"/>
        </w:pBdr>
        <w:shd w:val="clear" w:color="auto" w:fill="auto"/>
        <w:spacing w:before="0"/>
        <w:ind w:left="420" w:hanging="420"/>
      </w:pPr>
      <w:r>
        <w:t xml:space="preserve">Pražská </w:t>
      </w:r>
      <w:r>
        <w:t>plynárenská Distribuce, a.s., člen koncernu Pražská plynárenská, a.s.</w:t>
      </w:r>
    </w:p>
    <w:p w:rsidR="00056918" w:rsidRDefault="00801869">
      <w:pPr>
        <w:pStyle w:val="Style12"/>
        <w:pBdr>
          <w:top w:val="single" w:sz="4" w:space="1" w:color="auto"/>
          <w:left w:val="single" w:sz="4" w:space="4" w:color="auto"/>
          <w:bottom w:val="single" w:sz="4" w:space="1" w:color="auto"/>
          <w:right w:val="single" w:sz="4" w:space="4" w:color="auto"/>
        </w:pBdr>
        <w:shd w:val="clear" w:color="auto" w:fill="auto"/>
        <w:spacing w:before="0" w:after="216"/>
        <w:ind w:left="420" w:hanging="420"/>
      </w:pPr>
      <w:r>
        <w:t>Praha 4, U Plynárny 500, PSČ 145 08</w:t>
      </w:r>
    </w:p>
    <w:p w:rsidR="00056918" w:rsidRDefault="00801869">
      <w:pPr>
        <w:pStyle w:val="Style12"/>
        <w:pBdr>
          <w:top w:val="single" w:sz="4" w:space="1" w:color="auto"/>
          <w:left w:val="single" w:sz="4" w:space="4" w:color="auto"/>
          <w:bottom w:val="single" w:sz="4" w:space="1" w:color="auto"/>
          <w:right w:val="single" w:sz="4" w:space="4" w:color="auto"/>
        </w:pBdr>
        <w:shd w:val="clear" w:color="auto" w:fill="auto"/>
        <w:spacing w:before="0" w:line="230" w:lineRule="exact"/>
        <w:ind w:firstLine="0"/>
        <w:jc w:val="left"/>
      </w:pPr>
      <w:r>
        <w:t xml:space="preserve">IČO 27403505, DIČ CZ27403505, bankovní spojení </w:t>
      </w:r>
      <w:r w:rsidR="003E369E">
        <w:t>xxxxxx</w:t>
      </w:r>
      <w:r>
        <w:t xml:space="preserve">., číslo bankovního účtu: </w:t>
      </w:r>
      <w:r w:rsidR="003E369E">
        <w:t>xxxxxxx</w:t>
      </w:r>
      <w:r>
        <w:t xml:space="preserve"> zapsaná v obchodním rejstříku, vedeném Měst</w:t>
      </w:r>
      <w:r>
        <w:t>ským soudem v Praze pod spisovou značkou B, 10356</w:t>
      </w:r>
    </w:p>
    <w:p w:rsidR="00056918" w:rsidRDefault="00801869">
      <w:pPr>
        <w:pStyle w:val="Style17"/>
        <w:framePr w:w="9739" w:wrap="notBeside" w:vAnchor="text" w:hAnchor="text" w:xAlign="center" w:y="1"/>
        <w:shd w:val="clear" w:color="auto" w:fill="auto"/>
      </w:pPr>
      <w:r>
        <w:t>a</w:t>
      </w:r>
    </w:p>
    <w:tbl>
      <w:tblPr>
        <w:tblOverlap w:val="never"/>
        <w:tblW w:w="0" w:type="auto"/>
        <w:jc w:val="center"/>
        <w:tblLayout w:type="fixed"/>
        <w:tblCellMar>
          <w:left w:w="10" w:type="dxa"/>
          <w:right w:w="10" w:type="dxa"/>
        </w:tblCellMar>
        <w:tblLook w:val="0000" w:firstRow="0" w:lastRow="0" w:firstColumn="0" w:lastColumn="0" w:noHBand="0" w:noVBand="0"/>
      </w:tblPr>
      <w:tblGrid>
        <w:gridCol w:w="1368"/>
        <w:gridCol w:w="845"/>
        <w:gridCol w:w="2026"/>
        <w:gridCol w:w="1219"/>
        <w:gridCol w:w="1603"/>
        <w:gridCol w:w="1613"/>
        <w:gridCol w:w="1066"/>
      </w:tblGrid>
      <w:tr w:rsidR="00056918">
        <w:tblPrEx>
          <w:tblCellMar>
            <w:top w:w="0" w:type="dxa"/>
            <w:bottom w:w="0" w:type="dxa"/>
          </w:tblCellMar>
        </w:tblPrEx>
        <w:trPr>
          <w:trHeight w:hRule="exact" w:val="336"/>
          <w:jc w:val="center"/>
        </w:trPr>
        <w:tc>
          <w:tcPr>
            <w:tcW w:w="9740" w:type="dxa"/>
            <w:gridSpan w:val="7"/>
            <w:tcBorders>
              <w:top w:val="single" w:sz="4" w:space="0" w:color="auto"/>
              <w:left w:val="single" w:sz="4" w:space="0" w:color="auto"/>
              <w:right w:val="single" w:sz="4" w:space="0" w:color="auto"/>
            </w:tcBorders>
            <w:shd w:val="clear" w:color="auto" w:fill="FFFFFF"/>
          </w:tcPr>
          <w:p w:rsidR="00056918" w:rsidRDefault="00801869">
            <w:pPr>
              <w:pStyle w:val="Style12"/>
              <w:framePr w:w="9739" w:wrap="notBeside" w:vAnchor="text" w:hAnchor="text" w:xAlign="center" w:y="1"/>
              <w:shd w:val="clear" w:color="auto" w:fill="auto"/>
              <w:spacing w:before="0" w:line="212" w:lineRule="exact"/>
              <w:ind w:firstLine="0"/>
              <w:jc w:val="left"/>
            </w:pPr>
            <w:r>
              <w:rPr>
                <w:rStyle w:val="CharStyle19"/>
              </w:rPr>
              <w:t>ZÁKAZNÍKEM</w:t>
            </w:r>
          </w:p>
        </w:tc>
      </w:tr>
      <w:tr w:rsidR="00056918">
        <w:tblPrEx>
          <w:tblCellMar>
            <w:top w:w="0" w:type="dxa"/>
            <w:bottom w:w="0" w:type="dxa"/>
          </w:tblCellMar>
        </w:tblPrEx>
        <w:trPr>
          <w:trHeight w:hRule="exact" w:val="302"/>
          <w:jc w:val="center"/>
        </w:trPr>
        <w:tc>
          <w:tcPr>
            <w:tcW w:w="1368" w:type="dxa"/>
            <w:tcBorders>
              <w:top w:val="single" w:sz="4" w:space="0" w:color="auto"/>
              <w:left w:val="single" w:sz="4" w:space="0" w:color="auto"/>
            </w:tcBorders>
            <w:shd w:val="clear" w:color="auto" w:fill="FFFFFF"/>
          </w:tcPr>
          <w:p w:rsidR="00056918" w:rsidRDefault="00056918">
            <w:pPr>
              <w:framePr w:w="9739" w:wrap="notBeside" w:vAnchor="text" w:hAnchor="text" w:xAlign="center" w:y="1"/>
              <w:rPr>
                <w:sz w:val="10"/>
                <w:szCs w:val="10"/>
              </w:rPr>
            </w:pPr>
          </w:p>
        </w:tc>
        <w:tc>
          <w:tcPr>
            <w:tcW w:w="2871" w:type="dxa"/>
            <w:gridSpan w:val="2"/>
            <w:tcBorders>
              <w:top w:val="single" w:sz="4" w:space="0" w:color="auto"/>
            </w:tcBorders>
            <w:shd w:val="clear" w:color="auto" w:fill="FFFFFF"/>
            <w:vAlign w:val="bottom"/>
          </w:tcPr>
          <w:p w:rsidR="00056918" w:rsidRDefault="00801869">
            <w:pPr>
              <w:pStyle w:val="Style12"/>
              <w:framePr w:w="9739" w:wrap="notBeside" w:vAnchor="text" w:hAnchor="text" w:xAlign="center" w:y="1"/>
              <w:shd w:val="clear" w:color="auto" w:fill="auto"/>
              <w:spacing w:before="0" w:line="178" w:lineRule="exact"/>
              <w:ind w:left="160" w:firstLine="0"/>
              <w:jc w:val="center"/>
            </w:pPr>
            <w:r>
              <w:rPr>
                <w:rStyle w:val="CharStyle20"/>
              </w:rPr>
              <w:t>Domov pro seniory Háje</w:t>
            </w:r>
          </w:p>
        </w:tc>
        <w:tc>
          <w:tcPr>
            <w:tcW w:w="1219" w:type="dxa"/>
            <w:tcBorders>
              <w:top w:val="single" w:sz="4" w:space="0" w:color="auto"/>
            </w:tcBorders>
            <w:shd w:val="clear" w:color="auto" w:fill="FFFFFF"/>
          </w:tcPr>
          <w:p w:rsidR="00056918" w:rsidRDefault="00056918">
            <w:pPr>
              <w:framePr w:w="9739" w:wrap="notBeside" w:vAnchor="text" w:hAnchor="text" w:xAlign="center" w:y="1"/>
              <w:rPr>
                <w:sz w:val="10"/>
                <w:szCs w:val="10"/>
              </w:rPr>
            </w:pPr>
          </w:p>
        </w:tc>
        <w:tc>
          <w:tcPr>
            <w:tcW w:w="1603" w:type="dxa"/>
            <w:tcBorders>
              <w:top w:val="single" w:sz="4" w:space="0" w:color="auto"/>
            </w:tcBorders>
            <w:shd w:val="clear" w:color="auto" w:fill="FFFFFF"/>
            <w:vAlign w:val="bottom"/>
          </w:tcPr>
          <w:p w:rsidR="00056918" w:rsidRDefault="00801869">
            <w:pPr>
              <w:pStyle w:val="Style12"/>
              <w:framePr w:w="9739" w:wrap="notBeside" w:vAnchor="text" w:hAnchor="text" w:xAlign="center" w:y="1"/>
              <w:shd w:val="clear" w:color="auto" w:fill="auto"/>
              <w:spacing w:before="0" w:line="178" w:lineRule="exact"/>
              <w:ind w:firstLine="0"/>
              <w:jc w:val="left"/>
            </w:pPr>
            <w:r>
              <w:rPr>
                <w:rStyle w:val="CharStyle20"/>
              </w:rPr>
              <w:t>Velký a střední odběr</w:t>
            </w:r>
          </w:p>
        </w:tc>
        <w:tc>
          <w:tcPr>
            <w:tcW w:w="1613" w:type="dxa"/>
            <w:tcBorders>
              <w:top w:val="single" w:sz="4" w:space="0" w:color="auto"/>
            </w:tcBorders>
            <w:shd w:val="clear" w:color="auto" w:fill="FFFFFF"/>
            <w:vAlign w:val="bottom"/>
          </w:tcPr>
          <w:p w:rsidR="00056918" w:rsidRDefault="00801869">
            <w:pPr>
              <w:pStyle w:val="Style12"/>
              <w:framePr w:w="9739" w:wrap="notBeside" w:vAnchor="text" w:hAnchor="text" w:xAlign="center" w:y="1"/>
              <w:shd w:val="clear" w:color="auto" w:fill="auto"/>
              <w:spacing w:before="0" w:line="178" w:lineRule="exact"/>
              <w:ind w:left="280" w:firstLine="0"/>
              <w:jc w:val="left"/>
            </w:pPr>
            <w:r>
              <w:rPr>
                <w:rStyle w:val="CharStyle20"/>
              </w:rPr>
              <w:t>70875111</w:t>
            </w:r>
          </w:p>
        </w:tc>
        <w:tc>
          <w:tcPr>
            <w:tcW w:w="1066" w:type="dxa"/>
            <w:tcBorders>
              <w:top w:val="single" w:sz="4" w:space="0" w:color="auto"/>
              <w:right w:val="single" w:sz="4" w:space="0" w:color="auto"/>
            </w:tcBorders>
            <w:shd w:val="clear" w:color="auto" w:fill="FFFFFF"/>
          </w:tcPr>
          <w:p w:rsidR="00056918" w:rsidRDefault="00056918">
            <w:pPr>
              <w:framePr w:w="9739" w:wrap="notBeside" w:vAnchor="text" w:hAnchor="text" w:xAlign="center" w:y="1"/>
              <w:rPr>
                <w:sz w:val="10"/>
                <w:szCs w:val="10"/>
              </w:rPr>
            </w:pPr>
          </w:p>
        </w:tc>
      </w:tr>
      <w:tr w:rsidR="00056918">
        <w:tblPrEx>
          <w:tblCellMar>
            <w:top w:w="0" w:type="dxa"/>
            <w:bottom w:w="0" w:type="dxa"/>
          </w:tblCellMar>
        </w:tblPrEx>
        <w:trPr>
          <w:trHeight w:hRule="exact" w:val="187"/>
          <w:jc w:val="center"/>
        </w:trPr>
        <w:tc>
          <w:tcPr>
            <w:tcW w:w="1368" w:type="dxa"/>
            <w:tcBorders>
              <w:top w:val="single" w:sz="4" w:space="0" w:color="auto"/>
              <w:left w:val="single" w:sz="4" w:space="0" w:color="auto"/>
            </w:tcBorders>
            <w:shd w:val="clear" w:color="auto" w:fill="FFFFFF"/>
          </w:tcPr>
          <w:p w:rsidR="00056918" w:rsidRDefault="00056918">
            <w:pPr>
              <w:framePr w:w="9739" w:wrap="notBeside" w:vAnchor="text" w:hAnchor="text" w:xAlign="center" w:y="1"/>
              <w:rPr>
                <w:sz w:val="10"/>
                <w:szCs w:val="10"/>
              </w:rPr>
            </w:pPr>
          </w:p>
        </w:tc>
        <w:tc>
          <w:tcPr>
            <w:tcW w:w="845" w:type="dxa"/>
            <w:tcBorders>
              <w:top w:val="single" w:sz="4" w:space="0" w:color="auto"/>
            </w:tcBorders>
            <w:shd w:val="clear" w:color="auto" w:fill="FFFFFF"/>
          </w:tcPr>
          <w:p w:rsidR="00056918" w:rsidRDefault="00056918">
            <w:pPr>
              <w:framePr w:w="9739" w:wrap="notBeside" w:vAnchor="text" w:hAnchor="text" w:xAlign="center" w:y="1"/>
              <w:rPr>
                <w:sz w:val="10"/>
                <w:szCs w:val="10"/>
              </w:rPr>
            </w:pPr>
          </w:p>
        </w:tc>
        <w:tc>
          <w:tcPr>
            <w:tcW w:w="2026" w:type="dxa"/>
            <w:tcBorders>
              <w:top w:val="single" w:sz="4" w:space="0" w:color="auto"/>
            </w:tcBorders>
            <w:shd w:val="clear" w:color="auto" w:fill="FFFFFF"/>
          </w:tcPr>
          <w:p w:rsidR="00056918" w:rsidRDefault="00801869">
            <w:pPr>
              <w:pStyle w:val="Style12"/>
              <w:framePr w:w="9739" w:wrap="notBeside" w:vAnchor="text" w:hAnchor="text" w:xAlign="center" w:y="1"/>
              <w:shd w:val="clear" w:color="auto" w:fill="auto"/>
              <w:spacing w:before="0" w:line="134" w:lineRule="exact"/>
              <w:ind w:firstLine="0"/>
              <w:jc w:val="left"/>
            </w:pPr>
            <w:r>
              <w:rPr>
                <w:rStyle w:val="CharStyle21"/>
              </w:rPr>
              <w:t>obchodní jméno</w:t>
            </w:r>
          </w:p>
        </w:tc>
        <w:tc>
          <w:tcPr>
            <w:tcW w:w="1219" w:type="dxa"/>
            <w:tcBorders>
              <w:top w:val="single" w:sz="4" w:space="0" w:color="auto"/>
            </w:tcBorders>
            <w:shd w:val="clear" w:color="auto" w:fill="FFFFFF"/>
          </w:tcPr>
          <w:p w:rsidR="00056918" w:rsidRDefault="00056918">
            <w:pPr>
              <w:framePr w:w="9739" w:wrap="notBeside" w:vAnchor="text" w:hAnchor="text" w:xAlign="center" w:y="1"/>
              <w:rPr>
                <w:sz w:val="10"/>
                <w:szCs w:val="10"/>
              </w:rPr>
            </w:pPr>
          </w:p>
        </w:tc>
        <w:tc>
          <w:tcPr>
            <w:tcW w:w="1603" w:type="dxa"/>
            <w:tcBorders>
              <w:top w:val="single" w:sz="4" w:space="0" w:color="auto"/>
            </w:tcBorders>
            <w:shd w:val="clear" w:color="auto" w:fill="FFFFFF"/>
          </w:tcPr>
          <w:p w:rsidR="00056918" w:rsidRDefault="00801869">
            <w:pPr>
              <w:pStyle w:val="Style12"/>
              <w:framePr w:w="9739" w:wrap="notBeside" w:vAnchor="text" w:hAnchor="text" w:xAlign="center" w:y="1"/>
              <w:shd w:val="clear" w:color="auto" w:fill="auto"/>
              <w:spacing w:before="0" w:line="134" w:lineRule="exact"/>
              <w:ind w:left="80" w:firstLine="0"/>
              <w:jc w:val="center"/>
            </w:pPr>
            <w:r>
              <w:rPr>
                <w:rStyle w:val="CharStyle21"/>
              </w:rPr>
              <w:t>kategorie</w:t>
            </w:r>
          </w:p>
        </w:tc>
        <w:tc>
          <w:tcPr>
            <w:tcW w:w="1613" w:type="dxa"/>
            <w:tcBorders>
              <w:top w:val="single" w:sz="4" w:space="0" w:color="auto"/>
            </w:tcBorders>
            <w:shd w:val="clear" w:color="auto" w:fill="FFFFFF"/>
          </w:tcPr>
          <w:p w:rsidR="00056918" w:rsidRDefault="00801869">
            <w:pPr>
              <w:pStyle w:val="Style12"/>
              <w:framePr w:w="9739" w:wrap="notBeside" w:vAnchor="text" w:hAnchor="text" w:xAlign="center" w:y="1"/>
              <w:shd w:val="clear" w:color="auto" w:fill="auto"/>
              <w:spacing w:before="0" w:line="134" w:lineRule="exact"/>
              <w:ind w:left="580" w:firstLine="0"/>
              <w:jc w:val="left"/>
            </w:pPr>
            <w:r>
              <w:rPr>
                <w:rStyle w:val="CharStyle21"/>
              </w:rPr>
              <w:t>IČ</w:t>
            </w:r>
          </w:p>
        </w:tc>
        <w:tc>
          <w:tcPr>
            <w:tcW w:w="1066" w:type="dxa"/>
            <w:tcBorders>
              <w:top w:val="single" w:sz="4" w:space="0" w:color="auto"/>
              <w:right w:val="single" w:sz="4" w:space="0" w:color="auto"/>
            </w:tcBorders>
            <w:shd w:val="clear" w:color="auto" w:fill="FFFFFF"/>
          </w:tcPr>
          <w:p w:rsidR="00056918" w:rsidRDefault="00801869">
            <w:pPr>
              <w:pStyle w:val="Style12"/>
              <w:framePr w:w="9739" w:wrap="notBeside" w:vAnchor="text" w:hAnchor="text" w:xAlign="center" w:y="1"/>
              <w:shd w:val="clear" w:color="auto" w:fill="auto"/>
              <w:spacing w:before="0" w:line="134" w:lineRule="exact"/>
              <w:ind w:left="280" w:firstLine="0"/>
              <w:jc w:val="left"/>
            </w:pPr>
            <w:r>
              <w:rPr>
                <w:rStyle w:val="CharStyle21"/>
              </w:rPr>
              <w:t>DIČ</w:t>
            </w:r>
          </w:p>
        </w:tc>
      </w:tr>
      <w:tr w:rsidR="00056918">
        <w:tblPrEx>
          <w:tblCellMar>
            <w:top w:w="0" w:type="dxa"/>
            <w:bottom w:w="0" w:type="dxa"/>
          </w:tblCellMar>
        </w:tblPrEx>
        <w:trPr>
          <w:trHeight w:hRule="exact" w:val="302"/>
          <w:jc w:val="center"/>
        </w:trPr>
        <w:tc>
          <w:tcPr>
            <w:tcW w:w="1368" w:type="dxa"/>
            <w:tcBorders>
              <w:top w:val="single" w:sz="4" w:space="0" w:color="auto"/>
              <w:left w:val="single" w:sz="4" w:space="0" w:color="auto"/>
            </w:tcBorders>
            <w:shd w:val="clear" w:color="auto" w:fill="FFFFFF"/>
          </w:tcPr>
          <w:p w:rsidR="00056918" w:rsidRDefault="00801869">
            <w:pPr>
              <w:pStyle w:val="Style12"/>
              <w:framePr w:w="9739" w:wrap="notBeside" w:vAnchor="text" w:hAnchor="text" w:xAlign="center" w:y="1"/>
              <w:shd w:val="clear" w:color="auto" w:fill="auto"/>
              <w:spacing w:before="0" w:line="134" w:lineRule="exact"/>
              <w:ind w:left="220" w:hanging="220"/>
              <w:jc w:val="left"/>
            </w:pPr>
            <w:r>
              <w:rPr>
                <w:rStyle w:val="CharStyle21"/>
              </w:rPr>
              <w:t>Zastoupený/á</w:t>
            </w:r>
          </w:p>
        </w:tc>
        <w:tc>
          <w:tcPr>
            <w:tcW w:w="845" w:type="dxa"/>
            <w:tcBorders>
              <w:top w:val="single" w:sz="4" w:space="0" w:color="auto"/>
            </w:tcBorders>
            <w:shd w:val="clear" w:color="auto" w:fill="FFFFFF"/>
          </w:tcPr>
          <w:p w:rsidR="00056918" w:rsidRDefault="00056918">
            <w:pPr>
              <w:framePr w:w="9739" w:wrap="notBeside" w:vAnchor="text" w:hAnchor="text" w:xAlign="center" w:y="1"/>
              <w:rPr>
                <w:sz w:val="10"/>
                <w:szCs w:val="10"/>
              </w:rPr>
            </w:pPr>
          </w:p>
        </w:tc>
        <w:tc>
          <w:tcPr>
            <w:tcW w:w="2026" w:type="dxa"/>
            <w:tcBorders>
              <w:top w:val="single" w:sz="4" w:space="0" w:color="auto"/>
            </w:tcBorders>
            <w:shd w:val="clear" w:color="auto" w:fill="FFFFFF"/>
          </w:tcPr>
          <w:p w:rsidR="00056918" w:rsidRDefault="00056918">
            <w:pPr>
              <w:framePr w:w="9739" w:wrap="notBeside" w:vAnchor="text" w:hAnchor="text" w:xAlign="center" w:y="1"/>
              <w:rPr>
                <w:sz w:val="10"/>
                <w:szCs w:val="10"/>
              </w:rPr>
            </w:pPr>
          </w:p>
        </w:tc>
        <w:tc>
          <w:tcPr>
            <w:tcW w:w="1219" w:type="dxa"/>
            <w:tcBorders>
              <w:top w:val="single" w:sz="4" w:space="0" w:color="auto"/>
            </w:tcBorders>
            <w:shd w:val="clear" w:color="auto" w:fill="FFFFFF"/>
          </w:tcPr>
          <w:p w:rsidR="00056918" w:rsidRDefault="00056918">
            <w:pPr>
              <w:framePr w:w="9739" w:wrap="notBeside" w:vAnchor="text" w:hAnchor="text" w:xAlign="center" w:y="1"/>
              <w:rPr>
                <w:sz w:val="10"/>
                <w:szCs w:val="10"/>
              </w:rPr>
            </w:pPr>
          </w:p>
        </w:tc>
        <w:tc>
          <w:tcPr>
            <w:tcW w:w="1603" w:type="dxa"/>
            <w:tcBorders>
              <w:top w:val="single" w:sz="4" w:space="0" w:color="auto"/>
            </w:tcBorders>
            <w:shd w:val="clear" w:color="auto" w:fill="FFFFFF"/>
          </w:tcPr>
          <w:p w:rsidR="00056918" w:rsidRDefault="00056918">
            <w:pPr>
              <w:framePr w:w="9739" w:wrap="notBeside" w:vAnchor="text" w:hAnchor="text" w:xAlign="center" w:y="1"/>
              <w:rPr>
                <w:sz w:val="10"/>
                <w:szCs w:val="10"/>
              </w:rPr>
            </w:pPr>
          </w:p>
        </w:tc>
        <w:tc>
          <w:tcPr>
            <w:tcW w:w="1613" w:type="dxa"/>
            <w:tcBorders>
              <w:top w:val="single" w:sz="4" w:space="0" w:color="auto"/>
            </w:tcBorders>
            <w:shd w:val="clear" w:color="auto" w:fill="FFFFFF"/>
          </w:tcPr>
          <w:p w:rsidR="00056918" w:rsidRDefault="00056918">
            <w:pPr>
              <w:framePr w:w="9739" w:wrap="notBeside" w:vAnchor="text" w:hAnchor="text" w:xAlign="center" w:y="1"/>
              <w:rPr>
                <w:sz w:val="10"/>
                <w:szCs w:val="10"/>
              </w:rPr>
            </w:pPr>
          </w:p>
        </w:tc>
        <w:tc>
          <w:tcPr>
            <w:tcW w:w="1066" w:type="dxa"/>
            <w:tcBorders>
              <w:top w:val="single" w:sz="4" w:space="0" w:color="auto"/>
              <w:right w:val="single" w:sz="4" w:space="0" w:color="auto"/>
            </w:tcBorders>
            <w:shd w:val="clear" w:color="auto" w:fill="FFFFFF"/>
          </w:tcPr>
          <w:p w:rsidR="00056918" w:rsidRDefault="00056918">
            <w:pPr>
              <w:framePr w:w="9739" w:wrap="notBeside" w:vAnchor="text" w:hAnchor="text" w:xAlign="center" w:y="1"/>
              <w:rPr>
                <w:sz w:val="10"/>
                <w:szCs w:val="10"/>
              </w:rPr>
            </w:pPr>
          </w:p>
        </w:tc>
      </w:tr>
      <w:tr w:rsidR="00056918">
        <w:tblPrEx>
          <w:tblCellMar>
            <w:top w:w="0" w:type="dxa"/>
            <w:bottom w:w="0" w:type="dxa"/>
          </w:tblCellMar>
        </w:tblPrEx>
        <w:trPr>
          <w:trHeight w:hRule="exact" w:val="187"/>
          <w:jc w:val="center"/>
        </w:trPr>
        <w:tc>
          <w:tcPr>
            <w:tcW w:w="1368" w:type="dxa"/>
            <w:tcBorders>
              <w:left w:val="single" w:sz="4" w:space="0" w:color="auto"/>
            </w:tcBorders>
            <w:shd w:val="clear" w:color="auto" w:fill="FFFFFF"/>
          </w:tcPr>
          <w:p w:rsidR="00056918" w:rsidRDefault="00056918">
            <w:pPr>
              <w:framePr w:w="9739" w:wrap="notBeside" w:vAnchor="text" w:hAnchor="text" w:xAlign="center" w:y="1"/>
              <w:rPr>
                <w:sz w:val="10"/>
                <w:szCs w:val="10"/>
              </w:rPr>
            </w:pPr>
          </w:p>
        </w:tc>
        <w:tc>
          <w:tcPr>
            <w:tcW w:w="845" w:type="dxa"/>
            <w:tcBorders>
              <w:top w:val="single" w:sz="4" w:space="0" w:color="auto"/>
            </w:tcBorders>
            <w:shd w:val="clear" w:color="auto" w:fill="FFFFFF"/>
          </w:tcPr>
          <w:p w:rsidR="00056918" w:rsidRDefault="00056918">
            <w:pPr>
              <w:framePr w:w="9739" w:wrap="notBeside" w:vAnchor="text" w:hAnchor="text" w:xAlign="center" w:y="1"/>
              <w:rPr>
                <w:sz w:val="10"/>
                <w:szCs w:val="10"/>
              </w:rPr>
            </w:pPr>
          </w:p>
        </w:tc>
        <w:tc>
          <w:tcPr>
            <w:tcW w:w="3245" w:type="dxa"/>
            <w:gridSpan w:val="2"/>
            <w:tcBorders>
              <w:top w:val="single" w:sz="4" w:space="0" w:color="auto"/>
            </w:tcBorders>
            <w:shd w:val="clear" w:color="auto" w:fill="FFFFFF"/>
          </w:tcPr>
          <w:p w:rsidR="00056918" w:rsidRDefault="00801869">
            <w:pPr>
              <w:pStyle w:val="Style12"/>
              <w:framePr w:w="9739" w:wrap="notBeside" w:vAnchor="text" w:hAnchor="text" w:xAlign="center" w:y="1"/>
              <w:shd w:val="clear" w:color="auto" w:fill="auto"/>
              <w:spacing w:before="0" w:line="134" w:lineRule="exact"/>
              <w:ind w:firstLine="0"/>
              <w:jc w:val="right"/>
            </w:pPr>
            <w:r>
              <w:rPr>
                <w:rStyle w:val="CharStyle21"/>
              </w:rPr>
              <w:t>příjmení, jméno, titul popř. obchodní firma</w:t>
            </w:r>
          </w:p>
        </w:tc>
        <w:tc>
          <w:tcPr>
            <w:tcW w:w="1603" w:type="dxa"/>
            <w:tcBorders>
              <w:top w:val="single" w:sz="4" w:space="0" w:color="auto"/>
            </w:tcBorders>
            <w:shd w:val="clear" w:color="auto" w:fill="FFFFFF"/>
          </w:tcPr>
          <w:p w:rsidR="00056918" w:rsidRDefault="00056918">
            <w:pPr>
              <w:framePr w:w="9739" w:wrap="notBeside" w:vAnchor="text" w:hAnchor="text" w:xAlign="center" w:y="1"/>
              <w:rPr>
                <w:sz w:val="10"/>
                <w:szCs w:val="10"/>
              </w:rPr>
            </w:pPr>
          </w:p>
        </w:tc>
        <w:tc>
          <w:tcPr>
            <w:tcW w:w="1613" w:type="dxa"/>
            <w:tcBorders>
              <w:top w:val="single" w:sz="4" w:space="0" w:color="auto"/>
            </w:tcBorders>
            <w:shd w:val="clear" w:color="auto" w:fill="FFFFFF"/>
          </w:tcPr>
          <w:p w:rsidR="00056918" w:rsidRDefault="00801869">
            <w:pPr>
              <w:pStyle w:val="Style12"/>
              <w:framePr w:w="9739" w:wrap="notBeside" w:vAnchor="text" w:hAnchor="text" w:xAlign="center" w:y="1"/>
              <w:shd w:val="clear" w:color="auto" w:fill="auto"/>
              <w:spacing w:before="0" w:line="134" w:lineRule="exact"/>
              <w:ind w:firstLine="0"/>
              <w:jc w:val="left"/>
            </w:pPr>
            <w:r>
              <w:rPr>
                <w:rStyle w:val="CharStyle21"/>
              </w:rPr>
              <w:t>datum narození/IČ</w:t>
            </w:r>
          </w:p>
        </w:tc>
        <w:tc>
          <w:tcPr>
            <w:tcW w:w="1066" w:type="dxa"/>
            <w:tcBorders>
              <w:right w:val="single" w:sz="4" w:space="0" w:color="auto"/>
            </w:tcBorders>
            <w:shd w:val="clear" w:color="auto" w:fill="FFFFFF"/>
          </w:tcPr>
          <w:p w:rsidR="00056918" w:rsidRDefault="00056918">
            <w:pPr>
              <w:framePr w:w="9739" w:wrap="notBeside" w:vAnchor="text" w:hAnchor="text" w:xAlign="center" w:y="1"/>
              <w:rPr>
                <w:sz w:val="10"/>
                <w:szCs w:val="10"/>
              </w:rPr>
            </w:pPr>
          </w:p>
        </w:tc>
      </w:tr>
      <w:tr w:rsidR="00056918">
        <w:tblPrEx>
          <w:tblCellMar>
            <w:top w:w="0" w:type="dxa"/>
            <w:bottom w:w="0" w:type="dxa"/>
          </w:tblCellMar>
        </w:tblPrEx>
        <w:trPr>
          <w:trHeight w:hRule="exact" w:val="250"/>
          <w:jc w:val="center"/>
        </w:trPr>
        <w:tc>
          <w:tcPr>
            <w:tcW w:w="1368" w:type="dxa"/>
            <w:tcBorders>
              <w:top w:val="single" w:sz="4" w:space="0" w:color="auto"/>
              <w:left w:val="single" w:sz="4" w:space="0" w:color="auto"/>
            </w:tcBorders>
            <w:shd w:val="clear" w:color="auto" w:fill="FFFFFF"/>
          </w:tcPr>
          <w:p w:rsidR="00056918" w:rsidRDefault="00801869">
            <w:pPr>
              <w:pStyle w:val="Style12"/>
              <w:framePr w:w="9739" w:wrap="notBeside" w:vAnchor="text" w:hAnchor="text" w:xAlign="center" w:y="1"/>
              <w:shd w:val="clear" w:color="auto" w:fill="auto"/>
              <w:spacing w:before="0" w:line="134" w:lineRule="exact"/>
              <w:ind w:left="220" w:hanging="220"/>
              <w:jc w:val="left"/>
            </w:pPr>
            <w:r>
              <w:rPr>
                <w:rStyle w:val="CharStyle21"/>
              </w:rPr>
              <w:t xml:space="preserve">a) Adresa </w:t>
            </w:r>
            <w:r>
              <w:rPr>
                <w:rStyle w:val="CharStyle21"/>
              </w:rPr>
              <w:t>zákazníka</w:t>
            </w:r>
          </w:p>
        </w:tc>
        <w:tc>
          <w:tcPr>
            <w:tcW w:w="845" w:type="dxa"/>
            <w:tcBorders>
              <w:top w:val="single" w:sz="4" w:space="0" w:color="auto"/>
            </w:tcBorders>
            <w:shd w:val="clear" w:color="auto" w:fill="FFFFFF"/>
          </w:tcPr>
          <w:p w:rsidR="00056918" w:rsidRDefault="00056918">
            <w:pPr>
              <w:framePr w:w="9739" w:wrap="notBeside" w:vAnchor="text" w:hAnchor="text" w:xAlign="center" w:y="1"/>
              <w:rPr>
                <w:sz w:val="10"/>
                <w:szCs w:val="10"/>
              </w:rPr>
            </w:pPr>
          </w:p>
        </w:tc>
        <w:tc>
          <w:tcPr>
            <w:tcW w:w="2026" w:type="dxa"/>
            <w:tcBorders>
              <w:top w:val="single" w:sz="4" w:space="0" w:color="auto"/>
            </w:tcBorders>
            <w:shd w:val="clear" w:color="auto" w:fill="FFFFFF"/>
          </w:tcPr>
          <w:p w:rsidR="00056918" w:rsidRDefault="00056918">
            <w:pPr>
              <w:framePr w:w="9739" w:wrap="notBeside" w:vAnchor="text" w:hAnchor="text" w:xAlign="center" w:y="1"/>
              <w:rPr>
                <w:sz w:val="10"/>
                <w:szCs w:val="10"/>
              </w:rPr>
            </w:pPr>
          </w:p>
        </w:tc>
        <w:tc>
          <w:tcPr>
            <w:tcW w:w="1219" w:type="dxa"/>
            <w:tcBorders>
              <w:top w:val="single" w:sz="4" w:space="0" w:color="auto"/>
            </w:tcBorders>
            <w:shd w:val="clear" w:color="auto" w:fill="FFFFFF"/>
          </w:tcPr>
          <w:p w:rsidR="00056918" w:rsidRDefault="00801869">
            <w:pPr>
              <w:pStyle w:val="Style12"/>
              <w:framePr w:w="9739" w:wrap="notBeside" w:vAnchor="text" w:hAnchor="text" w:xAlign="center" w:y="1"/>
              <w:shd w:val="clear" w:color="auto" w:fill="auto"/>
              <w:spacing w:before="0" w:line="178" w:lineRule="exact"/>
              <w:ind w:firstLine="0"/>
              <w:jc w:val="left"/>
            </w:pPr>
            <w:r>
              <w:rPr>
                <w:rStyle w:val="CharStyle20"/>
              </w:rPr>
              <w:t>Praha 11 Háje</w:t>
            </w:r>
          </w:p>
        </w:tc>
        <w:tc>
          <w:tcPr>
            <w:tcW w:w="1603" w:type="dxa"/>
            <w:tcBorders>
              <w:top w:val="single" w:sz="4" w:space="0" w:color="auto"/>
            </w:tcBorders>
            <w:shd w:val="clear" w:color="auto" w:fill="FFFFFF"/>
          </w:tcPr>
          <w:p w:rsidR="00056918" w:rsidRDefault="00056918">
            <w:pPr>
              <w:framePr w:w="9739" w:wrap="notBeside" w:vAnchor="text" w:hAnchor="text" w:xAlign="center" w:y="1"/>
              <w:rPr>
                <w:sz w:val="10"/>
                <w:szCs w:val="10"/>
              </w:rPr>
            </w:pPr>
          </w:p>
        </w:tc>
        <w:tc>
          <w:tcPr>
            <w:tcW w:w="1613" w:type="dxa"/>
            <w:tcBorders>
              <w:top w:val="single" w:sz="4" w:space="0" w:color="auto"/>
            </w:tcBorders>
            <w:shd w:val="clear" w:color="auto" w:fill="FFFFFF"/>
          </w:tcPr>
          <w:p w:rsidR="00056918" w:rsidRDefault="00056918">
            <w:pPr>
              <w:framePr w:w="9739" w:wrap="notBeside" w:vAnchor="text" w:hAnchor="text" w:xAlign="center" w:y="1"/>
              <w:rPr>
                <w:sz w:val="10"/>
                <w:szCs w:val="10"/>
              </w:rPr>
            </w:pPr>
          </w:p>
        </w:tc>
        <w:tc>
          <w:tcPr>
            <w:tcW w:w="1066" w:type="dxa"/>
            <w:tcBorders>
              <w:top w:val="single" w:sz="4" w:space="0" w:color="auto"/>
              <w:right w:val="single" w:sz="4" w:space="0" w:color="auto"/>
            </w:tcBorders>
            <w:shd w:val="clear" w:color="auto" w:fill="FFFFFF"/>
          </w:tcPr>
          <w:p w:rsidR="00056918" w:rsidRDefault="00801869">
            <w:pPr>
              <w:pStyle w:val="Style12"/>
              <w:framePr w:w="9739" w:wrap="notBeside" w:vAnchor="text" w:hAnchor="text" w:xAlign="center" w:y="1"/>
              <w:shd w:val="clear" w:color="auto" w:fill="auto"/>
              <w:spacing w:before="0" w:line="178" w:lineRule="exact"/>
              <w:ind w:firstLine="0"/>
              <w:jc w:val="left"/>
            </w:pPr>
            <w:r>
              <w:rPr>
                <w:rStyle w:val="CharStyle20"/>
              </w:rPr>
              <w:t>149 00</w:t>
            </w:r>
          </w:p>
        </w:tc>
      </w:tr>
      <w:tr w:rsidR="00056918">
        <w:tblPrEx>
          <w:tblCellMar>
            <w:top w:w="0" w:type="dxa"/>
            <w:bottom w:w="0" w:type="dxa"/>
          </w:tblCellMar>
        </w:tblPrEx>
        <w:trPr>
          <w:trHeight w:hRule="exact" w:val="187"/>
          <w:jc w:val="center"/>
        </w:trPr>
        <w:tc>
          <w:tcPr>
            <w:tcW w:w="1368" w:type="dxa"/>
            <w:tcBorders>
              <w:left w:val="single" w:sz="4" w:space="0" w:color="auto"/>
            </w:tcBorders>
            <w:shd w:val="clear" w:color="auto" w:fill="FFFFFF"/>
          </w:tcPr>
          <w:p w:rsidR="00056918" w:rsidRDefault="00056918">
            <w:pPr>
              <w:framePr w:w="9739" w:wrap="notBeside" w:vAnchor="text" w:hAnchor="text" w:xAlign="center" w:y="1"/>
              <w:rPr>
                <w:sz w:val="10"/>
                <w:szCs w:val="10"/>
              </w:rPr>
            </w:pPr>
          </w:p>
        </w:tc>
        <w:tc>
          <w:tcPr>
            <w:tcW w:w="845" w:type="dxa"/>
            <w:tcBorders>
              <w:top w:val="single" w:sz="4" w:space="0" w:color="auto"/>
            </w:tcBorders>
            <w:shd w:val="clear" w:color="auto" w:fill="FFFFFF"/>
          </w:tcPr>
          <w:p w:rsidR="00056918" w:rsidRDefault="00056918">
            <w:pPr>
              <w:framePr w:w="9739" w:wrap="notBeside" w:vAnchor="text" w:hAnchor="text" w:xAlign="center" w:y="1"/>
              <w:rPr>
                <w:sz w:val="10"/>
                <w:szCs w:val="10"/>
              </w:rPr>
            </w:pPr>
          </w:p>
        </w:tc>
        <w:tc>
          <w:tcPr>
            <w:tcW w:w="2026" w:type="dxa"/>
            <w:tcBorders>
              <w:top w:val="single" w:sz="4" w:space="0" w:color="auto"/>
            </w:tcBorders>
            <w:shd w:val="clear" w:color="auto" w:fill="FFFFFF"/>
          </w:tcPr>
          <w:p w:rsidR="00056918" w:rsidRDefault="00056918">
            <w:pPr>
              <w:framePr w:w="9739" w:wrap="notBeside" w:vAnchor="text" w:hAnchor="text" w:xAlign="center" w:y="1"/>
              <w:rPr>
                <w:sz w:val="10"/>
                <w:szCs w:val="10"/>
              </w:rPr>
            </w:pPr>
          </w:p>
        </w:tc>
        <w:tc>
          <w:tcPr>
            <w:tcW w:w="1219" w:type="dxa"/>
            <w:tcBorders>
              <w:top w:val="single" w:sz="4" w:space="0" w:color="auto"/>
            </w:tcBorders>
            <w:shd w:val="clear" w:color="auto" w:fill="FFFFFF"/>
          </w:tcPr>
          <w:p w:rsidR="00056918" w:rsidRDefault="00801869">
            <w:pPr>
              <w:pStyle w:val="Style12"/>
              <w:framePr w:w="9739" w:wrap="notBeside" w:vAnchor="text" w:hAnchor="text" w:xAlign="center" w:y="1"/>
              <w:shd w:val="clear" w:color="auto" w:fill="auto"/>
              <w:spacing w:before="0" w:line="134" w:lineRule="exact"/>
              <w:ind w:firstLine="0"/>
              <w:jc w:val="left"/>
            </w:pPr>
            <w:r>
              <w:rPr>
                <w:rStyle w:val="CharStyle21"/>
              </w:rPr>
              <w:t>obec (městská část)</w:t>
            </w:r>
          </w:p>
        </w:tc>
        <w:tc>
          <w:tcPr>
            <w:tcW w:w="1603" w:type="dxa"/>
            <w:tcBorders>
              <w:top w:val="single" w:sz="4" w:space="0" w:color="auto"/>
            </w:tcBorders>
            <w:shd w:val="clear" w:color="auto" w:fill="FFFFFF"/>
          </w:tcPr>
          <w:p w:rsidR="00056918" w:rsidRDefault="00056918">
            <w:pPr>
              <w:framePr w:w="9739" w:wrap="notBeside" w:vAnchor="text" w:hAnchor="text" w:xAlign="center" w:y="1"/>
              <w:rPr>
                <w:sz w:val="10"/>
                <w:szCs w:val="10"/>
              </w:rPr>
            </w:pPr>
          </w:p>
        </w:tc>
        <w:tc>
          <w:tcPr>
            <w:tcW w:w="1613" w:type="dxa"/>
            <w:tcBorders>
              <w:top w:val="single" w:sz="4" w:space="0" w:color="auto"/>
            </w:tcBorders>
            <w:shd w:val="clear" w:color="auto" w:fill="FFFFFF"/>
          </w:tcPr>
          <w:p w:rsidR="00056918" w:rsidRDefault="00056918">
            <w:pPr>
              <w:framePr w:w="9739" w:wrap="notBeside" w:vAnchor="text" w:hAnchor="text" w:xAlign="center" w:y="1"/>
              <w:rPr>
                <w:sz w:val="10"/>
                <w:szCs w:val="10"/>
              </w:rPr>
            </w:pPr>
          </w:p>
        </w:tc>
        <w:tc>
          <w:tcPr>
            <w:tcW w:w="1066" w:type="dxa"/>
            <w:tcBorders>
              <w:top w:val="single" w:sz="4" w:space="0" w:color="auto"/>
              <w:right w:val="single" w:sz="4" w:space="0" w:color="auto"/>
            </w:tcBorders>
            <w:shd w:val="clear" w:color="auto" w:fill="FFFFFF"/>
          </w:tcPr>
          <w:p w:rsidR="00056918" w:rsidRDefault="00801869">
            <w:pPr>
              <w:pStyle w:val="Style12"/>
              <w:framePr w:w="9739" w:wrap="notBeside" w:vAnchor="text" w:hAnchor="text" w:xAlign="center" w:y="1"/>
              <w:shd w:val="clear" w:color="auto" w:fill="auto"/>
              <w:spacing w:before="0" w:line="134" w:lineRule="exact"/>
              <w:ind w:left="280" w:firstLine="0"/>
              <w:jc w:val="left"/>
            </w:pPr>
            <w:r>
              <w:rPr>
                <w:rStyle w:val="CharStyle21"/>
              </w:rPr>
              <w:t>PSČ</w:t>
            </w:r>
          </w:p>
        </w:tc>
      </w:tr>
      <w:tr w:rsidR="00056918">
        <w:tblPrEx>
          <w:tblCellMar>
            <w:top w:w="0" w:type="dxa"/>
            <w:bottom w:w="0" w:type="dxa"/>
          </w:tblCellMar>
        </w:tblPrEx>
        <w:trPr>
          <w:trHeight w:hRule="exact" w:val="250"/>
          <w:jc w:val="center"/>
        </w:trPr>
        <w:tc>
          <w:tcPr>
            <w:tcW w:w="1368" w:type="dxa"/>
            <w:tcBorders>
              <w:left w:val="single" w:sz="4" w:space="0" w:color="auto"/>
            </w:tcBorders>
            <w:shd w:val="clear" w:color="auto" w:fill="FFFFFF"/>
          </w:tcPr>
          <w:p w:rsidR="00056918" w:rsidRDefault="00056918">
            <w:pPr>
              <w:framePr w:w="9739" w:wrap="notBeside" w:vAnchor="text" w:hAnchor="text" w:xAlign="center" w:y="1"/>
              <w:rPr>
                <w:sz w:val="10"/>
                <w:szCs w:val="10"/>
              </w:rPr>
            </w:pPr>
          </w:p>
        </w:tc>
        <w:tc>
          <w:tcPr>
            <w:tcW w:w="845" w:type="dxa"/>
            <w:shd w:val="clear" w:color="auto" w:fill="FFFFFF"/>
          </w:tcPr>
          <w:p w:rsidR="00056918" w:rsidRDefault="00801869">
            <w:pPr>
              <w:pStyle w:val="Style12"/>
              <w:framePr w:w="9739" w:wrap="notBeside" w:vAnchor="text" w:hAnchor="text" w:xAlign="center" w:y="1"/>
              <w:shd w:val="clear" w:color="auto" w:fill="auto"/>
              <w:spacing w:before="0" w:line="178" w:lineRule="exact"/>
              <w:ind w:firstLine="0"/>
              <w:jc w:val="left"/>
            </w:pPr>
            <w:r>
              <w:rPr>
                <w:rStyle w:val="CharStyle20"/>
              </w:rPr>
              <w:t>l&lt; Milíčovu</w:t>
            </w:r>
          </w:p>
        </w:tc>
        <w:tc>
          <w:tcPr>
            <w:tcW w:w="2026" w:type="dxa"/>
            <w:shd w:val="clear" w:color="auto" w:fill="FFFFFF"/>
          </w:tcPr>
          <w:p w:rsidR="00056918" w:rsidRDefault="00801869">
            <w:pPr>
              <w:pStyle w:val="Style12"/>
              <w:framePr w:w="9739" w:wrap="notBeside" w:vAnchor="text" w:hAnchor="text" w:xAlign="center" w:y="1"/>
              <w:shd w:val="clear" w:color="auto" w:fill="auto"/>
              <w:spacing w:before="0" w:line="178" w:lineRule="exact"/>
              <w:ind w:left="1680" w:firstLine="0"/>
              <w:jc w:val="left"/>
            </w:pPr>
            <w:r>
              <w:rPr>
                <w:rStyle w:val="CharStyle20"/>
              </w:rPr>
              <w:t>i</w:t>
            </w:r>
          </w:p>
        </w:tc>
        <w:tc>
          <w:tcPr>
            <w:tcW w:w="1219" w:type="dxa"/>
            <w:shd w:val="clear" w:color="auto" w:fill="FFFFFF"/>
          </w:tcPr>
          <w:p w:rsidR="00056918" w:rsidRDefault="00801869">
            <w:pPr>
              <w:pStyle w:val="Style12"/>
              <w:framePr w:w="9739" w:wrap="notBeside" w:vAnchor="text" w:hAnchor="text" w:xAlign="center" w:y="1"/>
              <w:shd w:val="clear" w:color="auto" w:fill="auto"/>
              <w:spacing w:before="0" w:line="178" w:lineRule="exact"/>
              <w:ind w:right="40" w:firstLine="0"/>
              <w:jc w:val="center"/>
            </w:pPr>
            <w:r>
              <w:rPr>
                <w:rStyle w:val="CharStyle20"/>
              </w:rPr>
              <w:t>734</w:t>
            </w:r>
          </w:p>
        </w:tc>
        <w:tc>
          <w:tcPr>
            <w:tcW w:w="1603" w:type="dxa"/>
            <w:shd w:val="clear" w:color="auto" w:fill="FFFFFF"/>
          </w:tcPr>
          <w:p w:rsidR="00056918" w:rsidRDefault="003E369E">
            <w:pPr>
              <w:pStyle w:val="Style12"/>
              <w:framePr w:w="9739" w:wrap="notBeside" w:vAnchor="text" w:hAnchor="text" w:xAlign="center" w:y="1"/>
              <w:shd w:val="clear" w:color="auto" w:fill="auto"/>
              <w:spacing w:before="0" w:line="178" w:lineRule="exact"/>
              <w:ind w:left="160" w:firstLine="0"/>
              <w:jc w:val="left"/>
            </w:pPr>
            <w:r>
              <w:rPr>
                <w:rStyle w:val="CharStyle20"/>
              </w:rPr>
              <w:t>xxxxxxxx</w:t>
            </w:r>
          </w:p>
        </w:tc>
        <w:tc>
          <w:tcPr>
            <w:tcW w:w="2679" w:type="dxa"/>
            <w:gridSpan w:val="2"/>
            <w:tcBorders>
              <w:right w:val="single" w:sz="4" w:space="0" w:color="auto"/>
            </w:tcBorders>
            <w:shd w:val="clear" w:color="auto" w:fill="FFFFFF"/>
          </w:tcPr>
          <w:p w:rsidR="00056918" w:rsidRDefault="00801869" w:rsidP="003E369E">
            <w:pPr>
              <w:pStyle w:val="Style12"/>
              <w:framePr w:w="9739" w:wrap="notBeside" w:vAnchor="text" w:hAnchor="text" w:xAlign="center" w:y="1"/>
              <w:shd w:val="clear" w:color="auto" w:fill="auto"/>
              <w:spacing w:before="0" w:line="178" w:lineRule="exact"/>
              <w:ind w:left="40" w:firstLine="0"/>
              <w:jc w:val="center"/>
            </w:pPr>
            <w:hyperlink r:id="rId9" w:history="1">
              <w:r w:rsidR="003E369E">
                <w:rPr>
                  <w:rStyle w:val="CharStyle20"/>
                  <w:lang w:val="en-US" w:eastAsia="en-US" w:bidi="en-US"/>
                </w:rPr>
                <w:t>xxxxxxx</w:t>
              </w:r>
            </w:hyperlink>
          </w:p>
        </w:tc>
      </w:tr>
      <w:tr w:rsidR="00056918">
        <w:tblPrEx>
          <w:tblCellMar>
            <w:top w:w="0" w:type="dxa"/>
            <w:bottom w:w="0" w:type="dxa"/>
          </w:tblCellMar>
        </w:tblPrEx>
        <w:trPr>
          <w:trHeight w:hRule="exact" w:val="187"/>
          <w:jc w:val="center"/>
        </w:trPr>
        <w:tc>
          <w:tcPr>
            <w:tcW w:w="1368" w:type="dxa"/>
            <w:tcBorders>
              <w:top w:val="single" w:sz="4" w:space="0" w:color="auto"/>
              <w:left w:val="single" w:sz="4" w:space="0" w:color="auto"/>
            </w:tcBorders>
            <w:shd w:val="clear" w:color="auto" w:fill="FFFFFF"/>
          </w:tcPr>
          <w:p w:rsidR="00056918" w:rsidRDefault="00056918">
            <w:pPr>
              <w:framePr w:w="9739" w:wrap="notBeside" w:vAnchor="text" w:hAnchor="text" w:xAlign="center" w:y="1"/>
              <w:rPr>
                <w:sz w:val="10"/>
                <w:szCs w:val="10"/>
              </w:rPr>
            </w:pPr>
          </w:p>
        </w:tc>
        <w:tc>
          <w:tcPr>
            <w:tcW w:w="845" w:type="dxa"/>
            <w:tcBorders>
              <w:top w:val="single" w:sz="4" w:space="0" w:color="auto"/>
            </w:tcBorders>
            <w:shd w:val="clear" w:color="auto" w:fill="FFFFFF"/>
          </w:tcPr>
          <w:p w:rsidR="00056918" w:rsidRDefault="00801869">
            <w:pPr>
              <w:pStyle w:val="Style12"/>
              <w:framePr w:w="9739" w:wrap="notBeside" w:vAnchor="text" w:hAnchor="text" w:xAlign="center" w:y="1"/>
              <w:shd w:val="clear" w:color="auto" w:fill="auto"/>
              <w:spacing w:before="0" w:line="134" w:lineRule="exact"/>
              <w:ind w:left="60" w:firstLine="0"/>
              <w:jc w:val="center"/>
            </w:pPr>
            <w:r>
              <w:rPr>
                <w:rStyle w:val="CharStyle21"/>
              </w:rPr>
              <w:t>ulice</w:t>
            </w:r>
          </w:p>
        </w:tc>
        <w:tc>
          <w:tcPr>
            <w:tcW w:w="2026" w:type="dxa"/>
            <w:tcBorders>
              <w:top w:val="single" w:sz="4" w:space="0" w:color="auto"/>
            </w:tcBorders>
            <w:shd w:val="clear" w:color="auto" w:fill="FFFFFF"/>
          </w:tcPr>
          <w:p w:rsidR="00056918" w:rsidRDefault="00801869">
            <w:pPr>
              <w:pStyle w:val="Style12"/>
              <w:framePr w:w="9739" w:wrap="notBeside" w:vAnchor="text" w:hAnchor="text" w:xAlign="center" w:y="1"/>
              <w:shd w:val="clear" w:color="auto" w:fill="auto"/>
              <w:spacing w:before="0" w:line="134" w:lineRule="exact"/>
              <w:ind w:firstLine="0"/>
              <w:jc w:val="right"/>
            </w:pPr>
            <w:r>
              <w:rPr>
                <w:rStyle w:val="CharStyle21"/>
              </w:rPr>
              <w:t>č. orient.</w:t>
            </w:r>
          </w:p>
        </w:tc>
        <w:tc>
          <w:tcPr>
            <w:tcW w:w="1219" w:type="dxa"/>
            <w:tcBorders>
              <w:top w:val="single" w:sz="4" w:space="0" w:color="auto"/>
            </w:tcBorders>
            <w:shd w:val="clear" w:color="auto" w:fill="FFFFFF"/>
          </w:tcPr>
          <w:p w:rsidR="00056918" w:rsidRDefault="00801869">
            <w:pPr>
              <w:pStyle w:val="Style12"/>
              <w:framePr w:w="9739" w:wrap="notBeside" w:vAnchor="text" w:hAnchor="text" w:xAlign="center" w:y="1"/>
              <w:shd w:val="clear" w:color="auto" w:fill="auto"/>
              <w:spacing w:before="0" w:line="134" w:lineRule="exact"/>
              <w:ind w:right="40" w:firstLine="0"/>
              <w:jc w:val="center"/>
            </w:pPr>
            <w:r>
              <w:rPr>
                <w:rStyle w:val="CharStyle21"/>
              </w:rPr>
              <w:t>č. popis.</w:t>
            </w:r>
          </w:p>
        </w:tc>
        <w:tc>
          <w:tcPr>
            <w:tcW w:w="1603" w:type="dxa"/>
            <w:tcBorders>
              <w:top w:val="single" w:sz="4" w:space="0" w:color="auto"/>
            </w:tcBorders>
            <w:shd w:val="clear" w:color="auto" w:fill="FFFFFF"/>
          </w:tcPr>
          <w:p w:rsidR="00056918" w:rsidRDefault="00801869">
            <w:pPr>
              <w:pStyle w:val="Style12"/>
              <w:framePr w:w="9739" w:wrap="notBeside" w:vAnchor="text" w:hAnchor="text" w:xAlign="center" w:y="1"/>
              <w:shd w:val="clear" w:color="auto" w:fill="auto"/>
              <w:spacing w:before="0" w:line="134" w:lineRule="exact"/>
              <w:ind w:left="80" w:firstLine="0"/>
              <w:jc w:val="center"/>
            </w:pPr>
            <w:r>
              <w:rPr>
                <w:rStyle w:val="CharStyle21"/>
              </w:rPr>
              <w:t>telefon</w:t>
            </w:r>
          </w:p>
        </w:tc>
        <w:tc>
          <w:tcPr>
            <w:tcW w:w="1613" w:type="dxa"/>
            <w:tcBorders>
              <w:top w:val="single" w:sz="4" w:space="0" w:color="auto"/>
            </w:tcBorders>
            <w:shd w:val="clear" w:color="auto" w:fill="FFFFFF"/>
          </w:tcPr>
          <w:p w:rsidR="00056918" w:rsidRDefault="00801869">
            <w:pPr>
              <w:pStyle w:val="Style12"/>
              <w:framePr w:w="9739" w:wrap="notBeside" w:vAnchor="text" w:hAnchor="text" w:xAlign="center" w:y="1"/>
              <w:shd w:val="clear" w:color="auto" w:fill="auto"/>
              <w:spacing w:before="0" w:line="134" w:lineRule="exact"/>
              <w:ind w:firstLine="0"/>
              <w:jc w:val="right"/>
            </w:pPr>
            <w:r>
              <w:rPr>
                <w:rStyle w:val="CharStyle21"/>
              </w:rPr>
              <w:t>e-mail</w:t>
            </w:r>
          </w:p>
        </w:tc>
        <w:tc>
          <w:tcPr>
            <w:tcW w:w="1066" w:type="dxa"/>
            <w:tcBorders>
              <w:top w:val="single" w:sz="4" w:space="0" w:color="auto"/>
              <w:right w:val="single" w:sz="4" w:space="0" w:color="auto"/>
            </w:tcBorders>
            <w:shd w:val="clear" w:color="auto" w:fill="FFFFFF"/>
          </w:tcPr>
          <w:p w:rsidR="00056918" w:rsidRDefault="00056918">
            <w:pPr>
              <w:framePr w:w="9739" w:wrap="notBeside" w:vAnchor="text" w:hAnchor="text" w:xAlign="center" w:y="1"/>
              <w:rPr>
                <w:sz w:val="10"/>
                <w:szCs w:val="10"/>
              </w:rPr>
            </w:pPr>
          </w:p>
        </w:tc>
      </w:tr>
      <w:tr w:rsidR="00056918">
        <w:tblPrEx>
          <w:tblCellMar>
            <w:top w:w="0" w:type="dxa"/>
            <w:bottom w:w="0" w:type="dxa"/>
          </w:tblCellMar>
        </w:tblPrEx>
        <w:trPr>
          <w:trHeight w:hRule="exact" w:val="302"/>
          <w:jc w:val="center"/>
        </w:trPr>
        <w:tc>
          <w:tcPr>
            <w:tcW w:w="1368" w:type="dxa"/>
            <w:vMerge w:val="restart"/>
            <w:tcBorders>
              <w:top w:val="single" w:sz="4" w:space="0" w:color="auto"/>
              <w:left w:val="single" w:sz="4" w:space="0" w:color="auto"/>
            </w:tcBorders>
            <w:shd w:val="clear" w:color="auto" w:fill="FFFFFF"/>
          </w:tcPr>
          <w:p w:rsidR="00056918" w:rsidRDefault="00801869">
            <w:pPr>
              <w:pStyle w:val="Style12"/>
              <w:framePr w:w="9739" w:wrap="notBeside" w:vAnchor="text" w:hAnchor="text" w:xAlign="center" w:y="1"/>
              <w:shd w:val="clear" w:color="auto" w:fill="auto"/>
              <w:spacing w:before="0" w:line="154" w:lineRule="exact"/>
              <w:ind w:left="220" w:hanging="220"/>
              <w:jc w:val="left"/>
            </w:pPr>
            <w:r>
              <w:rPr>
                <w:rStyle w:val="CharStyle21"/>
              </w:rPr>
              <w:t>b) Adresa odběrného místa</w:t>
            </w:r>
          </w:p>
        </w:tc>
        <w:tc>
          <w:tcPr>
            <w:tcW w:w="845" w:type="dxa"/>
            <w:tcBorders>
              <w:top w:val="single" w:sz="4" w:space="0" w:color="auto"/>
            </w:tcBorders>
            <w:shd w:val="clear" w:color="auto" w:fill="FFFFFF"/>
          </w:tcPr>
          <w:p w:rsidR="00056918" w:rsidRDefault="00056918">
            <w:pPr>
              <w:framePr w:w="9739" w:wrap="notBeside" w:vAnchor="text" w:hAnchor="text" w:xAlign="center" w:y="1"/>
              <w:rPr>
                <w:sz w:val="10"/>
                <w:szCs w:val="10"/>
              </w:rPr>
            </w:pPr>
          </w:p>
        </w:tc>
        <w:tc>
          <w:tcPr>
            <w:tcW w:w="2026" w:type="dxa"/>
            <w:tcBorders>
              <w:top w:val="single" w:sz="4" w:space="0" w:color="auto"/>
            </w:tcBorders>
            <w:shd w:val="clear" w:color="auto" w:fill="FFFFFF"/>
          </w:tcPr>
          <w:p w:rsidR="00056918" w:rsidRDefault="00056918">
            <w:pPr>
              <w:framePr w:w="9739" w:wrap="notBeside" w:vAnchor="text" w:hAnchor="text" w:xAlign="center" w:y="1"/>
              <w:rPr>
                <w:sz w:val="10"/>
                <w:szCs w:val="10"/>
              </w:rPr>
            </w:pPr>
          </w:p>
        </w:tc>
        <w:tc>
          <w:tcPr>
            <w:tcW w:w="1219" w:type="dxa"/>
            <w:tcBorders>
              <w:top w:val="single" w:sz="4" w:space="0" w:color="auto"/>
            </w:tcBorders>
            <w:shd w:val="clear" w:color="auto" w:fill="FFFFFF"/>
            <w:vAlign w:val="bottom"/>
          </w:tcPr>
          <w:p w:rsidR="00056918" w:rsidRDefault="00801869">
            <w:pPr>
              <w:pStyle w:val="Style12"/>
              <w:framePr w:w="9739" w:wrap="notBeside" w:vAnchor="text" w:hAnchor="text" w:xAlign="center" w:y="1"/>
              <w:shd w:val="clear" w:color="auto" w:fill="auto"/>
              <w:spacing w:before="0" w:line="178" w:lineRule="exact"/>
              <w:ind w:firstLine="0"/>
              <w:jc w:val="left"/>
            </w:pPr>
            <w:r>
              <w:rPr>
                <w:rStyle w:val="CharStyle20"/>
              </w:rPr>
              <w:t>Praha 11 Háje</w:t>
            </w:r>
          </w:p>
        </w:tc>
        <w:tc>
          <w:tcPr>
            <w:tcW w:w="1603" w:type="dxa"/>
            <w:tcBorders>
              <w:top w:val="single" w:sz="4" w:space="0" w:color="auto"/>
            </w:tcBorders>
            <w:shd w:val="clear" w:color="auto" w:fill="FFFFFF"/>
          </w:tcPr>
          <w:p w:rsidR="00056918" w:rsidRDefault="00056918">
            <w:pPr>
              <w:framePr w:w="9739" w:wrap="notBeside" w:vAnchor="text" w:hAnchor="text" w:xAlign="center" w:y="1"/>
              <w:rPr>
                <w:sz w:val="10"/>
                <w:szCs w:val="10"/>
              </w:rPr>
            </w:pPr>
          </w:p>
        </w:tc>
        <w:tc>
          <w:tcPr>
            <w:tcW w:w="1613" w:type="dxa"/>
            <w:tcBorders>
              <w:top w:val="single" w:sz="4" w:space="0" w:color="auto"/>
            </w:tcBorders>
            <w:shd w:val="clear" w:color="auto" w:fill="FFFFFF"/>
          </w:tcPr>
          <w:p w:rsidR="00056918" w:rsidRDefault="00056918">
            <w:pPr>
              <w:framePr w:w="9739" w:wrap="notBeside" w:vAnchor="text" w:hAnchor="text" w:xAlign="center" w:y="1"/>
              <w:rPr>
                <w:sz w:val="10"/>
                <w:szCs w:val="10"/>
              </w:rPr>
            </w:pPr>
          </w:p>
        </w:tc>
        <w:tc>
          <w:tcPr>
            <w:tcW w:w="1066" w:type="dxa"/>
            <w:tcBorders>
              <w:top w:val="single" w:sz="4" w:space="0" w:color="auto"/>
              <w:right w:val="single" w:sz="4" w:space="0" w:color="auto"/>
            </w:tcBorders>
            <w:shd w:val="clear" w:color="auto" w:fill="FFFFFF"/>
            <w:vAlign w:val="bottom"/>
          </w:tcPr>
          <w:p w:rsidR="00056918" w:rsidRDefault="00801869">
            <w:pPr>
              <w:pStyle w:val="Style12"/>
              <w:framePr w:w="9739" w:wrap="notBeside" w:vAnchor="text" w:hAnchor="text" w:xAlign="center" w:y="1"/>
              <w:shd w:val="clear" w:color="auto" w:fill="auto"/>
              <w:spacing w:before="0" w:line="178" w:lineRule="exact"/>
              <w:ind w:firstLine="0"/>
              <w:jc w:val="left"/>
            </w:pPr>
            <w:r>
              <w:rPr>
                <w:rStyle w:val="CharStyle20"/>
              </w:rPr>
              <w:t>149 00</w:t>
            </w:r>
          </w:p>
        </w:tc>
      </w:tr>
      <w:tr w:rsidR="00056918">
        <w:tblPrEx>
          <w:tblCellMar>
            <w:top w:w="0" w:type="dxa"/>
            <w:bottom w:w="0" w:type="dxa"/>
          </w:tblCellMar>
        </w:tblPrEx>
        <w:trPr>
          <w:trHeight w:hRule="exact" w:val="182"/>
          <w:jc w:val="center"/>
        </w:trPr>
        <w:tc>
          <w:tcPr>
            <w:tcW w:w="1368" w:type="dxa"/>
            <w:vMerge/>
            <w:tcBorders>
              <w:left w:val="single" w:sz="4" w:space="0" w:color="auto"/>
            </w:tcBorders>
            <w:shd w:val="clear" w:color="auto" w:fill="FFFFFF"/>
          </w:tcPr>
          <w:p w:rsidR="00056918" w:rsidRDefault="00056918">
            <w:pPr>
              <w:framePr w:w="9739" w:wrap="notBeside" w:vAnchor="text" w:hAnchor="text" w:xAlign="center" w:y="1"/>
            </w:pPr>
          </w:p>
        </w:tc>
        <w:tc>
          <w:tcPr>
            <w:tcW w:w="845" w:type="dxa"/>
            <w:tcBorders>
              <w:top w:val="single" w:sz="4" w:space="0" w:color="auto"/>
            </w:tcBorders>
            <w:shd w:val="clear" w:color="auto" w:fill="FFFFFF"/>
          </w:tcPr>
          <w:p w:rsidR="00056918" w:rsidRDefault="00056918">
            <w:pPr>
              <w:framePr w:w="9739" w:wrap="notBeside" w:vAnchor="text" w:hAnchor="text" w:xAlign="center" w:y="1"/>
              <w:rPr>
                <w:sz w:val="10"/>
                <w:szCs w:val="10"/>
              </w:rPr>
            </w:pPr>
          </w:p>
        </w:tc>
        <w:tc>
          <w:tcPr>
            <w:tcW w:w="4848" w:type="dxa"/>
            <w:gridSpan w:val="3"/>
            <w:tcBorders>
              <w:top w:val="single" w:sz="4" w:space="0" w:color="auto"/>
            </w:tcBorders>
            <w:shd w:val="clear" w:color="auto" w:fill="FFFFFF"/>
          </w:tcPr>
          <w:p w:rsidR="00056918" w:rsidRDefault="00801869">
            <w:pPr>
              <w:pStyle w:val="Style12"/>
              <w:framePr w:w="9739" w:wrap="notBeside" w:vAnchor="text" w:hAnchor="text" w:xAlign="center" w:y="1"/>
              <w:shd w:val="clear" w:color="auto" w:fill="auto"/>
              <w:spacing w:before="0" w:line="134" w:lineRule="exact"/>
              <w:ind w:left="1680" w:firstLine="0"/>
              <w:jc w:val="left"/>
            </w:pPr>
            <w:r>
              <w:rPr>
                <w:rStyle w:val="CharStyle21"/>
              </w:rPr>
              <w:t>obec (městská část, katastr, území)</w:t>
            </w:r>
          </w:p>
        </w:tc>
        <w:tc>
          <w:tcPr>
            <w:tcW w:w="1613" w:type="dxa"/>
            <w:tcBorders>
              <w:top w:val="single" w:sz="4" w:space="0" w:color="auto"/>
            </w:tcBorders>
            <w:shd w:val="clear" w:color="auto" w:fill="FFFFFF"/>
          </w:tcPr>
          <w:p w:rsidR="00056918" w:rsidRDefault="00056918">
            <w:pPr>
              <w:framePr w:w="9739" w:wrap="notBeside" w:vAnchor="text" w:hAnchor="text" w:xAlign="center" w:y="1"/>
              <w:rPr>
                <w:sz w:val="10"/>
                <w:szCs w:val="10"/>
              </w:rPr>
            </w:pPr>
          </w:p>
        </w:tc>
        <w:tc>
          <w:tcPr>
            <w:tcW w:w="1066" w:type="dxa"/>
            <w:tcBorders>
              <w:top w:val="single" w:sz="4" w:space="0" w:color="auto"/>
              <w:right w:val="single" w:sz="4" w:space="0" w:color="auto"/>
            </w:tcBorders>
            <w:shd w:val="clear" w:color="auto" w:fill="FFFFFF"/>
          </w:tcPr>
          <w:p w:rsidR="00056918" w:rsidRDefault="00801869">
            <w:pPr>
              <w:pStyle w:val="Style12"/>
              <w:framePr w:w="9739" w:wrap="notBeside" w:vAnchor="text" w:hAnchor="text" w:xAlign="center" w:y="1"/>
              <w:shd w:val="clear" w:color="auto" w:fill="auto"/>
              <w:spacing w:before="0" w:line="134" w:lineRule="exact"/>
              <w:ind w:left="280" w:firstLine="0"/>
              <w:jc w:val="left"/>
            </w:pPr>
            <w:r>
              <w:rPr>
                <w:rStyle w:val="CharStyle21"/>
              </w:rPr>
              <w:t>PSČ</w:t>
            </w:r>
          </w:p>
        </w:tc>
      </w:tr>
      <w:tr w:rsidR="00056918">
        <w:tblPrEx>
          <w:tblCellMar>
            <w:top w:w="0" w:type="dxa"/>
            <w:bottom w:w="0" w:type="dxa"/>
          </w:tblCellMar>
        </w:tblPrEx>
        <w:trPr>
          <w:trHeight w:hRule="exact" w:val="250"/>
          <w:jc w:val="center"/>
        </w:trPr>
        <w:tc>
          <w:tcPr>
            <w:tcW w:w="1368" w:type="dxa"/>
            <w:tcBorders>
              <w:left w:val="single" w:sz="4" w:space="0" w:color="auto"/>
            </w:tcBorders>
            <w:shd w:val="clear" w:color="auto" w:fill="FFFFFF"/>
          </w:tcPr>
          <w:p w:rsidR="00056918" w:rsidRDefault="00056918">
            <w:pPr>
              <w:framePr w:w="9739" w:wrap="notBeside" w:vAnchor="text" w:hAnchor="text" w:xAlign="center" w:y="1"/>
              <w:rPr>
                <w:sz w:val="10"/>
                <w:szCs w:val="10"/>
              </w:rPr>
            </w:pPr>
          </w:p>
        </w:tc>
        <w:tc>
          <w:tcPr>
            <w:tcW w:w="845" w:type="dxa"/>
            <w:shd w:val="clear" w:color="auto" w:fill="FFFFFF"/>
          </w:tcPr>
          <w:p w:rsidR="00056918" w:rsidRDefault="00801869">
            <w:pPr>
              <w:pStyle w:val="Style12"/>
              <w:framePr w:w="9739" w:wrap="notBeside" w:vAnchor="text" w:hAnchor="text" w:xAlign="center" w:y="1"/>
              <w:shd w:val="clear" w:color="auto" w:fill="auto"/>
              <w:spacing w:before="0" w:line="178" w:lineRule="exact"/>
              <w:ind w:firstLine="0"/>
              <w:jc w:val="left"/>
            </w:pPr>
            <w:r>
              <w:rPr>
                <w:rStyle w:val="CharStyle20"/>
              </w:rPr>
              <w:t>K Milíčovu</w:t>
            </w:r>
          </w:p>
        </w:tc>
        <w:tc>
          <w:tcPr>
            <w:tcW w:w="2026" w:type="dxa"/>
            <w:shd w:val="clear" w:color="auto" w:fill="FFFFFF"/>
          </w:tcPr>
          <w:p w:rsidR="00056918" w:rsidRDefault="00801869">
            <w:pPr>
              <w:pStyle w:val="Style12"/>
              <w:framePr w:w="9739" w:wrap="notBeside" w:vAnchor="text" w:hAnchor="text" w:xAlign="center" w:y="1"/>
              <w:shd w:val="clear" w:color="auto" w:fill="auto"/>
              <w:spacing w:before="0" w:line="212" w:lineRule="exact"/>
              <w:ind w:left="1680" w:firstLine="0"/>
              <w:jc w:val="left"/>
            </w:pPr>
            <w:r>
              <w:rPr>
                <w:rStyle w:val="CharStyle19"/>
              </w:rPr>
              <w:t>i</w:t>
            </w:r>
          </w:p>
        </w:tc>
        <w:tc>
          <w:tcPr>
            <w:tcW w:w="1219" w:type="dxa"/>
            <w:shd w:val="clear" w:color="auto" w:fill="FFFFFF"/>
          </w:tcPr>
          <w:p w:rsidR="00056918" w:rsidRDefault="00801869">
            <w:pPr>
              <w:pStyle w:val="Style12"/>
              <w:framePr w:w="9739" w:wrap="notBeside" w:vAnchor="text" w:hAnchor="text" w:xAlign="center" w:y="1"/>
              <w:shd w:val="clear" w:color="auto" w:fill="auto"/>
              <w:spacing w:before="0" w:line="178" w:lineRule="exact"/>
              <w:ind w:right="40" w:firstLine="0"/>
              <w:jc w:val="center"/>
            </w:pPr>
            <w:r>
              <w:rPr>
                <w:rStyle w:val="CharStyle20"/>
              </w:rPr>
              <w:t>734</w:t>
            </w:r>
          </w:p>
        </w:tc>
        <w:tc>
          <w:tcPr>
            <w:tcW w:w="1603" w:type="dxa"/>
            <w:shd w:val="clear" w:color="auto" w:fill="FFFFFF"/>
          </w:tcPr>
          <w:p w:rsidR="00056918" w:rsidRDefault="00056918">
            <w:pPr>
              <w:framePr w:w="9739" w:wrap="notBeside" w:vAnchor="text" w:hAnchor="text" w:xAlign="center" w:y="1"/>
              <w:rPr>
                <w:sz w:val="10"/>
                <w:szCs w:val="10"/>
              </w:rPr>
            </w:pPr>
          </w:p>
        </w:tc>
        <w:tc>
          <w:tcPr>
            <w:tcW w:w="1613" w:type="dxa"/>
            <w:shd w:val="clear" w:color="auto" w:fill="FFFFFF"/>
          </w:tcPr>
          <w:p w:rsidR="00056918" w:rsidRDefault="00056918">
            <w:pPr>
              <w:framePr w:w="9739" w:wrap="notBeside" w:vAnchor="text" w:hAnchor="text" w:xAlign="center" w:y="1"/>
              <w:rPr>
                <w:sz w:val="10"/>
                <w:szCs w:val="10"/>
              </w:rPr>
            </w:pPr>
          </w:p>
        </w:tc>
        <w:tc>
          <w:tcPr>
            <w:tcW w:w="1066" w:type="dxa"/>
            <w:tcBorders>
              <w:right w:val="single" w:sz="4" w:space="0" w:color="auto"/>
            </w:tcBorders>
            <w:shd w:val="clear" w:color="auto" w:fill="FFFFFF"/>
          </w:tcPr>
          <w:p w:rsidR="00056918" w:rsidRDefault="00056918">
            <w:pPr>
              <w:framePr w:w="9739" w:wrap="notBeside" w:vAnchor="text" w:hAnchor="text" w:xAlign="center" w:y="1"/>
              <w:rPr>
                <w:sz w:val="10"/>
                <w:szCs w:val="10"/>
              </w:rPr>
            </w:pPr>
          </w:p>
        </w:tc>
      </w:tr>
      <w:tr w:rsidR="00056918">
        <w:tblPrEx>
          <w:tblCellMar>
            <w:top w:w="0" w:type="dxa"/>
            <w:bottom w:w="0" w:type="dxa"/>
          </w:tblCellMar>
        </w:tblPrEx>
        <w:trPr>
          <w:trHeight w:hRule="exact" w:val="206"/>
          <w:jc w:val="center"/>
        </w:trPr>
        <w:tc>
          <w:tcPr>
            <w:tcW w:w="1368" w:type="dxa"/>
            <w:tcBorders>
              <w:top w:val="single" w:sz="4" w:space="0" w:color="auto"/>
              <w:left w:val="single" w:sz="4" w:space="0" w:color="auto"/>
              <w:bottom w:val="single" w:sz="4" w:space="0" w:color="auto"/>
            </w:tcBorders>
            <w:shd w:val="clear" w:color="auto" w:fill="FFFFFF"/>
          </w:tcPr>
          <w:p w:rsidR="00056918" w:rsidRDefault="00056918">
            <w:pPr>
              <w:framePr w:w="9739" w:wrap="notBeside" w:vAnchor="text" w:hAnchor="text" w:xAlign="center" w:y="1"/>
              <w:rPr>
                <w:sz w:val="10"/>
                <w:szCs w:val="10"/>
              </w:rPr>
            </w:pPr>
          </w:p>
        </w:tc>
        <w:tc>
          <w:tcPr>
            <w:tcW w:w="845" w:type="dxa"/>
            <w:tcBorders>
              <w:top w:val="single" w:sz="4" w:space="0" w:color="auto"/>
              <w:bottom w:val="single" w:sz="4" w:space="0" w:color="auto"/>
            </w:tcBorders>
            <w:shd w:val="clear" w:color="auto" w:fill="FFFFFF"/>
          </w:tcPr>
          <w:p w:rsidR="00056918" w:rsidRDefault="00801869">
            <w:pPr>
              <w:pStyle w:val="Style12"/>
              <w:framePr w:w="9739" w:wrap="notBeside" w:vAnchor="text" w:hAnchor="text" w:xAlign="center" w:y="1"/>
              <w:shd w:val="clear" w:color="auto" w:fill="auto"/>
              <w:spacing w:before="0" w:line="134" w:lineRule="exact"/>
              <w:ind w:left="60" w:firstLine="0"/>
              <w:jc w:val="center"/>
            </w:pPr>
            <w:r>
              <w:rPr>
                <w:rStyle w:val="CharStyle21"/>
              </w:rPr>
              <w:t>ulice</w:t>
            </w:r>
          </w:p>
        </w:tc>
        <w:tc>
          <w:tcPr>
            <w:tcW w:w="2026" w:type="dxa"/>
            <w:tcBorders>
              <w:top w:val="single" w:sz="4" w:space="0" w:color="auto"/>
              <w:bottom w:val="single" w:sz="4" w:space="0" w:color="auto"/>
            </w:tcBorders>
            <w:shd w:val="clear" w:color="auto" w:fill="FFFFFF"/>
          </w:tcPr>
          <w:p w:rsidR="00056918" w:rsidRDefault="00801869">
            <w:pPr>
              <w:pStyle w:val="Style12"/>
              <w:framePr w:w="9739" w:wrap="notBeside" w:vAnchor="text" w:hAnchor="text" w:xAlign="center" w:y="1"/>
              <w:shd w:val="clear" w:color="auto" w:fill="auto"/>
              <w:spacing w:before="0" w:line="134" w:lineRule="exact"/>
              <w:ind w:firstLine="0"/>
              <w:jc w:val="right"/>
            </w:pPr>
            <w:r>
              <w:rPr>
                <w:rStyle w:val="CharStyle21"/>
              </w:rPr>
              <w:t>č. orient.</w:t>
            </w:r>
          </w:p>
        </w:tc>
        <w:tc>
          <w:tcPr>
            <w:tcW w:w="1219" w:type="dxa"/>
            <w:tcBorders>
              <w:top w:val="single" w:sz="4" w:space="0" w:color="auto"/>
              <w:bottom w:val="single" w:sz="4" w:space="0" w:color="auto"/>
            </w:tcBorders>
            <w:shd w:val="clear" w:color="auto" w:fill="FFFFFF"/>
          </w:tcPr>
          <w:p w:rsidR="00056918" w:rsidRDefault="00801869">
            <w:pPr>
              <w:pStyle w:val="Style12"/>
              <w:framePr w:w="9739" w:wrap="notBeside" w:vAnchor="text" w:hAnchor="text" w:xAlign="center" w:y="1"/>
              <w:shd w:val="clear" w:color="auto" w:fill="auto"/>
              <w:spacing w:before="0" w:line="134" w:lineRule="exact"/>
              <w:ind w:firstLine="0"/>
              <w:jc w:val="left"/>
            </w:pPr>
            <w:r>
              <w:rPr>
                <w:rStyle w:val="CharStyle21"/>
              </w:rPr>
              <w:t>č. popis. / č. pare.</w:t>
            </w:r>
          </w:p>
        </w:tc>
        <w:tc>
          <w:tcPr>
            <w:tcW w:w="1603" w:type="dxa"/>
            <w:tcBorders>
              <w:top w:val="single" w:sz="4" w:space="0" w:color="auto"/>
              <w:bottom w:val="single" w:sz="4" w:space="0" w:color="auto"/>
            </w:tcBorders>
            <w:shd w:val="clear" w:color="auto" w:fill="FFFFFF"/>
          </w:tcPr>
          <w:p w:rsidR="00056918" w:rsidRDefault="00801869">
            <w:pPr>
              <w:pStyle w:val="Style12"/>
              <w:framePr w:w="9739" w:wrap="notBeside" w:vAnchor="text" w:hAnchor="text" w:xAlign="center" w:y="1"/>
              <w:shd w:val="clear" w:color="auto" w:fill="auto"/>
              <w:spacing w:before="0" w:line="134" w:lineRule="exact"/>
              <w:ind w:left="80" w:firstLine="0"/>
              <w:jc w:val="center"/>
            </w:pPr>
            <w:r>
              <w:rPr>
                <w:rStyle w:val="CharStyle21"/>
              </w:rPr>
              <w:t>telefon</w:t>
            </w:r>
          </w:p>
        </w:tc>
        <w:tc>
          <w:tcPr>
            <w:tcW w:w="1613" w:type="dxa"/>
            <w:tcBorders>
              <w:top w:val="single" w:sz="4" w:space="0" w:color="auto"/>
              <w:bottom w:val="single" w:sz="4" w:space="0" w:color="auto"/>
            </w:tcBorders>
            <w:shd w:val="clear" w:color="auto" w:fill="FFFFFF"/>
          </w:tcPr>
          <w:p w:rsidR="00056918" w:rsidRDefault="00801869">
            <w:pPr>
              <w:pStyle w:val="Style12"/>
              <w:framePr w:w="9739" w:wrap="notBeside" w:vAnchor="text" w:hAnchor="text" w:xAlign="center" w:y="1"/>
              <w:shd w:val="clear" w:color="auto" w:fill="auto"/>
              <w:spacing w:before="0" w:line="134" w:lineRule="exact"/>
              <w:ind w:firstLine="0"/>
              <w:jc w:val="right"/>
            </w:pPr>
            <w:r>
              <w:rPr>
                <w:rStyle w:val="CharStyle21"/>
              </w:rPr>
              <w:t>e-mail</w:t>
            </w:r>
          </w:p>
        </w:tc>
        <w:tc>
          <w:tcPr>
            <w:tcW w:w="1066" w:type="dxa"/>
            <w:tcBorders>
              <w:top w:val="single" w:sz="4" w:space="0" w:color="auto"/>
              <w:bottom w:val="single" w:sz="4" w:space="0" w:color="auto"/>
              <w:right w:val="single" w:sz="4" w:space="0" w:color="auto"/>
            </w:tcBorders>
            <w:shd w:val="clear" w:color="auto" w:fill="FFFFFF"/>
          </w:tcPr>
          <w:p w:rsidR="00056918" w:rsidRDefault="00056918">
            <w:pPr>
              <w:framePr w:w="9739" w:wrap="notBeside" w:vAnchor="text" w:hAnchor="text" w:xAlign="center" w:y="1"/>
              <w:rPr>
                <w:sz w:val="10"/>
                <w:szCs w:val="10"/>
              </w:rPr>
            </w:pPr>
          </w:p>
        </w:tc>
      </w:tr>
    </w:tbl>
    <w:p w:rsidR="00056918" w:rsidRDefault="00056918">
      <w:pPr>
        <w:framePr w:w="9739" w:wrap="notBeside" w:vAnchor="text" w:hAnchor="text" w:xAlign="center" w:y="1"/>
        <w:rPr>
          <w:sz w:val="2"/>
          <w:szCs w:val="2"/>
        </w:rPr>
      </w:pPr>
    </w:p>
    <w:p w:rsidR="00056918" w:rsidRDefault="00056918">
      <w:pPr>
        <w:rPr>
          <w:sz w:val="2"/>
          <w:szCs w:val="2"/>
        </w:rPr>
      </w:pPr>
    </w:p>
    <w:p w:rsidR="00056918" w:rsidRDefault="00801869">
      <w:pPr>
        <w:pStyle w:val="Style22"/>
        <w:keepNext/>
        <w:keepLines/>
        <w:shd w:val="clear" w:color="auto" w:fill="auto"/>
        <w:spacing w:before="153"/>
        <w:ind w:left="20"/>
      </w:pPr>
      <w:bookmarkStart w:id="2" w:name="bookmark2"/>
      <w:r>
        <w:t>ČI. I</w:t>
      </w:r>
      <w:bookmarkEnd w:id="2"/>
    </w:p>
    <w:p w:rsidR="00056918" w:rsidRDefault="00801869">
      <w:pPr>
        <w:pStyle w:val="Style22"/>
        <w:keepNext/>
        <w:keepLines/>
        <w:shd w:val="clear" w:color="auto" w:fill="auto"/>
        <w:spacing w:before="0"/>
        <w:ind w:left="20"/>
      </w:pPr>
      <w:bookmarkStart w:id="3" w:name="bookmark3"/>
      <w:r>
        <w:rPr>
          <w:rStyle w:val="CharStyle24"/>
          <w:b/>
          <w:bCs/>
        </w:rPr>
        <w:t>Předmět smlouvy</w:t>
      </w:r>
      <w:bookmarkEnd w:id="3"/>
    </w:p>
    <w:p w:rsidR="00056918" w:rsidRDefault="00801869">
      <w:pPr>
        <w:pStyle w:val="Style12"/>
        <w:numPr>
          <w:ilvl w:val="0"/>
          <w:numId w:val="1"/>
        </w:numPr>
        <w:shd w:val="clear" w:color="auto" w:fill="auto"/>
        <w:tabs>
          <w:tab w:val="left" w:pos="362"/>
        </w:tabs>
        <w:spacing w:before="0" w:after="245" w:line="230" w:lineRule="exact"/>
        <w:ind w:left="420" w:hanging="420"/>
      </w:pPr>
      <w:r>
        <w:t xml:space="preserve">Předmětem této smlouvy je závazek provozovatele připojit odběrné plynové zařízení zákazníka k distribuční soustavě a umožnit mu odběr zemního plynu (dále jen plyn) na základě jeho žádosti číslo </w:t>
      </w:r>
      <w:r>
        <w:rPr>
          <w:rStyle w:val="CharStyle25"/>
        </w:rPr>
        <w:t xml:space="preserve">0040619281 </w:t>
      </w:r>
      <w:r>
        <w:t xml:space="preserve">ze dne </w:t>
      </w:r>
      <w:r>
        <w:rPr>
          <w:rStyle w:val="CharStyle25"/>
        </w:rPr>
        <w:t xml:space="preserve">26.7.2022 </w:t>
      </w:r>
      <w:r>
        <w:t xml:space="preserve">za podmínek uvedených v této </w:t>
      </w:r>
      <w:r>
        <w:t>smlouvě a při splnění technických podmínek připojení k distribuční soustavě stanovených provozovatelem v příloze číslo 1, která je nedílnou součástí této smlouvy a po uzavření smlouvy s obchodníkem s plynem o dodávce a odběru plynu, příp. smlouvy o sdružen</w:t>
      </w:r>
      <w:r>
        <w:t>ých službách dodávky a odběru plynu, či smlouvy o zajištění služby distribuční soustavy s provozovatelem. Tyto údaje zákazník zkontroloval, rozumí jim a souhlasí s nimi.</w:t>
      </w:r>
    </w:p>
    <w:p w:rsidR="00056918" w:rsidRDefault="00801869">
      <w:pPr>
        <w:pStyle w:val="Style22"/>
        <w:keepNext/>
        <w:keepLines/>
        <w:shd w:val="clear" w:color="auto" w:fill="auto"/>
        <w:spacing w:before="0"/>
        <w:ind w:left="20"/>
      </w:pPr>
      <w:bookmarkStart w:id="4" w:name="bookmark4"/>
      <w:r>
        <w:t>ČI. II</w:t>
      </w:r>
      <w:bookmarkEnd w:id="4"/>
    </w:p>
    <w:p w:rsidR="00056918" w:rsidRDefault="00801869">
      <w:pPr>
        <w:pStyle w:val="Style22"/>
        <w:keepNext/>
        <w:keepLines/>
        <w:shd w:val="clear" w:color="auto" w:fill="auto"/>
        <w:spacing w:before="0" w:after="135"/>
        <w:ind w:left="20"/>
      </w:pPr>
      <w:bookmarkStart w:id="5" w:name="bookmark5"/>
      <w:r>
        <w:rPr>
          <w:rStyle w:val="CharStyle24"/>
          <w:b/>
          <w:bCs/>
        </w:rPr>
        <w:t>Technická charakteristika odběrného místa</w:t>
      </w:r>
      <w:bookmarkEnd w:id="5"/>
    </w:p>
    <w:p w:rsidR="00056918" w:rsidRDefault="00801869">
      <w:pPr>
        <w:pStyle w:val="Style12"/>
        <w:numPr>
          <w:ilvl w:val="0"/>
          <w:numId w:val="2"/>
        </w:numPr>
        <w:shd w:val="clear" w:color="auto" w:fill="auto"/>
        <w:tabs>
          <w:tab w:val="left" w:pos="362"/>
        </w:tabs>
        <w:spacing w:before="0" w:after="245" w:line="230" w:lineRule="exact"/>
        <w:ind w:left="420" w:hanging="420"/>
      </w:pPr>
      <w:r>
        <w:t>Typ, charakter, počet a výkon instalo</w:t>
      </w:r>
      <w:r>
        <w:t>vaných plynových spotřebičů, charakter použití plynu, maximální roční a denní odběr, maximální a minimální hodinové odběrné množství, způsob a podmínky připojení k distribuční soustavě (např. místo připojení, délka a dimenze přípojky (plynovodu), úroveň pr</w:t>
      </w:r>
      <w:r>
        <w:t>ovozního přetlaku, v případě výstavby nového plynárenského zařízení způsob jeho zajištění), umístění hlavního uzávěru plynu, typ měřicího zařízení a podmínky pro jeho umístění a osazení jsou obsahem technických podmínek připojení k distribuční soustavě, vy</w:t>
      </w:r>
      <w:r>
        <w:t>daných provozovatelem jako příloha číslo 1, která je nedílnou součástí této smlouvy. Údaje v této příloze zákazník přečetl, rozumí jim a souhlasí s nimi.</w:t>
      </w:r>
    </w:p>
    <w:p w:rsidR="00056918" w:rsidRDefault="00801869">
      <w:pPr>
        <w:pStyle w:val="Style26"/>
        <w:shd w:val="clear" w:color="auto" w:fill="auto"/>
        <w:spacing w:before="0"/>
        <w:ind w:left="20"/>
      </w:pPr>
      <w:r>
        <w:t>ČI. III</w:t>
      </w:r>
    </w:p>
    <w:p w:rsidR="00056918" w:rsidRDefault="00801869">
      <w:pPr>
        <w:pStyle w:val="Style22"/>
        <w:keepNext/>
        <w:keepLines/>
        <w:shd w:val="clear" w:color="auto" w:fill="auto"/>
        <w:spacing w:before="0" w:after="135"/>
        <w:ind w:left="20"/>
      </w:pPr>
      <w:bookmarkStart w:id="6" w:name="bookmark6"/>
      <w:r>
        <w:rPr>
          <w:rStyle w:val="CharStyle24"/>
          <w:b/>
          <w:bCs/>
        </w:rPr>
        <w:t>Měření plynu</w:t>
      </w:r>
      <w:bookmarkEnd w:id="6"/>
    </w:p>
    <w:p w:rsidR="00056918" w:rsidRDefault="00801869">
      <w:pPr>
        <w:pStyle w:val="Style12"/>
        <w:shd w:val="clear" w:color="auto" w:fill="auto"/>
        <w:spacing w:before="0" w:line="230" w:lineRule="exact"/>
        <w:ind w:left="420" w:hanging="420"/>
      </w:pPr>
      <w:r>
        <w:t>1. Provozovatel na náklad zákazníka zajistí instalaci vlastního měřicího zařízení</w:t>
      </w:r>
      <w:r>
        <w:t xml:space="preserve"> v souladu s projektem měření odsouhlaseným provozovatelem a na své náklady jej bude udržovat a ověřovat správnost měření. Provozovatel je oprávněn zákazníkovi vyúčtovat náklady spojené s instalací měřicího zařízení. Zákazník je povinen tyto náklady uhradi</w:t>
      </w:r>
      <w:r>
        <w:t>t.</w:t>
      </w:r>
    </w:p>
    <w:p w:rsidR="00056918" w:rsidRDefault="00801869">
      <w:pPr>
        <w:pStyle w:val="Style12"/>
        <w:numPr>
          <w:ilvl w:val="0"/>
          <w:numId w:val="2"/>
        </w:numPr>
        <w:shd w:val="clear" w:color="auto" w:fill="auto"/>
        <w:tabs>
          <w:tab w:val="left" w:pos="380"/>
        </w:tabs>
        <w:spacing w:before="0" w:line="230" w:lineRule="exact"/>
        <w:ind w:left="420" w:hanging="420"/>
      </w:pPr>
      <w:r>
        <w:t xml:space="preserve">Provozovatel se zavazuje připojit odběrné plynové zařízení zákazníka a osadit odběrné místo měřicím zařízením nejpozději do 5 pracovních dnů ode dne, kdy zákazník nebo obchodník s plynem požádal o umožnění distribuce </w:t>
      </w:r>
      <w:r>
        <w:lastRenderedPageBreak/>
        <w:t>plynu a budou-li splněny všechny pod</w:t>
      </w:r>
      <w:r>
        <w:t xml:space="preserve">mínky pro připojení stanovené právními předpisy, touto smlouvou a technickými podmínkami připojení k distribuční soustavě, které jsou nedílnou součástí této smlouvy. Identifikace měřicího zařízení je obsažena v příloze číslo 2, jejíž vzor je přílohou č. 3 </w:t>
      </w:r>
      <w:r>
        <w:t>této smlouvy, která bude doplněna po osazení měřicího zařízení. Všechny přílohy pak budou nedílnou součástí této smlouvy. Provozovatel zajistí stanovení výše přepočtových koeficientů pro měřicí zařízení po jeho instalaci na odběrném místě zákazníka. Přepoč</w:t>
      </w:r>
      <w:r>
        <w:t>tový koeficient bude uveden v příloze číslo 2 této smlouvy,</w:t>
      </w:r>
    </w:p>
    <w:p w:rsidR="00056918" w:rsidRDefault="00801869">
      <w:pPr>
        <w:pStyle w:val="Style12"/>
        <w:numPr>
          <w:ilvl w:val="0"/>
          <w:numId w:val="2"/>
        </w:numPr>
        <w:shd w:val="clear" w:color="auto" w:fill="auto"/>
        <w:tabs>
          <w:tab w:val="left" w:pos="380"/>
        </w:tabs>
        <w:spacing w:before="0" w:line="235" w:lineRule="exact"/>
        <w:ind w:left="420" w:hanging="420"/>
      </w:pPr>
      <w:r>
        <w:t>Při odběru nad 5 mil. m</w:t>
      </w:r>
      <w:r>
        <w:rPr>
          <w:vertAlign w:val="superscript"/>
        </w:rPr>
        <w:t>3</w:t>
      </w:r>
      <w:r>
        <w:t>/rok a odběrné místo bude instalován dálkový přenos dat z měřicího zařízení na náklady provozovatele.</w:t>
      </w:r>
    </w:p>
    <w:p w:rsidR="00056918" w:rsidRDefault="00801869">
      <w:pPr>
        <w:pStyle w:val="Style12"/>
        <w:numPr>
          <w:ilvl w:val="0"/>
          <w:numId w:val="2"/>
        </w:numPr>
        <w:shd w:val="clear" w:color="auto" w:fill="auto"/>
        <w:tabs>
          <w:tab w:val="left" w:pos="380"/>
        </w:tabs>
        <w:spacing w:before="0" w:line="235" w:lineRule="exact"/>
        <w:ind w:left="420" w:hanging="420"/>
      </w:pPr>
      <w:r>
        <w:t>Při odběru nad 200 tis. do 5 mil. m</w:t>
      </w:r>
      <w:r>
        <w:rPr>
          <w:vertAlign w:val="superscript"/>
        </w:rPr>
        <w:t>3</w:t>
      </w:r>
      <w:r>
        <w:t xml:space="preserve">/rok a odběrné místo bude </w:t>
      </w:r>
      <w:r>
        <w:t>instalován záznamník dat z měřicího zařízení na náklady provozovatele.</w:t>
      </w:r>
    </w:p>
    <w:p w:rsidR="00056918" w:rsidRDefault="00801869">
      <w:pPr>
        <w:pStyle w:val="Style12"/>
        <w:numPr>
          <w:ilvl w:val="0"/>
          <w:numId w:val="2"/>
        </w:numPr>
        <w:shd w:val="clear" w:color="auto" w:fill="auto"/>
        <w:tabs>
          <w:tab w:val="left" w:pos="380"/>
        </w:tabs>
        <w:spacing w:before="0" w:line="230" w:lineRule="exact"/>
        <w:ind w:left="420" w:hanging="420"/>
      </w:pPr>
      <w:r>
        <w:t>V případě, že zákazník žádá o instalaci dálkového přenosu dat z měřicího zařízení při odběru pod 5 mil. m</w:t>
      </w:r>
      <w:r>
        <w:rPr>
          <w:vertAlign w:val="superscript"/>
        </w:rPr>
        <w:t>3</w:t>
      </w:r>
      <w:r>
        <w:t>/rok a odběrné místo, bude dálkový přenos instalován na náklady zákazníka, kter</w:t>
      </w:r>
      <w:r>
        <w:t>ý se zavazuje tyto náklady uhradit,</w:t>
      </w:r>
    </w:p>
    <w:p w:rsidR="00056918" w:rsidRDefault="00801869">
      <w:pPr>
        <w:pStyle w:val="Style12"/>
        <w:numPr>
          <w:ilvl w:val="0"/>
          <w:numId w:val="2"/>
        </w:numPr>
        <w:shd w:val="clear" w:color="auto" w:fill="auto"/>
        <w:tabs>
          <w:tab w:val="left" w:pos="380"/>
        </w:tabs>
        <w:spacing w:before="0" w:line="230" w:lineRule="exact"/>
        <w:ind w:left="420" w:hanging="420"/>
      </w:pPr>
      <w:r>
        <w:t>V případě, že zákazník žádá o instalaci záznamníku dat z měřicího zařízení při odběru pod 200 tis. m</w:t>
      </w:r>
      <w:r>
        <w:rPr>
          <w:vertAlign w:val="superscript"/>
        </w:rPr>
        <w:t>3</w:t>
      </w:r>
      <w:r>
        <w:t>/rok a odběrné místo, bude záznamník instalován na náklady zákazníka, který se zavazuje tyto náklady uhradit.</w:t>
      </w:r>
    </w:p>
    <w:p w:rsidR="00056918" w:rsidRDefault="00801869">
      <w:pPr>
        <w:pStyle w:val="Style12"/>
        <w:numPr>
          <w:ilvl w:val="0"/>
          <w:numId w:val="2"/>
        </w:numPr>
        <w:shd w:val="clear" w:color="auto" w:fill="auto"/>
        <w:tabs>
          <w:tab w:val="left" w:pos="380"/>
        </w:tabs>
        <w:spacing w:before="0" w:line="226" w:lineRule="exact"/>
        <w:ind w:left="420" w:hanging="420"/>
      </w:pPr>
      <w:r>
        <w:t>Měření mn</w:t>
      </w:r>
      <w:r>
        <w:t>ožství odebraného plynu se provádí v objemových jednotkách. Přepočtový koeficient vyjadřuje poměr mezi objemem přepočteným na vztažné podmínky (teplota plynu 15 °C, absolutní tlak plynu 101,325 kPa a relativní vlhkost plynu cp=0) a naměřeným provozním obje</w:t>
      </w:r>
      <w:r>
        <w:t>mem. Způsob přepočtu naměřeného objemu plynu z provozních podmínek na vztažné podmínky je prováděn dle platných technických pravidel.</w:t>
      </w:r>
    </w:p>
    <w:p w:rsidR="00056918" w:rsidRDefault="00801869">
      <w:pPr>
        <w:pStyle w:val="Style12"/>
        <w:numPr>
          <w:ilvl w:val="0"/>
          <w:numId w:val="2"/>
        </w:numPr>
        <w:shd w:val="clear" w:color="auto" w:fill="auto"/>
        <w:tabs>
          <w:tab w:val="left" w:pos="380"/>
        </w:tabs>
        <w:spacing w:before="0" w:after="525" w:line="230" w:lineRule="exact"/>
        <w:ind w:left="420" w:hanging="420"/>
      </w:pPr>
      <w:r>
        <w:t>V případě poruchy měřicího zařízení se neměřené množství plynu stanoví dle Řádu provozovatele distribuční soustavy zveřejn</w:t>
      </w:r>
      <w:r>
        <w:t xml:space="preserve">ěného na jeho webových stránkách </w:t>
      </w:r>
      <w:hyperlink r:id="rId10" w:history="1">
        <w:r w:rsidR="003E369E">
          <w:rPr>
            <w:lang w:val="en-US" w:eastAsia="en-US" w:bidi="en-US"/>
          </w:rPr>
          <w:t>xxxxxxxxxxxxxxxxxxxxxxxxxxxxxxxxxxxxxx</w:t>
        </w:r>
      </w:hyperlink>
      <w:r>
        <w:t>.</w:t>
      </w:r>
    </w:p>
    <w:p w:rsidR="00056918" w:rsidRDefault="00801869">
      <w:pPr>
        <w:pStyle w:val="Style22"/>
        <w:keepNext/>
        <w:keepLines/>
        <w:shd w:val="clear" w:color="auto" w:fill="auto"/>
        <w:spacing w:before="0"/>
      </w:pPr>
      <w:bookmarkStart w:id="7" w:name="bookmark7"/>
      <w:r>
        <w:t>ČI. IV</w:t>
      </w:r>
      <w:bookmarkEnd w:id="7"/>
    </w:p>
    <w:p w:rsidR="00056918" w:rsidRDefault="00801869">
      <w:pPr>
        <w:pStyle w:val="Style22"/>
        <w:keepNext/>
        <w:keepLines/>
        <w:shd w:val="clear" w:color="auto" w:fill="auto"/>
        <w:spacing w:before="0" w:after="179"/>
      </w:pPr>
      <w:bookmarkStart w:id="8" w:name="bookmark8"/>
      <w:r>
        <w:rPr>
          <w:rStyle w:val="CharStyle24"/>
          <w:b/>
          <w:bCs/>
        </w:rPr>
        <w:t>Práva a povinnosti provozovatele a zákazníka</w:t>
      </w:r>
      <w:bookmarkEnd w:id="8"/>
    </w:p>
    <w:p w:rsidR="00056918" w:rsidRDefault="00801869">
      <w:pPr>
        <w:pStyle w:val="Style12"/>
        <w:shd w:val="clear" w:color="auto" w:fill="auto"/>
        <w:spacing w:before="0"/>
        <w:ind w:left="420" w:hanging="420"/>
      </w:pPr>
      <w:r>
        <w:t xml:space="preserve">1. Provozovatel </w:t>
      </w:r>
      <w:r>
        <w:t>je</w:t>
      </w:r>
    </w:p>
    <w:p w:rsidR="00056918" w:rsidRDefault="00801869">
      <w:pPr>
        <w:pStyle w:val="Style12"/>
        <w:numPr>
          <w:ilvl w:val="0"/>
          <w:numId w:val="3"/>
        </w:numPr>
        <w:shd w:val="clear" w:color="auto" w:fill="auto"/>
        <w:tabs>
          <w:tab w:val="left" w:pos="843"/>
        </w:tabs>
        <w:spacing w:before="0"/>
        <w:ind w:left="420" w:firstLine="0"/>
        <w:jc w:val="left"/>
      </w:pPr>
      <w:r>
        <w:t>povinen</w:t>
      </w:r>
    </w:p>
    <w:p w:rsidR="00056918" w:rsidRDefault="00801869">
      <w:pPr>
        <w:pStyle w:val="Style12"/>
        <w:numPr>
          <w:ilvl w:val="0"/>
          <w:numId w:val="4"/>
        </w:numPr>
        <w:shd w:val="clear" w:color="auto" w:fill="auto"/>
        <w:tabs>
          <w:tab w:val="left" w:pos="1384"/>
        </w:tabs>
        <w:spacing w:before="0" w:line="230" w:lineRule="exact"/>
        <w:ind w:left="1380"/>
      </w:pPr>
      <w:r>
        <w:t xml:space="preserve">na základě smlouvy o dodávce a odběru plynu uzavřené mezi zákazníkem a obchodníkem s plynem, příp, smlouvy o sdružených službách dodávky a odběru plynu, či smlouvy o distribuci plynu s provozovatelem, umožnit dodání sjednaného množství plynu do </w:t>
      </w:r>
      <w:r>
        <w:t>odběrného plynového zařízení zákazníka v kvalitě odpovídající příslušným technickým předpisům,</w:t>
      </w:r>
    </w:p>
    <w:p w:rsidR="00056918" w:rsidRDefault="00801869">
      <w:pPr>
        <w:pStyle w:val="Style12"/>
        <w:numPr>
          <w:ilvl w:val="0"/>
          <w:numId w:val="4"/>
        </w:numPr>
        <w:shd w:val="clear" w:color="auto" w:fill="auto"/>
        <w:tabs>
          <w:tab w:val="left" w:pos="1384"/>
        </w:tabs>
        <w:spacing w:before="0" w:line="230" w:lineRule="exact"/>
        <w:ind w:left="1380"/>
      </w:pPr>
      <w:r>
        <w:t>zajistit zákazníkovi na jeho náklad v místě odběru plynu instalaci vlastního měřicího zařízení pro měření dodávky plynu a provádět na svůj náklad jeho pravidelné</w:t>
      </w:r>
      <w:r>
        <w:t xml:space="preserve"> kontroly, odečty a údržbu,</w:t>
      </w:r>
    </w:p>
    <w:p w:rsidR="00056918" w:rsidRDefault="00801869">
      <w:pPr>
        <w:pStyle w:val="Style12"/>
        <w:numPr>
          <w:ilvl w:val="0"/>
          <w:numId w:val="4"/>
        </w:numPr>
        <w:shd w:val="clear" w:color="auto" w:fill="auto"/>
        <w:tabs>
          <w:tab w:val="left" w:pos="1384"/>
        </w:tabs>
        <w:spacing w:before="0" w:line="230" w:lineRule="exact"/>
        <w:ind w:left="1380"/>
      </w:pPr>
      <w:r>
        <w:t>v případě pochybnosti zákazníka o správnosti údajů měření nebo při zjištění závady na měřicím zařízení do 15 dnů od doručení písemné žádosti zákazníka měřicí zařízení vyměnit, případně zajistit jeho následné ověření správnosti m</w:t>
      </w:r>
      <w:r>
        <w:t>ěření a o výsledku písemně vyrozumět zákazníka. Je-li na měřicím zařízení zjištěna závada, hradí náklady spojené s jeho přezkoušením a ověřením správnosti měření provozovatel, v opačném případě hradí tyto náklady zákazník,</w:t>
      </w:r>
    </w:p>
    <w:p w:rsidR="00056918" w:rsidRDefault="00801869">
      <w:pPr>
        <w:pStyle w:val="Style12"/>
        <w:numPr>
          <w:ilvl w:val="0"/>
          <w:numId w:val="4"/>
        </w:numPr>
        <w:shd w:val="clear" w:color="auto" w:fill="auto"/>
        <w:tabs>
          <w:tab w:val="left" w:pos="1384"/>
        </w:tabs>
        <w:spacing w:before="0" w:line="230" w:lineRule="exact"/>
        <w:ind w:left="1380"/>
      </w:pPr>
      <w:r>
        <w:t xml:space="preserve">odečty odebraného množství plynu </w:t>
      </w:r>
      <w:r>
        <w:t>provádět v určených časových intervalech podle výše odběru: u odběru nad 52 500 MWh pomocí dálkového přenosu jedenkrát denně, u odběru od 2 100 MWh do 52 500 MWh prostřednictvím záznamníku jedenkrát měsíčně; ostatní odečty této kategorie jsou zajišťovány v</w:t>
      </w:r>
      <w:r>
        <w:t>e spolupráci se zákazníkem formou výběru odběrových diagramů a dále pak při ukončení smluvního vztahu nebo změně obchodníka s plynem,</w:t>
      </w:r>
    </w:p>
    <w:p w:rsidR="00056918" w:rsidRDefault="00801869">
      <w:pPr>
        <w:pStyle w:val="Style12"/>
        <w:numPr>
          <w:ilvl w:val="0"/>
          <w:numId w:val="4"/>
        </w:numPr>
        <w:shd w:val="clear" w:color="auto" w:fill="auto"/>
        <w:tabs>
          <w:tab w:val="left" w:pos="1384"/>
        </w:tabs>
        <w:spacing w:before="0" w:line="235" w:lineRule="exact"/>
        <w:ind w:left="1380"/>
      </w:pPr>
      <w:r>
        <w:t>proškolit zákazníka v metodice vyplňování odběrových diagramů a informovat jej o případných změnách,</w:t>
      </w:r>
    </w:p>
    <w:p w:rsidR="00056918" w:rsidRDefault="00801869">
      <w:pPr>
        <w:pStyle w:val="Style12"/>
        <w:numPr>
          <w:ilvl w:val="0"/>
          <w:numId w:val="3"/>
        </w:numPr>
        <w:shd w:val="clear" w:color="auto" w:fill="auto"/>
        <w:tabs>
          <w:tab w:val="left" w:pos="843"/>
        </w:tabs>
        <w:spacing w:before="0"/>
        <w:ind w:left="420" w:firstLine="0"/>
        <w:jc w:val="left"/>
      </w:pPr>
      <w:r>
        <w:t>oprávněn</w:t>
      </w:r>
    </w:p>
    <w:p w:rsidR="00056918" w:rsidRDefault="00801869">
      <w:pPr>
        <w:pStyle w:val="Style12"/>
        <w:numPr>
          <w:ilvl w:val="0"/>
          <w:numId w:val="5"/>
        </w:numPr>
        <w:shd w:val="clear" w:color="auto" w:fill="auto"/>
        <w:tabs>
          <w:tab w:val="left" w:pos="1384"/>
        </w:tabs>
        <w:spacing w:before="0" w:line="230" w:lineRule="exact"/>
        <w:ind w:left="1380"/>
      </w:pPr>
      <w:r>
        <w:t>před osazení</w:t>
      </w:r>
      <w:r>
        <w:t>m měřicího zařízení zkontrolovat splnění stanovených technických podmínek připojení k distribuční soustavě, zprávu o výchozí revizi odběrného plynového zařízení a uzavření smlouvy o dodávce a odběru plynu, příp. smlouvy o sdružených službách dodávky a odbě</w:t>
      </w:r>
      <w:r>
        <w:t>ru plynu s příslušným obchodníkem s plynem, či smlouvy o zajištění služby distribuční soustavy s provozovatelem,</w:t>
      </w:r>
    </w:p>
    <w:p w:rsidR="00056918" w:rsidRDefault="00801869">
      <w:pPr>
        <w:pStyle w:val="Style12"/>
        <w:numPr>
          <w:ilvl w:val="0"/>
          <w:numId w:val="5"/>
        </w:numPr>
        <w:shd w:val="clear" w:color="auto" w:fill="auto"/>
        <w:tabs>
          <w:tab w:val="left" w:pos="1384"/>
        </w:tabs>
        <w:spacing w:before="0" w:line="230" w:lineRule="exact"/>
        <w:ind w:left="1380"/>
      </w:pPr>
      <w:r>
        <w:t>požadovat po zákazníkovi umožnění přístupu k měřicímu zařízení za účelem provedení kontroly, odečtů plynu, a to i mimořádných, údržby, výměny a</w:t>
      </w:r>
      <w:r>
        <w:t xml:space="preserve"> odebrání,</w:t>
      </w:r>
      <w:r>
        <w:br w:type="page"/>
      </w:r>
    </w:p>
    <w:p w:rsidR="00056918" w:rsidRDefault="00801869">
      <w:pPr>
        <w:pStyle w:val="Style12"/>
        <w:numPr>
          <w:ilvl w:val="0"/>
          <w:numId w:val="5"/>
        </w:numPr>
        <w:shd w:val="clear" w:color="auto" w:fill="auto"/>
        <w:tabs>
          <w:tab w:val="left" w:pos="1383"/>
        </w:tabs>
        <w:spacing w:before="0" w:line="230" w:lineRule="exact"/>
        <w:ind w:left="1380" w:hanging="640"/>
      </w:pPr>
      <w:r>
        <w:lastRenderedPageBreak/>
        <w:t>požadovat po zákazníkovi, jehož měřící zařízení není vybaveno dálkovým přenosem dat nebo záznamníkem dat, vyplnit na základě odečtu odečtové diagramy a doručit jej provozovateli vždy v 1. pracovní den v měsíci. Formy předání jsou uvedeny v Řádu</w:t>
      </w:r>
      <w:r>
        <w:t xml:space="preserve"> provozovatele distribuční soustavy.</w:t>
      </w:r>
    </w:p>
    <w:p w:rsidR="00056918" w:rsidRDefault="00801869">
      <w:pPr>
        <w:pStyle w:val="Style12"/>
        <w:numPr>
          <w:ilvl w:val="0"/>
          <w:numId w:val="5"/>
        </w:numPr>
        <w:shd w:val="clear" w:color="auto" w:fill="auto"/>
        <w:tabs>
          <w:tab w:val="left" w:pos="1383"/>
        </w:tabs>
        <w:spacing w:before="0" w:line="235" w:lineRule="exact"/>
        <w:ind w:left="1380" w:hanging="640"/>
      </w:pPr>
      <w:r>
        <w:t>zajistit měřicí zařízení, včetně jeho připojení, proti neoprávněné manipulaci úřední značkou (plombou),</w:t>
      </w:r>
    </w:p>
    <w:p w:rsidR="00056918" w:rsidRDefault="00801869">
      <w:pPr>
        <w:pStyle w:val="Style12"/>
        <w:numPr>
          <w:ilvl w:val="0"/>
          <w:numId w:val="5"/>
        </w:numPr>
        <w:shd w:val="clear" w:color="auto" w:fill="auto"/>
        <w:tabs>
          <w:tab w:val="left" w:pos="1383"/>
        </w:tabs>
        <w:spacing w:before="0" w:line="230" w:lineRule="exact"/>
        <w:ind w:left="1380" w:hanging="640"/>
      </w:pPr>
      <w:r>
        <w:t xml:space="preserve">omezit nebo přerušit distribuci - dodávky plynu, jsou-li splněny podmínky pro omezení nebo přerušení distribuce </w:t>
      </w:r>
      <w:r>
        <w:t>nebo dodávky plynu stanovené v Energetickém zákoně,</w:t>
      </w:r>
    </w:p>
    <w:p w:rsidR="00056918" w:rsidRDefault="00801869">
      <w:pPr>
        <w:pStyle w:val="Style12"/>
        <w:numPr>
          <w:ilvl w:val="0"/>
          <w:numId w:val="5"/>
        </w:numPr>
        <w:shd w:val="clear" w:color="auto" w:fill="auto"/>
        <w:tabs>
          <w:tab w:val="left" w:pos="1383"/>
        </w:tabs>
        <w:spacing w:before="0" w:after="200"/>
        <w:ind w:left="1380" w:hanging="640"/>
      </w:pPr>
      <w:r>
        <w:t>odmítnout rozšíření odběru, pokud v odběrném místě je nedostatečná distribuční kapacita.</w:t>
      </w:r>
    </w:p>
    <w:p w:rsidR="00056918" w:rsidRDefault="00801869">
      <w:pPr>
        <w:pStyle w:val="Style12"/>
        <w:numPr>
          <w:ilvl w:val="0"/>
          <w:numId w:val="1"/>
        </w:numPr>
        <w:shd w:val="clear" w:color="auto" w:fill="auto"/>
        <w:tabs>
          <w:tab w:val="left" w:pos="274"/>
        </w:tabs>
        <w:spacing w:before="0"/>
        <w:ind w:firstLine="0"/>
        <w:jc w:val="left"/>
      </w:pPr>
      <w:r>
        <w:t>Zákazník je</w:t>
      </w:r>
    </w:p>
    <w:p w:rsidR="00056918" w:rsidRDefault="00801869">
      <w:pPr>
        <w:pStyle w:val="Style12"/>
        <w:numPr>
          <w:ilvl w:val="1"/>
          <w:numId w:val="1"/>
        </w:numPr>
        <w:shd w:val="clear" w:color="auto" w:fill="auto"/>
        <w:tabs>
          <w:tab w:val="left" w:pos="798"/>
        </w:tabs>
        <w:spacing w:before="0"/>
        <w:ind w:left="360" w:firstLine="0"/>
        <w:jc w:val="left"/>
      </w:pPr>
      <w:r>
        <w:t>povinen</w:t>
      </w:r>
    </w:p>
    <w:p w:rsidR="00056918" w:rsidRDefault="00801869">
      <w:pPr>
        <w:pStyle w:val="Style12"/>
        <w:numPr>
          <w:ilvl w:val="2"/>
          <w:numId w:val="1"/>
        </w:numPr>
        <w:shd w:val="clear" w:color="auto" w:fill="auto"/>
        <w:tabs>
          <w:tab w:val="left" w:pos="1383"/>
        </w:tabs>
        <w:spacing w:before="0" w:line="235" w:lineRule="exact"/>
        <w:ind w:left="1380" w:hanging="640"/>
      </w:pPr>
      <w:r>
        <w:t>zajistit příslušné stavební úpravy, které umožní provozovateli připojení k distribuční soustavě</w:t>
      </w:r>
      <w:r>
        <w:t xml:space="preserve"> a na svůj náklad upravit odběrné místo pro instalaci měřicího zařízení,</w:t>
      </w:r>
    </w:p>
    <w:p w:rsidR="00056918" w:rsidRDefault="00801869">
      <w:pPr>
        <w:pStyle w:val="Style12"/>
        <w:numPr>
          <w:ilvl w:val="2"/>
          <w:numId w:val="1"/>
        </w:numPr>
        <w:shd w:val="clear" w:color="auto" w:fill="auto"/>
        <w:tabs>
          <w:tab w:val="left" w:pos="1383"/>
        </w:tabs>
        <w:spacing w:before="0" w:line="230" w:lineRule="exact"/>
        <w:ind w:left="1380" w:hanging="640"/>
      </w:pPr>
      <w:r>
        <w:t xml:space="preserve">před instalací měřícího zařízení předložit provozovateli distribuční soustavy, nebo jeho zástupci, výchozí revizní zprávu na nově budované odběrné plynové zařízení v rozsahu F,G. </w:t>
      </w:r>
      <w:r>
        <w:t xml:space="preserve">Součástí instalovaného domovního rozvodu musí být i instalace minimálně jednoho plynového spotřebiče. Zákazník bere na vědomí, že odběrné plynové zařízení není instalací plynoměru uvedeno do trvalého provozu. Vpuštění plynu do odběrného plynového zařízení </w:t>
      </w:r>
      <w:r>
        <w:t>může provést pouze pověřená osoba (revizní technik, montážní pracovník, servisní pracovník). Následné uvedení spotřebičů do trvalého provozu provede pracovník oprávněné servisní organizace.</w:t>
      </w:r>
    </w:p>
    <w:p w:rsidR="00056918" w:rsidRDefault="00801869">
      <w:pPr>
        <w:pStyle w:val="Style12"/>
        <w:numPr>
          <w:ilvl w:val="2"/>
          <w:numId w:val="1"/>
        </w:numPr>
        <w:shd w:val="clear" w:color="auto" w:fill="auto"/>
        <w:tabs>
          <w:tab w:val="left" w:pos="1383"/>
        </w:tabs>
        <w:spacing w:before="0" w:line="235" w:lineRule="exact"/>
        <w:ind w:left="1380" w:hanging="640"/>
      </w:pPr>
      <w:r>
        <w:t>umožnit instalaci měřicího zařízení provozovateli a poskytnout pro</w:t>
      </w:r>
      <w:r>
        <w:t>vozovateli potřebnou součinnost pro realizaci připojení,</w:t>
      </w:r>
    </w:p>
    <w:p w:rsidR="00056918" w:rsidRDefault="00801869">
      <w:pPr>
        <w:pStyle w:val="Style12"/>
        <w:numPr>
          <w:ilvl w:val="2"/>
          <w:numId w:val="1"/>
        </w:numPr>
        <w:shd w:val="clear" w:color="auto" w:fill="auto"/>
        <w:tabs>
          <w:tab w:val="left" w:pos="1383"/>
        </w:tabs>
        <w:spacing w:before="0"/>
        <w:ind w:left="1380" w:hanging="640"/>
      </w:pPr>
      <w:r>
        <w:t>používat plyn pouze pro spotřebiče uvedené v příloze číslo 1 této smlouvy,</w:t>
      </w:r>
    </w:p>
    <w:p w:rsidR="00056918" w:rsidRDefault="00801869">
      <w:pPr>
        <w:pStyle w:val="Style12"/>
        <w:numPr>
          <w:ilvl w:val="2"/>
          <w:numId w:val="1"/>
        </w:numPr>
        <w:shd w:val="clear" w:color="auto" w:fill="auto"/>
        <w:tabs>
          <w:tab w:val="left" w:pos="1383"/>
        </w:tabs>
        <w:spacing w:before="0" w:line="235" w:lineRule="exact"/>
        <w:ind w:left="1380" w:hanging="640"/>
      </w:pPr>
      <w:r>
        <w:t>odebírat plyn pouze přes měřicí zařízení provozovatele, jinak bude postupováno jako při neoprávněném odběru dle čl. V této s</w:t>
      </w:r>
      <w:r>
        <w:t>mlouvy,</w:t>
      </w:r>
    </w:p>
    <w:p w:rsidR="00056918" w:rsidRDefault="00801869">
      <w:pPr>
        <w:pStyle w:val="Style12"/>
        <w:numPr>
          <w:ilvl w:val="2"/>
          <w:numId w:val="1"/>
        </w:numPr>
        <w:shd w:val="clear" w:color="auto" w:fill="auto"/>
        <w:tabs>
          <w:tab w:val="left" w:pos="1383"/>
        </w:tabs>
        <w:spacing w:before="0" w:line="230" w:lineRule="exact"/>
        <w:ind w:left="1380" w:hanging="640"/>
      </w:pPr>
      <w:r>
        <w:t>bez překážek umožnit, po předchozí výzvě provozovateli nebo jím zmocněným osobám, přístup k měřicímu zařízení za účelem provedení kontroly, odečtu, údržby, výměny či jeho odebrání, v případě, že tak neučiní, je provozovatel oprávněn požadovat zapla</w:t>
      </w:r>
      <w:r>
        <w:t>cení smluvní pokuty ve výši 10 000,00 Kč.</w:t>
      </w:r>
    </w:p>
    <w:p w:rsidR="00056918" w:rsidRDefault="00801869">
      <w:pPr>
        <w:pStyle w:val="Style12"/>
        <w:numPr>
          <w:ilvl w:val="2"/>
          <w:numId w:val="1"/>
        </w:numPr>
        <w:shd w:val="clear" w:color="auto" w:fill="auto"/>
        <w:tabs>
          <w:tab w:val="left" w:pos="1383"/>
        </w:tabs>
        <w:spacing w:before="0" w:line="235" w:lineRule="exact"/>
        <w:ind w:left="1380" w:hanging="640"/>
      </w:pPr>
      <w:r>
        <w:t>zdržet se jakýchkoliv zásahů do měřicího zařízení a jeho připojení, jinak bude postupováno jako při neoprávněném odběru dle čl. V této smlouvy,</w:t>
      </w:r>
    </w:p>
    <w:p w:rsidR="00056918" w:rsidRDefault="00801869">
      <w:pPr>
        <w:pStyle w:val="Style12"/>
        <w:numPr>
          <w:ilvl w:val="2"/>
          <w:numId w:val="1"/>
        </w:numPr>
        <w:shd w:val="clear" w:color="auto" w:fill="auto"/>
        <w:tabs>
          <w:tab w:val="left" w:pos="1383"/>
        </w:tabs>
        <w:spacing w:before="0" w:line="230" w:lineRule="exact"/>
        <w:ind w:left="1380" w:hanging="640"/>
      </w:pPr>
      <w:r>
        <w:t>sledovat chod a stav měřicího zařízení, chránit jej před poškozením, n</w:t>
      </w:r>
      <w:r>
        <w:t>eoprávněnou manipulací a odcizením; zjištěné závady, poškození či odcizení, včetně porušení úřední značky (plomby) proti neoprávněné manipulaci neprodleně oznámit provozovateli,</w:t>
      </w:r>
    </w:p>
    <w:p w:rsidR="00056918" w:rsidRDefault="00801869">
      <w:pPr>
        <w:pStyle w:val="Style12"/>
        <w:numPr>
          <w:ilvl w:val="2"/>
          <w:numId w:val="1"/>
        </w:numPr>
        <w:shd w:val="clear" w:color="auto" w:fill="auto"/>
        <w:tabs>
          <w:tab w:val="left" w:pos="1383"/>
        </w:tabs>
        <w:spacing w:before="0" w:line="230" w:lineRule="exact"/>
        <w:ind w:left="1380" w:hanging="640"/>
      </w:pPr>
      <w:r>
        <w:t>při poruše elektronického přepočítávače množství plynu, je-li instalován, zazn</w:t>
      </w:r>
      <w:r>
        <w:t>amenávat denní stavy měřicího zařízení a tyto údaje poskytovat provozovateli 1. pracovní den následujícího měsíce</w:t>
      </w:r>
    </w:p>
    <w:p w:rsidR="00056918" w:rsidRDefault="00801869">
      <w:pPr>
        <w:pStyle w:val="Style12"/>
        <w:numPr>
          <w:ilvl w:val="2"/>
          <w:numId w:val="1"/>
        </w:numPr>
        <w:shd w:val="clear" w:color="auto" w:fill="auto"/>
        <w:tabs>
          <w:tab w:val="left" w:pos="1451"/>
        </w:tabs>
        <w:spacing w:before="0" w:line="230" w:lineRule="exact"/>
        <w:ind w:left="1380" w:hanging="640"/>
      </w:pPr>
      <w:r>
        <w:t xml:space="preserve">na měřicích místech s měřením typu C zaznamenávat v pravidelných intervalech do odběrových diagramů stav měřicího zařízení. Denní spotřeba se </w:t>
      </w:r>
      <w:r>
        <w:t>počítá od 6.00 hod. do 6.00 hod. následujícího dne. Měsíční spotřeba se počítá vždy za celý měsíc (od 6.00 hod. 1. dne měsíce do 6.00 hod. 1. dne měsíce následujícího)</w:t>
      </w:r>
    </w:p>
    <w:p w:rsidR="00056918" w:rsidRDefault="00801869">
      <w:pPr>
        <w:pStyle w:val="Style12"/>
        <w:numPr>
          <w:ilvl w:val="2"/>
          <w:numId w:val="1"/>
        </w:numPr>
        <w:shd w:val="clear" w:color="auto" w:fill="auto"/>
        <w:tabs>
          <w:tab w:val="left" w:pos="1451"/>
        </w:tabs>
        <w:spacing w:before="0" w:line="230" w:lineRule="exact"/>
        <w:ind w:left="1380" w:hanging="640"/>
      </w:pPr>
      <w:r>
        <w:t>v případě rozšíření a navýšení odběru plynu instalací nových plynových spotřebičů nebo n</w:t>
      </w:r>
      <w:r>
        <w:t>áhradou stávajících spotřebičů s jiným příkonem předložit provozovateli žádost o připojení, a to alespoň 30 dnů před zamýšlenou změnou, na základě které bude, v případě schválení žádosti provozovatelem, provedena aktualizace této smlouvy,</w:t>
      </w:r>
    </w:p>
    <w:p w:rsidR="00056918" w:rsidRDefault="00801869">
      <w:pPr>
        <w:pStyle w:val="Style12"/>
        <w:numPr>
          <w:ilvl w:val="1"/>
          <w:numId w:val="1"/>
        </w:numPr>
        <w:shd w:val="clear" w:color="auto" w:fill="auto"/>
        <w:tabs>
          <w:tab w:val="left" w:pos="798"/>
        </w:tabs>
        <w:spacing w:before="0"/>
        <w:ind w:left="360" w:firstLine="0"/>
        <w:jc w:val="left"/>
      </w:pPr>
      <w:r>
        <w:t>oprávněn</w:t>
      </w:r>
    </w:p>
    <w:p w:rsidR="00056918" w:rsidRDefault="00801869">
      <w:pPr>
        <w:pStyle w:val="Style12"/>
        <w:numPr>
          <w:ilvl w:val="2"/>
          <w:numId w:val="1"/>
        </w:numPr>
        <w:shd w:val="clear" w:color="auto" w:fill="auto"/>
        <w:tabs>
          <w:tab w:val="left" w:pos="1383"/>
        </w:tabs>
        <w:spacing w:before="0" w:line="230" w:lineRule="exact"/>
        <w:ind w:left="1380" w:hanging="640"/>
      </w:pPr>
      <w:r>
        <w:t>k odběru</w:t>
      </w:r>
      <w:r>
        <w:t xml:space="preserve"> sjednaného množství plynu v kvalitě odpovídající příslušným technickým předpisům, a to pro dané odběrné místo na základě uzavřené smlouvy o dodávce a odběru plynu mezi zákazníkem a obchodníkem s plynem, příp. smlouvy o sdružených službách dodávky a odběru</w:t>
      </w:r>
      <w:r>
        <w:t xml:space="preserve"> plynu, či smlouvy o distribuci plynu s provozovatelem,</w:t>
      </w:r>
    </w:p>
    <w:p w:rsidR="00056918" w:rsidRDefault="00801869">
      <w:pPr>
        <w:pStyle w:val="Style12"/>
        <w:numPr>
          <w:ilvl w:val="2"/>
          <w:numId w:val="1"/>
        </w:numPr>
        <w:shd w:val="clear" w:color="auto" w:fill="auto"/>
        <w:tabs>
          <w:tab w:val="left" w:pos="1383"/>
        </w:tabs>
        <w:spacing w:before="0" w:line="230" w:lineRule="exact"/>
        <w:ind w:left="1380" w:hanging="640"/>
      </w:pPr>
      <w:r>
        <w:t>písemně požadovat, v případě uvedeném v čl. IV odst. 1. bodu 1.1.3. této smlouvy, u provozovatele výměnu a přezkoušení měřicího zařízení,</w:t>
      </w:r>
    </w:p>
    <w:p w:rsidR="00056918" w:rsidRDefault="00801869">
      <w:pPr>
        <w:pStyle w:val="Style12"/>
        <w:numPr>
          <w:ilvl w:val="2"/>
          <w:numId w:val="1"/>
        </w:numPr>
        <w:shd w:val="clear" w:color="auto" w:fill="auto"/>
        <w:tabs>
          <w:tab w:val="left" w:pos="1383"/>
        </w:tabs>
        <w:spacing w:before="0" w:after="305" w:line="230" w:lineRule="exact"/>
        <w:ind w:left="1380" w:hanging="640"/>
      </w:pPr>
      <w:r>
        <w:t>otevřít obtok, je-li jím měřicí zařízení vybaveno, ale to pouz</w:t>
      </w:r>
      <w:r>
        <w:t>e v případech, kdy je na měřicím zařízení závada a neprodleně telefonicky o</w:t>
      </w:r>
      <w:r w:rsidR="00C813BA">
        <w:t>hlásit tuto skutečnost na tel. xxxxx</w:t>
      </w:r>
      <w:r>
        <w:t xml:space="preserve"> a následně i písemně potvrdit provozovateli, nejdéle však do 3 kalendářních dnů od otevření obtoku. V případě, že porušení plomby na obtoku v dan</w:t>
      </w:r>
      <w:r>
        <w:t>ém termínu nenahlásí, bude postupováno jako při neoprávněném odběru dle čl. V této smlouvy.</w:t>
      </w:r>
    </w:p>
    <w:p w:rsidR="00056918" w:rsidRDefault="00801869">
      <w:pPr>
        <w:pStyle w:val="Style22"/>
        <w:keepNext/>
        <w:keepLines/>
        <w:shd w:val="clear" w:color="auto" w:fill="auto"/>
        <w:spacing w:before="0"/>
        <w:ind w:left="20"/>
      </w:pPr>
      <w:bookmarkStart w:id="9" w:name="bookmark9"/>
      <w:r>
        <w:t>Čl. V</w:t>
      </w:r>
      <w:bookmarkEnd w:id="9"/>
    </w:p>
    <w:p w:rsidR="00056918" w:rsidRDefault="00C813BA">
      <w:pPr>
        <w:pStyle w:val="Style26"/>
        <w:shd w:val="clear" w:color="auto" w:fill="auto"/>
        <w:spacing w:before="0"/>
        <w:ind w:left="20"/>
      </w:pPr>
      <w:r>
        <w:rPr>
          <w:noProof/>
          <w:lang w:bidi="ar-SA"/>
        </w:rPr>
        <mc:AlternateContent>
          <mc:Choice Requires="wps">
            <w:drawing>
              <wp:anchor distT="0" distB="0" distL="63500" distR="63500" simplePos="0" relativeHeight="377487104" behindDoc="1" locked="0" layoutInCell="1" allowOverlap="1">
                <wp:simplePos x="0" y="0"/>
                <wp:positionH relativeFrom="margin">
                  <wp:posOffset>6530340</wp:posOffset>
                </wp:positionH>
                <wp:positionV relativeFrom="paragraph">
                  <wp:posOffset>152400</wp:posOffset>
                </wp:positionV>
                <wp:extent cx="91440" cy="353695"/>
                <wp:effectExtent l="0" t="0" r="0" b="0"/>
                <wp:wrapTopAndBottom/>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353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56918" w:rsidRDefault="00801869">
                            <w:pPr>
                              <w:pStyle w:val="Style2"/>
                              <w:shd w:val="clear" w:color="auto" w:fill="auto"/>
                            </w:pPr>
                            <w:r>
                              <w:t>CR38_vl2</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14.2pt;margin-top:12pt;width:7.2pt;height:27.85pt;z-index:-12582937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" filled="f" stroked="f">
                <v:textbox style="layout-flow:vertical;mso-layout-flow-alt:bottom-to-top" inset="0,0,0,0">
                  <w:txbxContent>
                    <w:p w:rsidR="00056918" w:rsidRDefault="00801869">
                      <w:pPr>
                        <w:pStyle w:val="Style2"/>
                        <w:shd w:val="clear" w:color="auto" w:fill="auto"/>
                      </w:pPr>
                      <w:r>
                        <w:t>CR38_vl2</w:t>
                      </w:r>
                    </w:p>
                  </w:txbxContent>
                </v:textbox>
                <w10:wrap type="topAndBottom" anchorx="margin"/>
              </v:shape>
            </w:pict>
          </mc:Fallback>
        </mc:AlternateContent>
      </w:r>
      <w:r w:rsidR="00801869">
        <w:rPr>
          <w:rStyle w:val="CharStyle28"/>
          <w:b/>
          <w:bCs/>
        </w:rPr>
        <w:t>Neoprávněný odběr plynu</w:t>
      </w:r>
      <w:r w:rsidR="00801869">
        <w:br w:type="page"/>
      </w:r>
    </w:p>
    <w:p w:rsidR="00056918" w:rsidRDefault="00801869">
      <w:pPr>
        <w:pStyle w:val="Style12"/>
        <w:shd w:val="clear" w:color="auto" w:fill="auto"/>
        <w:spacing w:before="0" w:after="165" w:line="230" w:lineRule="exact"/>
        <w:ind w:left="400" w:hanging="400"/>
      </w:pPr>
      <w:r>
        <w:lastRenderedPageBreak/>
        <w:t>1. Při neoprávněném odběru plynu je zákazník povinen uhradit provozovateli skutečně vzniklou škodu, která je vypočtena d</w:t>
      </w:r>
      <w:r>
        <w:t>le platných právních předpisů. Mimo této škody je zákazník povinen zaplatit provozovateli skutečně vzniklé náklady v prokázané výši spojené se zjištěním neoprávněného odběru plynu, s přerušením a opětovným obnovením dodávky plynu, a to ve lhůtě stanovené v</w:t>
      </w:r>
      <w:r>
        <w:t xml:space="preserve"> jejich vyúčtování.</w:t>
      </w:r>
    </w:p>
    <w:p w:rsidR="00056918" w:rsidRDefault="00801869">
      <w:pPr>
        <w:pStyle w:val="Style22"/>
        <w:keepNext/>
        <w:keepLines/>
        <w:shd w:val="clear" w:color="auto" w:fill="auto"/>
        <w:spacing w:before="0"/>
        <w:ind w:left="20"/>
      </w:pPr>
      <w:bookmarkStart w:id="10" w:name="bookmark10"/>
      <w:r>
        <w:t>ČI. VI</w:t>
      </w:r>
      <w:bookmarkEnd w:id="10"/>
    </w:p>
    <w:p w:rsidR="00056918" w:rsidRDefault="00801869">
      <w:pPr>
        <w:pStyle w:val="Style22"/>
        <w:keepNext/>
        <w:keepLines/>
        <w:shd w:val="clear" w:color="auto" w:fill="auto"/>
        <w:spacing w:before="0" w:after="155"/>
        <w:ind w:left="20"/>
      </w:pPr>
      <w:bookmarkStart w:id="11" w:name="bookmark11"/>
      <w:r>
        <w:rPr>
          <w:rStyle w:val="CharStyle24"/>
          <w:b/>
          <w:bCs/>
        </w:rPr>
        <w:t>Závěrečná ustanovení</w:t>
      </w:r>
      <w:bookmarkEnd w:id="11"/>
    </w:p>
    <w:p w:rsidR="00056918" w:rsidRDefault="00801869">
      <w:pPr>
        <w:pStyle w:val="Style12"/>
        <w:numPr>
          <w:ilvl w:val="0"/>
          <w:numId w:val="6"/>
        </w:numPr>
        <w:shd w:val="clear" w:color="auto" w:fill="auto"/>
        <w:tabs>
          <w:tab w:val="left" w:pos="370"/>
        </w:tabs>
        <w:spacing w:before="0" w:line="230" w:lineRule="exact"/>
        <w:ind w:left="400" w:hanging="400"/>
        <w:jc w:val="left"/>
      </w:pPr>
      <w:r>
        <w:t>Právní vztahy smluvních stran touto smlouvou blíže neupravené se řídí energetickým zákonem, souvisejícími právními předpisy a dalšími obecně závaznými předpisy.</w:t>
      </w:r>
    </w:p>
    <w:p w:rsidR="00056918" w:rsidRDefault="00801869">
      <w:pPr>
        <w:pStyle w:val="Style12"/>
        <w:numPr>
          <w:ilvl w:val="0"/>
          <w:numId w:val="6"/>
        </w:numPr>
        <w:shd w:val="clear" w:color="auto" w:fill="auto"/>
        <w:tabs>
          <w:tab w:val="left" w:pos="370"/>
        </w:tabs>
        <w:spacing w:before="0" w:line="230" w:lineRule="exact"/>
        <w:ind w:left="400" w:hanging="400"/>
      </w:pPr>
      <w:r>
        <w:t>Zákazník, je-li fyzickou osobou, bere na vědomí, že provozovatel zpracovává osobní údaje zákazníka v souladu s příslušnými právními předpisy, zejména v souladu s obecným nařízením o ochraně osobních údajů, a že poskytnutí jeho osobních údajů je smluvním po</w:t>
      </w:r>
      <w:r>
        <w:t xml:space="preserve">žadavkem a pro řádné uzavření smlouvy má zákazník povinnost tyto osobní údaje poskytnout. Veškeré informace o tomto zpracování osobních údajů jsou uvedeny v dokumentu Informační memorandum dostupném na </w:t>
      </w:r>
      <w:hyperlink r:id="rId11" w:history="1">
        <w:r w:rsidR="00C813BA">
          <w:rPr>
            <w:lang w:val="en-US" w:eastAsia="en-US" w:bidi="en-US"/>
          </w:rPr>
          <w:t>xxxxxxxxx</w:t>
        </w:r>
      </w:hyperlink>
      <w:r>
        <w:rPr>
          <w:lang w:val="en-US" w:eastAsia="en-US" w:bidi="en-US"/>
        </w:rPr>
        <w:t xml:space="preserve"> </w:t>
      </w:r>
      <w:r>
        <w:t>a dále na vyžádání v sídle provozovatele.</w:t>
      </w:r>
    </w:p>
    <w:p w:rsidR="00056918" w:rsidRDefault="00801869">
      <w:pPr>
        <w:pStyle w:val="Style12"/>
        <w:numPr>
          <w:ilvl w:val="0"/>
          <w:numId w:val="6"/>
        </w:numPr>
        <w:shd w:val="clear" w:color="auto" w:fill="auto"/>
        <w:tabs>
          <w:tab w:val="left" w:pos="370"/>
        </w:tabs>
        <w:spacing w:before="0" w:line="235" w:lineRule="exact"/>
        <w:ind w:left="400" w:hanging="400"/>
      </w:pPr>
      <w:r>
        <w:t>Způsob fakturace a platební podmínky odebraného množství plynu bude řešen ve smlouvě o dodávce a odběru plynu, příp. smlouvě o sdružených službách dodávky a odběru plynu, či ve smlouvě o zajištění služby dis</w:t>
      </w:r>
      <w:r>
        <w:t>tribuční soustavy.</w:t>
      </w:r>
    </w:p>
    <w:p w:rsidR="00056918" w:rsidRDefault="00801869">
      <w:pPr>
        <w:pStyle w:val="Style12"/>
        <w:numPr>
          <w:ilvl w:val="0"/>
          <w:numId w:val="6"/>
        </w:numPr>
        <w:shd w:val="clear" w:color="auto" w:fill="auto"/>
        <w:tabs>
          <w:tab w:val="left" w:pos="370"/>
        </w:tabs>
        <w:spacing w:before="0" w:line="230" w:lineRule="exact"/>
        <w:ind w:left="400" w:hanging="400"/>
      </w:pPr>
      <w:r>
        <w:t>Smluvní pokuty sjednané touto smlouvou jsou splatné na bankovní účet provozovatele do 30 dnů ode dne doručení jejich vyúčtování zákazníkovi a jejich zaplacení nemá vliv na náhradu škody v plném rozsahu.</w:t>
      </w:r>
    </w:p>
    <w:p w:rsidR="00056918" w:rsidRDefault="00801869">
      <w:pPr>
        <w:pStyle w:val="Style12"/>
        <w:numPr>
          <w:ilvl w:val="0"/>
          <w:numId w:val="6"/>
        </w:numPr>
        <w:shd w:val="clear" w:color="auto" w:fill="auto"/>
        <w:tabs>
          <w:tab w:val="left" w:pos="370"/>
        </w:tabs>
        <w:spacing w:before="0"/>
        <w:ind w:left="400" w:hanging="400"/>
      </w:pPr>
      <w:r>
        <w:t xml:space="preserve">Tato smlouva se uzavírá na dobu </w:t>
      </w:r>
      <w:r>
        <w:t>neurčitou.</w:t>
      </w:r>
    </w:p>
    <w:p w:rsidR="00056918" w:rsidRDefault="00801869">
      <w:pPr>
        <w:pStyle w:val="Style12"/>
        <w:numPr>
          <w:ilvl w:val="0"/>
          <w:numId w:val="6"/>
        </w:numPr>
        <w:shd w:val="clear" w:color="auto" w:fill="auto"/>
        <w:tabs>
          <w:tab w:val="left" w:pos="370"/>
        </w:tabs>
        <w:spacing w:before="0"/>
        <w:ind w:left="400" w:hanging="400"/>
      </w:pPr>
      <w:r>
        <w:t>Tuto smlouvu lze ukončit v těchto případech:</w:t>
      </w:r>
    </w:p>
    <w:p w:rsidR="00056918" w:rsidRDefault="00801869">
      <w:pPr>
        <w:pStyle w:val="Style12"/>
        <w:numPr>
          <w:ilvl w:val="1"/>
          <w:numId w:val="6"/>
        </w:numPr>
        <w:shd w:val="clear" w:color="auto" w:fill="auto"/>
        <w:tabs>
          <w:tab w:val="left" w:pos="833"/>
        </w:tabs>
        <w:spacing w:before="0" w:line="230" w:lineRule="exact"/>
        <w:ind w:left="780" w:hanging="380"/>
      </w:pPr>
      <w:r>
        <w:t>V případě, že ukončením této smlouvy dochází k odpojení odběrného místa od distribuční soustavy je nedílnou součástí výpovědi prokázání ukončení smlouvy o dodávce a odběru plynu mezi zákazníkem a obch</w:t>
      </w:r>
      <w:r>
        <w:t>odníkem s plynem, příp. smlouvy o sdružených službách dodávky a odběru plynu, či smlouvy o zajištění služby distribuční soustavy s provozovatelem. Smluvní vztah podle této smlouvy končí dnem odebrání měřicího zařízení nebo dnem jeho zaslepení.</w:t>
      </w:r>
    </w:p>
    <w:p w:rsidR="00056918" w:rsidRDefault="00801869">
      <w:pPr>
        <w:pStyle w:val="Style12"/>
        <w:numPr>
          <w:ilvl w:val="1"/>
          <w:numId w:val="6"/>
        </w:numPr>
        <w:shd w:val="clear" w:color="auto" w:fill="auto"/>
        <w:tabs>
          <w:tab w:val="left" w:pos="833"/>
        </w:tabs>
        <w:spacing w:before="0" w:line="230" w:lineRule="exact"/>
        <w:ind w:left="780" w:hanging="380"/>
      </w:pPr>
      <w:r>
        <w:t>V případě, ž</w:t>
      </w:r>
      <w:r>
        <w:t>e dochází k ukončení smlouvy a bezprostředně k uzavření nové smlouvy o připojení k distribuční soustavě, bude tato smlouva ukončena k datu uzavření smlouvy s novým zákazníkem. Podmínkou ukončení je odečet stavu měřicího zařízení provedený zástupcem provozo</w:t>
      </w:r>
      <w:r>
        <w:t>vatele, příp. stav měřicího zařízení potvrzený odstupujícím zákazníkem a zákazníkem novým, předaný provozovateli.</w:t>
      </w:r>
    </w:p>
    <w:p w:rsidR="00056918" w:rsidRDefault="00801869">
      <w:pPr>
        <w:pStyle w:val="Style12"/>
        <w:numPr>
          <w:ilvl w:val="1"/>
          <w:numId w:val="6"/>
        </w:numPr>
        <w:shd w:val="clear" w:color="auto" w:fill="auto"/>
        <w:tabs>
          <w:tab w:val="left" w:pos="838"/>
        </w:tabs>
        <w:spacing w:before="0" w:line="230" w:lineRule="exact"/>
        <w:ind w:left="780" w:hanging="380"/>
      </w:pPr>
      <w:r>
        <w:t>V případě neoprávněného odběru dle čl. V této smlouvy je provozovatel oprávněn ukončit smluvní vztah ke dni odebrání měřicího zařízení nebo ke</w:t>
      </w:r>
      <w:r>
        <w:t xml:space="preserve"> dni jeho zaslepení.</w:t>
      </w:r>
    </w:p>
    <w:p w:rsidR="00056918" w:rsidRDefault="00801869">
      <w:pPr>
        <w:pStyle w:val="Style12"/>
        <w:numPr>
          <w:ilvl w:val="1"/>
          <w:numId w:val="6"/>
        </w:numPr>
        <w:shd w:val="clear" w:color="auto" w:fill="auto"/>
        <w:tabs>
          <w:tab w:val="left" w:pos="838"/>
        </w:tabs>
        <w:spacing w:before="0" w:line="230" w:lineRule="exact"/>
        <w:ind w:left="780" w:hanging="380"/>
      </w:pPr>
      <w:r>
        <w:t>Pokud měřicí zařízení nebude instalováno do dvou let ode dne vystavení Technických podmínek připojení k distribuční soustavě, uvedených v příloze číslo 1, pozbývá tato smlouva platnosti a v případě trvání zájmu o odběr plynu musí zákaz</w:t>
      </w:r>
      <w:r>
        <w:t>ník požádat o uzavření nové smlouvy, včetně aktualizace technických podmínek připojení k distribuční soustavě.</w:t>
      </w:r>
    </w:p>
    <w:p w:rsidR="00056918" w:rsidRDefault="00801869">
      <w:pPr>
        <w:pStyle w:val="Style12"/>
        <w:numPr>
          <w:ilvl w:val="0"/>
          <w:numId w:val="6"/>
        </w:numPr>
        <w:shd w:val="clear" w:color="auto" w:fill="auto"/>
        <w:tabs>
          <w:tab w:val="left" w:pos="370"/>
        </w:tabs>
        <w:spacing w:before="0" w:line="230" w:lineRule="exact"/>
        <w:ind w:left="400" w:hanging="400"/>
      </w:pPr>
      <w:r>
        <w:t>V případě, že je zákazníkovi zaslána faktura, požadavek na zpřístupnění měřicího zařízení nebo další výzva jako zásilka doporučená nebo zásilka d</w:t>
      </w:r>
      <w:r>
        <w:t>o vlastních rukou a zákazník zmaří doručení nevyzvednutím zásilky na poště, je dnem doručení 15. den uložení této zásilky na poště. Pokud zákazník neoznámí provozovateli změnu adresy a zásilka bude z tohoto důvodu nedoručitelná, je také dnem doručení 15. d</w:t>
      </w:r>
      <w:r>
        <w:t>en uložení zásilky na poště.</w:t>
      </w:r>
    </w:p>
    <w:p w:rsidR="00056918" w:rsidRDefault="00801869">
      <w:pPr>
        <w:pStyle w:val="Style12"/>
        <w:numPr>
          <w:ilvl w:val="0"/>
          <w:numId w:val="6"/>
        </w:numPr>
        <w:shd w:val="clear" w:color="auto" w:fill="auto"/>
        <w:tabs>
          <w:tab w:val="left" w:pos="370"/>
        </w:tabs>
        <w:spacing w:before="0" w:line="230" w:lineRule="exact"/>
        <w:ind w:left="400" w:hanging="400"/>
      </w:pPr>
      <w:r>
        <w:t>Pro případ, že tato Smlouva není uzavírána za přítomnosti obou smluvních stran, platí, že Smlouva nebude uzavřena, pokud ji zákazník či provozovatel podepíší s jakoukoliv změnou či odchylkou, byť nepodstatnou, nebo dodatkem, le</w:t>
      </w:r>
      <w:r>
        <w:t>daže druhá smluvní strana takovou změnu či odchylku nebo dodatek následně schválí.</w:t>
      </w:r>
    </w:p>
    <w:p w:rsidR="00056918" w:rsidRDefault="00801869">
      <w:pPr>
        <w:pStyle w:val="Style12"/>
        <w:numPr>
          <w:ilvl w:val="0"/>
          <w:numId w:val="6"/>
        </w:numPr>
        <w:shd w:val="clear" w:color="auto" w:fill="auto"/>
        <w:tabs>
          <w:tab w:val="left" w:pos="370"/>
        </w:tabs>
        <w:spacing w:before="0" w:line="230" w:lineRule="exact"/>
        <w:ind w:left="400" w:hanging="400"/>
      </w:pPr>
      <w:r>
        <w:t>Smluvní strany prohlašují, že si Smlouvu před jejím podpisem přečetly, že byla uzavřena po vzájemné dohodě, podle jejich pravé a svobodné vůle, dobrovolně, určitě, vážně a s</w:t>
      </w:r>
      <w:r>
        <w:t>rozumitelně, nikoliv v tísni, pod nátlakem ani za nápadně nevýhodných podmínek, což stvrzují svými podpisy. Smluvní strany prohlašují, že Smlouva představuje úplnou dohodu o veškerých jejích náležitostech a neexistují náležitosti, které by smluvní strany n</w:t>
      </w:r>
      <w:r>
        <w:t>eujednaly.</w:t>
      </w:r>
    </w:p>
    <w:p w:rsidR="00056918" w:rsidRDefault="00801869">
      <w:pPr>
        <w:pStyle w:val="Style12"/>
        <w:numPr>
          <w:ilvl w:val="0"/>
          <w:numId w:val="6"/>
        </w:numPr>
        <w:shd w:val="clear" w:color="auto" w:fill="auto"/>
        <w:tabs>
          <w:tab w:val="left" w:pos="370"/>
        </w:tabs>
        <w:spacing w:before="0" w:line="235" w:lineRule="exact"/>
        <w:ind w:left="400" w:hanging="400"/>
      </w:pPr>
      <w:r>
        <w:t>Tato smlouva je vyhotovena ve dvou výtiscích, z nichž po jednom obdrží každá ze smluvních stran. Za písemné vyhotovení se považuje vyhotovení učiněné jak v listinné podobě, tak elektronicky.</w:t>
      </w:r>
    </w:p>
    <w:p w:rsidR="00056918" w:rsidRDefault="00801869">
      <w:pPr>
        <w:pStyle w:val="Style12"/>
        <w:numPr>
          <w:ilvl w:val="0"/>
          <w:numId w:val="6"/>
        </w:numPr>
        <w:shd w:val="clear" w:color="auto" w:fill="auto"/>
        <w:tabs>
          <w:tab w:val="left" w:pos="370"/>
        </w:tabs>
        <w:spacing w:before="0" w:line="230" w:lineRule="exact"/>
        <w:ind w:left="400" w:hanging="400"/>
      </w:pPr>
      <w:r>
        <w:t>Vlastnoruční podpis zástupce provozovatele může být na</w:t>
      </w:r>
      <w:r>
        <w:t>hrazen faksimilií tohoto podpisu. Vlastnoruční podpis zákazníka může být učiněn elektronicky podle platných právních předpisů, a to prostřednictvím zařízení pro snímání vlastnoručního podpisu, nebo může být nahrazen scanem podepsané listiny s vlastnoručním</w:t>
      </w:r>
      <w:r>
        <w:t xml:space="preserve"> podpisem. Za vlastnoručně podepsanou se má i smlouva takto podepsaná a odeslaná z datové schránky.</w:t>
      </w:r>
    </w:p>
    <w:p w:rsidR="00056918" w:rsidRDefault="00C813BA">
      <w:pPr>
        <w:pStyle w:val="Style12"/>
        <w:numPr>
          <w:ilvl w:val="0"/>
          <w:numId w:val="6"/>
        </w:numPr>
        <w:shd w:val="clear" w:color="auto" w:fill="auto"/>
        <w:tabs>
          <w:tab w:val="left" w:pos="370"/>
        </w:tabs>
        <w:spacing w:before="0" w:line="230" w:lineRule="exact"/>
        <w:ind w:left="400" w:hanging="400"/>
      </w:pPr>
      <w:r>
        <w:rPr>
          <w:noProof/>
          <w:lang w:bidi="ar-SA"/>
        </w:rPr>
        <mc:AlternateContent>
          <mc:Choice Requires="wps">
            <w:drawing>
              <wp:anchor distT="0" distB="0" distL="63500" distR="63500" simplePos="0" relativeHeight="377487105" behindDoc="1" locked="0" layoutInCell="1" allowOverlap="1">
                <wp:simplePos x="0" y="0"/>
                <wp:positionH relativeFrom="margin">
                  <wp:posOffset>6537960</wp:posOffset>
                </wp:positionH>
                <wp:positionV relativeFrom="paragraph">
                  <wp:posOffset>636905</wp:posOffset>
                </wp:positionV>
                <wp:extent cx="94615" cy="353695"/>
                <wp:effectExtent l="3810" t="0" r="0" b="0"/>
                <wp:wrapTopAndBottom/>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15" cy="353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56918" w:rsidRDefault="00801869">
                            <w:pPr>
                              <w:pStyle w:val="Style2"/>
                              <w:shd w:val="clear" w:color="auto" w:fill="auto"/>
                            </w:pPr>
                            <w:r>
                              <w:t>CR38_vl2</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514.8pt;margin-top:50.15pt;width:7.45pt;height:27.85pt;z-index:-125829375;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" filled="f" stroked="f">
                <v:textbox style="layout-flow:vertical;mso-layout-flow-alt:bottom-to-top" inset="0,0,0,0">
                  <w:txbxContent>
                    <w:p w:rsidR="00056918" w:rsidRDefault="00801869">
                      <w:pPr>
                        <w:pStyle w:val="Style2"/>
                        <w:shd w:val="clear" w:color="auto" w:fill="auto"/>
                      </w:pPr>
                      <w:r>
                        <w:t>CR38_vl2</w:t>
                      </w:r>
                    </w:p>
                  </w:txbxContent>
                </v:textbox>
                <w10:wrap type="topAndBottom" anchorx="margin"/>
              </v:shape>
            </w:pict>
          </mc:Fallback>
        </mc:AlternateContent>
      </w:r>
      <w:r w:rsidR="00801869">
        <w:t xml:space="preserve">Návrh smlouvy může být zákazníkovi doručen prostřednictvím poskytovatelů poštovních služeb nebo elektronickými prostředky (např. e-mail), pokud </w:t>
      </w:r>
      <w:r w:rsidR="00801869">
        <w:t>kontaktní údaje pro použití elektronických prostředků poskytnul zákazník provozovateli v žádosti o připojení, před uzavřením této smlouvy o připojení nebo kdykoli během smluvního vztahu.</w:t>
      </w:r>
      <w:r w:rsidR="00801869">
        <w:br w:type="page"/>
      </w:r>
    </w:p>
    <w:p w:rsidR="00056918" w:rsidRDefault="00801869">
      <w:pPr>
        <w:pStyle w:val="Style12"/>
        <w:numPr>
          <w:ilvl w:val="0"/>
          <w:numId w:val="6"/>
        </w:numPr>
        <w:shd w:val="clear" w:color="auto" w:fill="auto"/>
        <w:tabs>
          <w:tab w:val="left" w:pos="406"/>
        </w:tabs>
        <w:spacing w:before="0" w:after="296"/>
        <w:ind w:firstLine="0"/>
      </w:pPr>
      <w:r>
        <w:lastRenderedPageBreak/>
        <w:t>Smlouva nabývá platnosti a účinnosti dnem podpisu oběma smluvními st</w:t>
      </w:r>
      <w:r>
        <w:t>ranami.</w:t>
      </w:r>
    </w:p>
    <w:p w:rsidR="00056918" w:rsidRDefault="00801869">
      <w:pPr>
        <w:pStyle w:val="Style12"/>
        <w:shd w:val="clear" w:color="auto" w:fill="auto"/>
        <w:spacing w:before="0" w:line="230" w:lineRule="exact"/>
        <w:ind w:firstLine="0"/>
      </w:pPr>
      <w:r>
        <w:rPr>
          <w:rStyle w:val="CharStyle29"/>
        </w:rPr>
        <w:t>Příloha číslo 1 této smlouvy:</w:t>
      </w:r>
      <w:r>
        <w:t xml:space="preserve"> Technické podmínky připojení k distribuční soustavě, vydané provozovatelem k žádosti zákazníka pro dané odběrné místo (v případech, kdy je pro připojení nutná výstavba plynárenského zařízení včetně situačního plánku s vyznačením tohoto zařízení)</w:t>
      </w:r>
    </w:p>
    <w:p w:rsidR="00056918" w:rsidRDefault="00801869">
      <w:pPr>
        <w:pStyle w:val="Style12"/>
        <w:shd w:val="clear" w:color="auto" w:fill="auto"/>
        <w:spacing w:before="0" w:after="144" w:line="230" w:lineRule="exact"/>
        <w:ind w:right="3120" w:firstLine="0"/>
        <w:jc w:val="left"/>
      </w:pPr>
      <w:r>
        <w:rPr>
          <w:rStyle w:val="CharStyle29"/>
        </w:rPr>
        <w:t>Příloha č</w:t>
      </w:r>
      <w:r>
        <w:rPr>
          <w:rStyle w:val="CharStyle29"/>
        </w:rPr>
        <w:t>íslo 2 této smlouvy</w:t>
      </w:r>
      <w:r>
        <w:t xml:space="preserve">: Měřicí zařízení - bude předána při osazení měřidla </w:t>
      </w:r>
      <w:r>
        <w:rPr>
          <w:rStyle w:val="CharStyle29"/>
        </w:rPr>
        <w:t>Příloha číslo 3 této smlouvy</w:t>
      </w:r>
      <w:r>
        <w:t>: vzor Měřicí zařízení</w:t>
      </w:r>
    </w:p>
    <w:p w:rsidR="00056918" w:rsidRDefault="00C813BA">
      <w:pPr>
        <w:pStyle w:val="Style12"/>
        <w:shd w:val="clear" w:color="auto" w:fill="auto"/>
        <w:tabs>
          <w:tab w:val="left" w:pos="4843"/>
        </w:tabs>
        <w:spacing w:before="0"/>
        <w:ind w:firstLine="0"/>
      </w:pPr>
      <w:r>
        <w:rPr>
          <w:noProof/>
          <w:lang w:bidi="ar-SA"/>
        </w:rPr>
        <mc:AlternateContent>
          <mc:Choice Requires="wps">
            <w:drawing>
              <wp:anchor distT="0" distB="143510" distL="2005330" distR="749935" simplePos="0" relativeHeight="377487107" behindDoc="1" locked="0" layoutInCell="1" allowOverlap="1">
                <wp:simplePos x="0" y="0"/>
                <wp:positionH relativeFrom="margin">
                  <wp:posOffset>4316095</wp:posOffset>
                </wp:positionH>
                <wp:positionV relativeFrom="paragraph">
                  <wp:posOffset>207010</wp:posOffset>
                </wp:positionV>
                <wp:extent cx="1045210" cy="492125"/>
                <wp:effectExtent l="1270" t="0" r="1270" b="0"/>
                <wp:wrapTopAndBottom/>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5210" cy="492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56918" w:rsidRDefault="00056918">
                            <w:pPr>
                              <w:jc w:val="center"/>
                            </w:pPr>
                          </w:p>
                          <w:p w:rsidR="003E369E" w:rsidRDefault="003E369E">
                            <w:pPr>
                              <w:jc w:val="center"/>
                            </w:pPr>
                          </w:p>
                          <w:p w:rsidR="003E369E" w:rsidRDefault="003E369E">
                            <w:pPr>
                              <w:jc w:val="center"/>
                              <w:rPr>
                                <w:sz w:val="2"/>
                                <w:szCs w:val="2"/>
                              </w:rPr>
                            </w:pPr>
                          </w:p>
                          <w:p w:rsidR="00056918" w:rsidRDefault="003E369E">
                            <w:pPr>
                              <w:pStyle w:val="Style6"/>
                              <w:shd w:val="clear" w:color="auto" w:fill="auto"/>
                            </w:pPr>
                            <w:r>
                              <w:t>xxxxxxxxxxxx</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 o:spid="_x0000_s1028" type="#_x0000_t202" style="position:absolute;left:0;text-align:left;margin-left:339.85pt;margin-top:16.3pt;width:82.3pt;height:38.75pt;z-index:-125829373;visibility:visible;mso-wrap-style:square;mso-width-percent:0;mso-height-percent:0;mso-wrap-distance-left:157.9pt;mso-wrap-distance-top:0;mso-wrap-distance-right:59.05pt;mso-wrap-distance-bottom:11.3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" filled="f" stroked="f">
                <v:textbox style="mso-fit-shape-to-text:t" inset="0,0,0,0">
                  <w:txbxContent>
                    <w:p w:rsidR="00056918" w:rsidRDefault="00056918">
                      <w:pPr>
                        <w:jc w:val="center"/>
                      </w:pPr>
                    </w:p>
                    <w:p w:rsidR="003E369E" w:rsidRDefault="003E369E">
                      <w:pPr>
                        <w:jc w:val="center"/>
                      </w:pPr>
                    </w:p>
                    <w:p w:rsidR="003E369E" w:rsidRDefault="003E369E">
                      <w:pPr>
                        <w:jc w:val="center"/>
                        <w:rPr>
                          <w:sz w:val="2"/>
                          <w:szCs w:val="2"/>
                        </w:rPr>
                      </w:pPr>
                    </w:p>
                    <w:p w:rsidR="00056918" w:rsidRDefault="003E369E">
                      <w:pPr>
                        <w:pStyle w:val="Style6"/>
                        <w:shd w:val="clear" w:color="auto" w:fill="auto"/>
                      </w:pPr>
                      <w:r>
                        <w:t>xxxxxxxxxxxx</w:t>
                      </w:r>
                    </w:p>
                  </w:txbxContent>
                </v:textbox>
                <w10:wrap type="topAndBottom" anchorx="margin"/>
              </v:shape>
            </w:pict>
          </mc:Fallback>
        </mc:AlternateContent>
      </w:r>
      <w:r w:rsidR="00801869">
        <w:t>V Praze dne:</w:t>
      </w:r>
      <w:r w:rsidR="003E369E">
        <w:t>16.8.2022</w:t>
      </w:r>
      <w:r w:rsidR="00801869">
        <w:tab/>
        <w:t>V Praze dne: 4.8.2022</w:t>
      </w:r>
    </w:p>
    <w:p w:rsidR="00056918" w:rsidRDefault="00C813BA">
      <w:pPr>
        <w:pStyle w:val="Style30"/>
        <w:shd w:val="clear" w:color="auto" w:fill="auto"/>
        <w:spacing w:after="66"/>
        <w:ind w:left="7020"/>
      </w:pPr>
      <w:r>
        <w:rPr>
          <w:noProof/>
          <w:lang w:bidi="ar-SA"/>
        </w:rPr>
        <mc:AlternateContent>
          <mc:Choice Requires="wps">
            <w:drawing>
              <wp:anchor distT="0" distB="0" distL="63500" distR="1527175" simplePos="0" relativeHeight="377487106" behindDoc="1" locked="0" layoutInCell="1" allowOverlap="1">
                <wp:simplePos x="0" y="0"/>
                <wp:positionH relativeFrom="margin">
                  <wp:posOffset>24130</wp:posOffset>
                </wp:positionH>
                <wp:positionV relativeFrom="paragraph">
                  <wp:posOffset>696595</wp:posOffset>
                </wp:positionV>
                <wp:extent cx="2764790" cy="99695"/>
                <wp:effectExtent l="0" t="3810" r="1905" b="0"/>
                <wp:wrapTopAndBottom/>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4790" cy="99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56918" w:rsidRDefault="00056918">
                            <w:pPr>
                              <w:jc w:val="center"/>
                              <w:rPr>
                                <w:sz w:val="2"/>
                                <w:szCs w:val="2"/>
                              </w:rPr>
                            </w:pPr>
                          </w:p>
                          <w:p w:rsidR="00056918" w:rsidRDefault="00801869">
                            <w:pPr>
                              <w:pStyle w:val="Style4"/>
                              <w:shd w:val="clear" w:color="auto" w:fill="auto"/>
                            </w:pPr>
                            <w:r>
                              <w:t>zákazník (podpis, razítko)</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 o:spid="_x0000_s1029" type="#_x0000_t202" style="position:absolute;left:0;text-align:left;margin-left:1.9pt;margin-top:54.85pt;width:217.7pt;height:7.85pt;z-index:-125829374;visibility:visible;mso-wrap-style:square;mso-width-percent:0;mso-height-percent:0;mso-wrap-distance-left:5pt;mso-wrap-distance-top:0;mso-wrap-distance-right:120.2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" filled="f" stroked="f">
                <v:textbox style="mso-fit-shape-to-text:t" inset="0,0,0,0">
                  <w:txbxContent>
                    <w:p w:rsidR="00056918" w:rsidRDefault="00056918">
                      <w:pPr>
                        <w:jc w:val="center"/>
                        <w:rPr>
                          <w:sz w:val="2"/>
                          <w:szCs w:val="2"/>
                        </w:rPr>
                      </w:pPr>
                    </w:p>
                    <w:p w:rsidR="00056918" w:rsidRDefault="00801869">
                      <w:pPr>
                        <w:pStyle w:val="Style4"/>
                        <w:shd w:val="clear" w:color="auto" w:fill="auto"/>
                      </w:pPr>
                      <w:r>
                        <w:t>zákazník (podpis, razítko)</w:t>
                      </w:r>
                    </w:p>
                  </w:txbxContent>
                </v:textbox>
                <w10:wrap type="topAndBottom" anchorx="margin"/>
              </v:shape>
            </w:pict>
          </mc:Fallback>
        </mc:AlternateContent>
      </w:r>
      <w:r w:rsidR="00801869">
        <w:t>provozovatel (podpis, razítko)</w:t>
      </w:r>
    </w:p>
    <w:p w:rsidR="00056918" w:rsidRDefault="003E369E" w:rsidP="003E369E">
      <w:pPr>
        <w:pStyle w:val="Style32"/>
        <w:shd w:val="clear" w:color="auto" w:fill="auto"/>
        <w:spacing w:before="0"/>
        <w:sectPr w:rsidR="00056918">
          <w:type w:val="continuous"/>
          <w:pgSz w:w="11909" w:h="16838"/>
          <w:pgMar w:top="1208" w:right="1037" w:bottom="1150" w:left="1094" w:header="0" w:footer="3" w:gutter="0"/>
          <w:cols w:space="720"/>
          <w:noEndnote/>
          <w:docGrid w:linePitch="360"/>
        </w:sectPr>
      </w:pPr>
      <w:bookmarkStart w:id="12" w:name="_GoBack"/>
      <w:bookmarkEnd w:id="12"/>
      <w:r>
        <w:rPr>
          <w:rStyle w:val="CharStyle34"/>
          <w:b/>
          <w:bCs/>
        </w:rPr>
        <w:t xml:space="preserve"> </w:t>
      </w:r>
    </w:p>
    <w:p w:rsidR="00056918" w:rsidRDefault="00C813BA">
      <w:pPr>
        <w:rPr>
          <w:sz w:val="2"/>
          <w:szCs w:val="2"/>
        </w:rPr>
      </w:pPr>
      <w:r>
        <w:rPr>
          <w:noProof/>
          <w:lang w:bidi="ar-SA"/>
        </w:rPr>
        <w:lastRenderedPageBreak/>
        <mc:AlternateContent>
          <mc:Choice Requires="wps">
            <w:drawing>
              <wp:inline distT="0" distB="0" distL="0" distR="0">
                <wp:extent cx="7626350" cy="5932170"/>
                <wp:effectExtent l="0" t="0" r="3175" b="1905"/>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6350" cy="5932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56918" w:rsidRDefault="00056918"/>
                        </w:txbxContent>
                      </wps:txbx>
                      <wps:bodyPr rot="0" vert="horz" wrap="square" lIns="0" tIns="0" rIns="0" bIns="0" anchor="t" anchorCtr="0" upright="1">
                        <a:noAutofit/>
                      </wps:bodyPr>
                    </wps:wsp>
                  </a:graphicData>
                </a:graphic>
              </wp:inline>
            </w:drawing>
          </mc:Choice>
          <mc:Fallback>
            <w:pict>
              <v:shape id="Text Box 15" o:spid="_x0000_s1030" type="#_x0000_t202" style="width:600.5pt;height:46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" filled="f" stroked="f">
                <v:textbox inset="0,0,0,0">
                  <w:txbxContent>
                    <w:p w:rsidR="00056918" w:rsidRDefault="00056918"/>
                  </w:txbxContent>
                </v:textbox>
                <w10:anchorlock/>
              </v:shape>
            </w:pict>
          </mc:Fallback>
        </mc:AlternateContent>
      </w:r>
      <w:r w:rsidR="00801869">
        <w:t xml:space="preserve"> </w:t>
      </w:r>
    </w:p>
    <w:p w:rsidR="00056918" w:rsidRDefault="00056918">
      <w:pPr>
        <w:rPr>
          <w:sz w:val="2"/>
          <w:szCs w:val="2"/>
        </w:rPr>
        <w:sectPr w:rsidR="00056918">
          <w:type w:val="continuous"/>
          <w:pgSz w:w="12010" w:h="16915"/>
          <w:pgMar w:top="1313" w:right="0" w:bottom="557" w:left="0" w:header="0" w:footer="3" w:gutter="0"/>
          <w:cols w:space="720"/>
          <w:noEndnote/>
          <w:docGrid w:linePitch="360"/>
        </w:sectPr>
      </w:pPr>
    </w:p>
    <w:p w:rsidR="00056918" w:rsidRDefault="00C813BA">
      <w:pPr>
        <w:spacing w:line="543" w:lineRule="exact"/>
      </w:pPr>
      <w:r>
        <w:rPr>
          <w:noProof/>
          <w:lang w:bidi="ar-SA"/>
        </w:rPr>
        <w:lastRenderedPageBreak/>
        <mc:AlternateContent>
          <mc:Choice Requires="wps">
            <w:drawing>
              <wp:anchor distT="0" distB="0" distL="63500" distR="63500" simplePos="0" relativeHeight="251657728" behindDoc="0" locked="0" layoutInCell="1" allowOverlap="1">
                <wp:simplePos x="0" y="0"/>
                <wp:positionH relativeFrom="margin">
                  <wp:posOffset>6507480</wp:posOffset>
                </wp:positionH>
                <wp:positionV relativeFrom="paragraph">
                  <wp:posOffset>0</wp:posOffset>
                </wp:positionV>
                <wp:extent cx="91440" cy="353695"/>
                <wp:effectExtent l="1905" t="0" r="1905" b="0"/>
                <wp:wrapNone/>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353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56918" w:rsidRDefault="00801869">
                            <w:pPr>
                              <w:pStyle w:val="Style2"/>
                              <w:shd w:val="clear" w:color="auto" w:fill="auto"/>
                            </w:pPr>
                            <w:r>
                              <w:t>CR38_vl2</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1" type="#_x0000_t202" style="position:absolute;margin-left:512.4pt;margin-top:0;width:7.2pt;height:27.85pt;z-index:25165772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" filled="f" stroked="f">
                <v:textbox style="layout-flow:vertical;mso-layout-flow-alt:bottom-to-top" inset="0,0,0,0">
                  <w:txbxContent>
                    <w:p w:rsidR="00056918" w:rsidRDefault="00801869">
                      <w:pPr>
                        <w:pStyle w:val="Style2"/>
                        <w:shd w:val="clear" w:color="auto" w:fill="auto"/>
                      </w:pPr>
                      <w:r>
                        <w:t>CR38_vl2</w:t>
                      </w:r>
                    </w:p>
                  </w:txbxContent>
                </v:textbox>
                <w10:wrap anchorx="margin"/>
              </v:shape>
            </w:pict>
          </mc:Fallback>
        </mc:AlternateContent>
      </w:r>
    </w:p>
    <w:p w:rsidR="00056918" w:rsidRDefault="00056918">
      <w:pPr>
        <w:rPr>
          <w:sz w:val="2"/>
          <w:szCs w:val="2"/>
        </w:rPr>
      </w:pPr>
    </w:p>
    <w:sectPr w:rsidR="00056918">
      <w:type w:val="continuous"/>
      <w:pgSz w:w="12010" w:h="16915"/>
      <w:pgMar w:top="1313" w:right="439" w:bottom="557" w:left="1173"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1869" w:rsidRDefault="00801869">
      <w:r>
        <w:separator/>
      </w:r>
    </w:p>
  </w:endnote>
  <w:endnote w:type="continuationSeparator" w:id="0">
    <w:p w:rsidR="00801869" w:rsidRDefault="008018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1869" w:rsidRDefault="00801869"/>
  </w:footnote>
  <w:footnote w:type="continuationSeparator" w:id="0">
    <w:p w:rsidR="00801869" w:rsidRDefault="00801869"/>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6E79B8"/>
    <w:multiLevelType w:val="multilevel"/>
    <w:tmpl w:val="95F8F72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cs-CZ" w:eastAsia="cs-CZ" w:bidi="cs-CZ"/>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18"/>
        <w:szCs w:val="18"/>
        <w:u w:val="none"/>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4D87875"/>
    <w:multiLevelType w:val="multilevel"/>
    <w:tmpl w:val="03401DA0"/>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cs-CZ" w:eastAsia="cs-CZ" w:bidi="cs-CZ"/>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18"/>
        <w:szCs w:val="18"/>
        <w:u w:val="none"/>
        <w:lang w:val="cs-CZ" w:eastAsia="cs-CZ" w:bidi="cs-CZ"/>
      </w:rPr>
    </w:lvl>
    <w:lvl w:ilvl="2">
      <w:start w:val="1"/>
      <w:numFmt w:val="decimal"/>
      <w:lvlText w:val="%1.%2.%3."/>
      <w:lvlJc w:val="left"/>
      <w:rPr>
        <w:rFonts w:ascii="Arial" w:eastAsia="Arial" w:hAnsi="Arial" w:cs="Arial"/>
        <w:b w:val="0"/>
        <w:bCs w:val="0"/>
        <w:i w:val="0"/>
        <w:iCs w:val="0"/>
        <w:smallCaps w:val="0"/>
        <w:strike w:val="0"/>
        <w:color w:val="000000"/>
        <w:spacing w:val="0"/>
        <w:w w:val="100"/>
        <w:position w:val="0"/>
        <w:sz w:val="18"/>
        <w:szCs w:val="18"/>
        <w:u w:val="none"/>
        <w:lang w:val="cs-CZ" w:eastAsia="cs-CZ" w:bidi="cs-CZ"/>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A490782"/>
    <w:multiLevelType w:val="multilevel"/>
    <w:tmpl w:val="7578D7CA"/>
    <w:lvl w:ilvl="0">
      <w:start w:val="1"/>
      <w:numFmt w:val="decimal"/>
      <w:lvlText w:val="1.%1."/>
      <w:lvlJc w:val="left"/>
      <w:rPr>
        <w:rFonts w:ascii="Arial" w:eastAsia="Arial" w:hAnsi="Arial" w:cs="Arial"/>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731A073F"/>
    <w:multiLevelType w:val="multilevel"/>
    <w:tmpl w:val="3FF8836C"/>
    <w:lvl w:ilvl="0">
      <w:start w:val="1"/>
      <w:numFmt w:val="decimal"/>
      <w:lvlText w:val="1.2.%1."/>
      <w:lvlJc w:val="left"/>
      <w:rPr>
        <w:rFonts w:ascii="Arial" w:eastAsia="Arial" w:hAnsi="Arial" w:cs="Arial"/>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79EA687C"/>
    <w:multiLevelType w:val="multilevel"/>
    <w:tmpl w:val="73306F22"/>
    <w:lvl w:ilvl="0">
      <w:start w:val="1"/>
      <w:numFmt w:val="decimal"/>
      <w:lvlText w:val="1.1.%1."/>
      <w:lvlJc w:val="left"/>
      <w:rPr>
        <w:rFonts w:ascii="Arial" w:eastAsia="Arial" w:hAnsi="Arial" w:cs="Arial"/>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B1F27A4"/>
    <w:multiLevelType w:val="multilevel"/>
    <w:tmpl w:val="113EBDAA"/>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5"/>
  </w:num>
  <w:num w:numId="3">
    <w:abstractNumId w:val="2"/>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6918"/>
    <w:rsid w:val="00056918"/>
    <w:rsid w:val="003E369E"/>
    <w:rsid w:val="00801869"/>
    <w:rsid w:val="00C813B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CharStyle3Exact">
    <w:name w:val="Char Style 3 Exact"/>
    <w:basedOn w:val="Standardnpsmoodstavce"/>
    <w:link w:val="Style2"/>
    <w:rPr>
      <w:rFonts w:ascii="Arial" w:eastAsia="Arial" w:hAnsi="Arial" w:cs="Arial"/>
      <w:b w:val="0"/>
      <w:bCs w:val="0"/>
      <w:i w:val="0"/>
      <w:iCs w:val="0"/>
      <w:smallCaps w:val="0"/>
      <w:strike w:val="0"/>
      <w:sz w:val="9"/>
      <w:szCs w:val="9"/>
      <w:u w:val="none"/>
    </w:rPr>
  </w:style>
  <w:style w:type="character" w:customStyle="1" w:styleId="CharStyle5Exact">
    <w:name w:val="Char Style 5 Exact"/>
    <w:basedOn w:val="Standardnpsmoodstavce"/>
    <w:link w:val="Style4"/>
    <w:rPr>
      <w:rFonts w:ascii="Arial" w:eastAsia="Arial" w:hAnsi="Arial" w:cs="Arial"/>
      <w:b w:val="0"/>
      <w:bCs w:val="0"/>
      <w:i w:val="0"/>
      <w:iCs w:val="0"/>
      <w:smallCaps w:val="0"/>
      <w:strike w:val="0"/>
      <w:sz w:val="12"/>
      <w:szCs w:val="12"/>
      <w:u w:val="none"/>
    </w:rPr>
  </w:style>
  <w:style w:type="character" w:customStyle="1" w:styleId="CharStyle7Exact">
    <w:name w:val="Char Style 7 Exact"/>
    <w:basedOn w:val="Standardnpsmoodstavce"/>
    <w:link w:val="Style6"/>
    <w:rPr>
      <w:rFonts w:ascii="Arial" w:eastAsia="Arial" w:hAnsi="Arial" w:cs="Arial"/>
      <w:b w:val="0"/>
      <w:bCs w:val="0"/>
      <w:i w:val="0"/>
      <w:iCs w:val="0"/>
      <w:smallCaps w:val="0"/>
      <w:strike w:val="0"/>
      <w:sz w:val="18"/>
      <w:szCs w:val="18"/>
      <w:u w:val="none"/>
    </w:rPr>
  </w:style>
  <w:style w:type="character" w:customStyle="1" w:styleId="CharStyle9Exact">
    <w:name w:val="Char Style 9 Exact"/>
    <w:basedOn w:val="Standardnpsmoodstavce"/>
    <w:link w:val="Style8"/>
    <w:rPr>
      <w:rFonts w:ascii="Arial" w:eastAsia="Arial" w:hAnsi="Arial" w:cs="Arial"/>
      <w:b w:val="0"/>
      <w:bCs w:val="0"/>
      <w:i w:val="0"/>
      <w:iCs w:val="0"/>
      <w:smallCaps w:val="0"/>
      <w:strike w:val="0"/>
      <w:sz w:val="11"/>
      <w:szCs w:val="11"/>
      <w:u w:val="none"/>
    </w:rPr>
  </w:style>
  <w:style w:type="character" w:customStyle="1" w:styleId="CharStyle11">
    <w:name w:val="Char Style 11"/>
    <w:basedOn w:val="Standardnpsmoodstavce"/>
    <w:link w:val="Style10"/>
    <w:rPr>
      <w:rFonts w:ascii="Arial" w:eastAsia="Arial" w:hAnsi="Arial" w:cs="Arial"/>
      <w:b/>
      <w:bCs/>
      <w:i w:val="0"/>
      <w:iCs w:val="0"/>
      <w:smallCaps w:val="0"/>
      <w:strike w:val="0"/>
      <w:sz w:val="22"/>
      <w:szCs w:val="22"/>
      <w:u w:val="none"/>
    </w:rPr>
  </w:style>
  <w:style w:type="character" w:customStyle="1" w:styleId="CharStyle13">
    <w:name w:val="Char Style 13"/>
    <w:basedOn w:val="Standardnpsmoodstavce"/>
    <w:link w:val="Style12"/>
    <w:rPr>
      <w:rFonts w:ascii="Arial" w:eastAsia="Arial" w:hAnsi="Arial" w:cs="Arial"/>
      <w:b w:val="0"/>
      <w:bCs w:val="0"/>
      <w:i w:val="0"/>
      <w:iCs w:val="0"/>
      <w:smallCaps w:val="0"/>
      <w:strike w:val="0"/>
      <w:sz w:val="18"/>
      <w:szCs w:val="18"/>
      <w:u w:val="none"/>
    </w:rPr>
  </w:style>
  <w:style w:type="character" w:customStyle="1" w:styleId="CharStyle15">
    <w:name w:val="Char Style 15"/>
    <w:basedOn w:val="Standardnpsmoodstavce"/>
    <w:link w:val="Style14"/>
    <w:rPr>
      <w:rFonts w:ascii="Arial" w:eastAsia="Arial" w:hAnsi="Arial" w:cs="Arial"/>
      <w:b/>
      <w:bCs/>
      <w:i w:val="0"/>
      <w:iCs w:val="0"/>
      <w:smallCaps w:val="0"/>
      <w:strike w:val="0"/>
      <w:sz w:val="18"/>
      <w:szCs w:val="18"/>
      <w:u w:val="none"/>
    </w:rPr>
  </w:style>
  <w:style w:type="character" w:customStyle="1" w:styleId="CharStyle16">
    <w:name w:val="Char Style 16"/>
    <w:basedOn w:val="CharStyle15"/>
    <w:rPr>
      <w:rFonts w:ascii="Arial" w:eastAsia="Arial" w:hAnsi="Arial" w:cs="Arial"/>
      <w:b/>
      <w:bCs/>
      <w:i w:val="0"/>
      <w:iCs w:val="0"/>
      <w:smallCaps w:val="0"/>
      <w:strike w:val="0"/>
      <w:color w:val="000000"/>
      <w:spacing w:val="0"/>
      <w:w w:val="100"/>
      <w:position w:val="0"/>
      <w:sz w:val="18"/>
      <w:szCs w:val="18"/>
      <w:u w:val="single"/>
      <w:lang w:val="cs-CZ" w:eastAsia="cs-CZ" w:bidi="cs-CZ"/>
    </w:rPr>
  </w:style>
  <w:style w:type="character" w:customStyle="1" w:styleId="CharStyle18">
    <w:name w:val="Char Style 18"/>
    <w:basedOn w:val="Standardnpsmoodstavce"/>
    <w:link w:val="Style17"/>
    <w:rPr>
      <w:rFonts w:ascii="Arial" w:eastAsia="Arial" w:hAnsi="Arial" w:cs="Arial"/>
      <w:b w:val="0"/>
      <w:bCs w:val="0"/>
      <w:i w:val="0"/>
      <w:iCs w:val="0"/>
      <w:smallCaps w:val="0"/>
      <w:strike w:val="0"/>
      <w:sz w:val="18"/>
      <w:szCs w:val="18"/>
      <w:u w:val="none"/>
    </w:rPr>
  </w:style>
  <w:style w:type="character" w:customStyle="1" w:styleId="CharStyle19">
    <w:name w:val="Char Style 19"/>
    <w:basedOn w:val="CharStyle13"/>
    <w:rPr>
      <w:rFonts w:ascii="Arial" w:eastAsia="Arial" w:hAnsi="Arial" w:cs="Arial"/>
      <w:b/>
      <w:bCs/>
      <w:i w:val="0"/>
      <w:iCs w:val="0"/>
      <w:smallCaps w:val="0"/>
      <w:strike w:val="0"/>
      <w:color w:val="000000"/>
      <w:spacing w:val="0"/>
      <w:w w:val="100"/>
      <w:position w:val="0"/>
      <w:sz w:val="19"/>
      <w:szCs w:val="19"/>
      <w:u w:val="none"/>
      <w:lang w:val="cs-CZ" w:eastAsia="cs-CZ" w:bidi="cs-CZ"/>
    </w:rPr>
  </w:style>
  <w:style w:type="character" w:customStyle="1" w:styleId="CharStyle20">
    <w:name w:val="Char Style 20"/>
    <w:basedOn w:val="CharStyle13"/>
    <w:rPr>
      <w:rFonts w:ascii="Arial" w:eastAsia="Arial" w:hAnsi="Arial" w:cs="Arial"/>
      <w:b w:val="0"/>
      <w:bCs w:val="0"/>
      <w:i w:val="0"/>
      <w:iCs w:val="0"/>
      <w:smallCaps w:val="0"/>
      <w:strike w:val="0"/>
      <w:color w:val="000000"/>
      <w:spacing w:val="0"/>
      <w:w w:val="100"/>
      <w:position w:val="0"/>
      <w:sz w:val="16"/>
      <w:szCs w:val="16"/>
      <w:u w:val="none"/>
      <w:lang w:val="cs-CZ" w:eastAsia="cs-CZ" w:bidi="cs-CZ"/>
    </w:rPr>
  </w:style>
  <w:style w:type="character" w:customStyle="1" w:styleId="CharStyle21">
    <w:name w:val="Char Style 21"/>
    <w:basedOn w:val="CharStyle13"/>
    <w:rPr>
      <w:rFonts w:ascii="Arial" w:eastAsia="Arial" w:hAnsi="Arial" w:cs="Arial"/>
      <w:b w:val="0"/>
      <w:bCs w:val="0"/>
      <w:i w:val="0"/>
      <w:iCs w:val="0"/>
      <w:smallCaps w:val="0"/>
      <w:strike w:val="0"/>
      <w:color w:val="000000"/>
      <w:spacing w:val="0"/>
      <w:w w:val="100"/>
      <w:position w:val="0"/>
      <w:sz w:val="12"/>
      <w:szCs w:val="12"/>
      <w:u w:val="none"/>
      <w:lang w:val="cs-CZ" w:eastAsia="cs-CZ" w:bidi="cs-CZ"/>
    </w:rPr>
  </w:style>
  <w:style w:type="character" w:customStyle="1" w:styleId="CharStyle23">
    <w:name w:val="Char Style 23"/>
    <w:basedOn w:val="Standardnpsmoodstavce"/>
    <w:link w:val="Style22"/>
    <w:rPr>
      <w:rFonts w:ascii="Arial" w:eastAsia="Arial" w:hAnsi="Arial" w:cs="Arial"/>
      <w:b/>
      <w:bCs/>
      <w:i w:val="0"/>
      <w:iCs w:val="0"/>
      <w:smallCaps w:val="0"/>
      <w:strike w:val="0"/>
      <w:sz w:val="20"/>
      <w:szCs w:val="20"/>
      <w:u w:val="none"/>
    </w:rPr>
  </w:style>
  <w:style w:type="character" w:customStyle="1" w:styleId="CharStyle24">
    <w:name w:val="Char Style 24"/>
    <w:basedOn w:val="CharStyle23"/>
    <w:rPr>
      <w:rFonts w:ascii="Arial" w:eastAsia="Arial" w:hAnsi="Arial" w:cs="Arial"/>
      <w:b/>
      <w:bCs/>
      <w:i w:val="0"/>
      <w:iCs w:val="0"/>
      <w:smallCaps w:val="0"/>
      <w:strike w:val="0"/>
      <w:color w:val="000000"/>
      <w:spacing w:val="0"/>
      <w:w w:val="100"/>
      <w:position w:val="0"/>
      <w:sz w:val="20"/>
      <w:szCs w:val="20"/>
      <w:u w:val="single"/>
      <w:lang w:val="cs-CZ" w:eastAsia="cs-CZ" w:bidi="cs-CZ"/>
    </w:rPr>
  </w:style>
  <w:style w:type="character" w:customStyle="1" w:styleId="CharStyle25">
    <w:name w:val="Char Style 25"/>
    <w:basedOn w:val="CharStyle13"/>
    <w:rPr>
      <w:rFonts w:ascii="Arial" w:eastAsia="Arial" w:hAnsi="Arial" w:cs="Arial"/>
      <w:b/>
      <w:bCs/>
      <w:i w:val="0"/>
      <w:iCs w:val="0"/>
      <w:smallCaps w:val="0"/>
      <w:strike w:val="0"/>
      <w:color w:val="000000"/>
      <w:spacing w:val="0"/>
      <w:w w:val="100"/>
      <w:position w:val="0"/>
      <w:sz w:val="18"/>
      <w:szCs w:val="18"/>
      <w:u w:val="none"/>
      <w:lang w:val="cs-CZ" w:eastAsia="cs-CZ" w:bidi="cs-CZ"/>
    </w:rPr>
  </w:style>
  <w:style w:type="character" w:customStyle="1" w:styleId="CharStyle27">
    <w:name w:val="Char Style 27"/>
    <w:basedOn w:val="Standardnpsmoodstavce"/>
    <w:link w:val="Style26"/>
    <w:rPr>
      <w:rFonts w:ascii="Arial" w:eastAsia="Arial" w:hAnsi="Arial" w:cs="Arial"/>
      <w:b/>
      <w:bCs/>
      <w:i w:val="0"/>
      <w:iCs w:val="0"/>
      <w:smallCaps w:val="0"/>
      <w:strike w:val="0"/>
      <w:sz w:val="20"/>
      <w:szCs w:val="20"/>
      <w:u w:val="none"/>
    </w:rPr>
  </w:style>
  <w:style w:type="character" w:customStyle="1" w:styleId="CharStyle28">
    <w:name w:val="Char Style 28"/>
    <w:basedOn w:val="CharStyle27"/>
    <w:rPr>
      <w:rFonts w:ascii="Arial" w:eastAsia="Arial" w:hAnsi="Arial" w:cs="Arial"/>
      <w:b/>
      <w:bCs/>
      <w:i w:val="0"/>
      <w:iCs w:val="0"/>
      <w:smallCaps w:val="0"/>
      <w:strike w:val="0"/>
      <w:color w:val="000000"/>
      <w:spacing w:val="0"/>
      <w:w w:val="100"/>
      <w:position w:val="0"/>
      <w:sz w:val="20"/>
      <w:szCs w:val="20"/>
      <w:u w:val="single"/>
      <w:lang w:val="cs-CZ" w:eastAsia="cs-CZ" w:bidi="cs-CZ"/>
    </w:rPr>
  </w:style>
  <w:style w:type="character" w:customStyle="1" w:styleId="CharStyle29">
    <w:name w:val="Char Style 29"/>
    <w:basedOn w:val="CharStyle13"/>
    <w:rPr>
      <w:rFonts w:ascii="Arial" w:eastAsia="Arial" w:hAnsi="Arial" w:cs="Arial"/>
      <w:b w:val="0"/>
      <w:bCs w:val="0"/>
      <w:i w:val="0"/>
      <w:iCs w:val="0"/>
      <w:smallCaps w:val="0"/>
      <w:strike w:val="0"/>
      <w:color w:val="000000"/>
      <w:spacing w:val="0"/>
      <w:w w:val="100"/>
      <w:position w:val="0"/>
      <w:sz w:val="18"/>
      <w:szCs w:val="18"/>
      <w:u w:val="single"/>
      <w:lang w:val="cs-CZ" w:eastAsia="cs-CZ" w:bidi="cs-CZ"/>
    </w:rPr>
  </w:style>
  <w:style w:type="character" w:customStyle="1" w:styleId="CharStyle31">
    <w:name w:val="Char Style 31"/>
    <w:basedOn w:val="Standardnpsmoodstavce"/>
    <w:link w:val="Style30"/>
    <w:rPr>
      <w:rFonts w:ascii="Arial" w:eastAsia="Arial" w:hAnsi="Arial" w:cs="Arial"/>
      <w:b w:val="0"/>
      <w:bCs w:val="0"/>
      <w:i w:val="0"/>
      <w:iCs w:val="0"/>
      <w:smallCaps w:val="0"/>
      <w:strike w:val="0"/>
      <w:sz w:val="12"/>
      <w:szCs w:val="12"/>
      <w:u w:val="none"/>
    </w:rPr>
  </w:style>
  <w:style w:type="character" w:customStyle="1" w:styleId="CharStyle33">
    <w:name w:val="Char Style 33"/>
    <w:basedOn w:val="Standardnpsmoodstavce"/>
    <w:link w:val="Style32"/>
    <w:rPr>
      <w:rFonts w:ascii="Arial" w:eastAsia="Arial" w:hAnsi="Arial" w:cs="Arial"/>
      <w:b/>
      <w:bCs/>
      <w:i w:val="0"/>
      <w:iCs w:val="0"/>
      <w:smallCaps w:val="0"/>
      <w:strike w:val="0"/>
      <w:sz w:val="16"/>
      <w:szCs w:val="16"/>
      <w:u w:val="none"/>
    </w:rPr>
  </w:style>
  <w:style w:type="character" w:customStyle="1" w:styleId="CharStyle34">
    <w:name w:val="Char Style 34"/>
    <w:basedOn w:val="CharStyle33"/>
    <w:rPr>
      <w:rFonts w:ascii="Arial" w:eastAsia="Arial" w:hAnsi="Arial" w:cs="Arial"/>
      <w:b/>
      <w:bCs/>
      <w:i w:val="0"/>
      <w:iCs w:val="0"/>
      <w:smallCaps w:val="0"/>
      <w:strike w:val="0"/>
      <w:color w:val="658292"/>
      <w:spacing w:val="0"/>
      <w:w w:val="100"/>
      <w:position w:val="0"/>
      <w:sz w:val="16"/>
      <w:szCs w:val="16"/>
      <w:u w:val="none"/>
      <w:lang w:val="cs-CZ" w:eastAsia="cs-CZ" w:bidi="cs-CZ"/>
    </w:rPr>
  </w:style>
  <w:style w:type="character" w:customStyle="1" w:styleId="CharStyle36">
    <w:name w:val="Char Style 36"/>
    <w:basedOn w:val="Standardnpsmoodstavce"/>
    <w:link w:val="Style35"/>
    <w:rPr>
      <w:rFonts w:ascii="Arial" w:eastAsia="Arial" w:hAnsi="Arial" w:cs="Arial"/>
      <w:b w:val="0"/>
      <w:bCs w:val="0"/>
      <w:i w:val="0"/>
      <w:iCs w:val="0"/>
      <w:smallCaps w:val="0"/>
      <w:strike w:val="0"/>
      <w:sz w:val="15"/>
      <w:szCs w:val="15"/>
      <w:u w:val="none"/>
    </w:rPr>
  </w:style>
  <w:style w:type="character" w:customStyle="1" w:styleId="CharStyle37">
    <w:name w:val="Char Style 37"/>
    <w:basedOn w:val="CharStyle36"/>
    <w:rPr>
      <w:rFonts w:ascii="Arial" w:eastAsia="Arial" w:hAnsi="Arial" w:cs="Arial"/>
      <w:b w:val="0"/>
      <w:bCs w:val="0"/>
      <w:i w:val="0"/>
      <w:iCs w:val="0"/>
      <w:smallCaps w:val="0"/>
      <w:strike w:val="0"/>
      <w:color w:val="658292"/>
      <w:spacing w:val="0"/>
      <w:w w:val="100"/>
      <w:position w:val="0"/>
      <w:sz w:val="15"/>
      <w:szCs w:val="15"/>
      <w:u w:val="none"/>
      <w:lang w:val="cs-CZ" w:eastAsia="cs-CZ" w:bidi="cs-CZ"/>
    </w:rPr>
  </w:style>
  <w:style w:type="character" w:customStyle="1" w:styleId="CharStyle38">
    <w:name w:val="Char Style 38"/>
    <w:basedOn w:val="CharStyle36"/>
    <w:rPr>
      <w:rFonts w:ascii="Arial" w:eastAsia="Arial" w:hAnsi="Arial" w:cs="Arial"/>
      <w:b/>
      <w:bCs/>
      <w:i w:val="0"/>
      <w:iCs w:val="0"/>
      <w:smallCaps w:val="0"/>
      <w:strike w:val="0"/>
      <w:color w:val="658292"/>
      <w:spacing w:val="0"/>
      <w:w w:val="100"/>
      <w:position w:val="0"/>
      <w:sz w:val="17"/>
      <w:szCs w:val="17"/>
      <w:u w:val="none"/>
      <w:lang w:val="cs-CZ" w:eastAsia="cs-CZ" w:bidi="cs-CZ"/>
    </w:rPr>
  </w:style>
  <w:style w:type="character" w:customStyle="1" w:styleId="CharStyle39">
    <w:name w:val="Char Style 39"/>
    <w:basedOn w:val="CharStyle36"/>
    <w:rPr>
      <w:rFonts w:ascii="Arial" w:eastAsia="Arial" w:hAnsi="Arial" w:cs="Arial"/>
      <w:b w:val="0"/>
      <w:bCs w:val="0"/>
      <w:i w:val="0"/>
      <w:iCs w:val="0"/>
      <w:smallCaps w:val="0"/>
      <w:strike w:val="0"/>
      <w:color w:val="658292"/>
      <w:spacing w:val="0"/>
      <w:w w:val="100"/>
      <w:position w:val="0"/>
      <w:sz w:val="17"/>
      <w:szCs w:val="17"/>
      <w:u w:val="none"/>
      <w:lang w:val="cs-CZ" w:eastAsia="cs-CZ" w:bidi="cs-CZ"/>
    </w:rPr>
  </w:style>
  <w:style w:type="character" w:customStyle="1" w:styleId="CharStyle40">
    <w:name w:val="Char Style 40"/>
    <w:basedOn w:val="CharStyle36"/>
    <w:rPr>
      <w:rFonts w:ascii="Arial" w:eastAsia="Arial" w:hAnsi="Arial" w:cs="Arial"/>
      <w:b/>
      <w:bCs/>
      <w:i w:val="0"/>
      <w:iCs w:val="0"/>
      <w:smallCaps w:val="0"/>
      <w:strike w:val="0"/>
      <w:color w:val="658292"/>
      <w:spacing w:val="0"/>
      <w:w w:val="100"/>
      <w:position w:val="0"/>
      <w:sz w:val="20"/>
      <w:szCs w:val="20"/>
      <w:u w:val="none"/>
      <w:lang w:val="cs-CZ" w:eastAsia="cs-CZ" w:bidi="cs-CZ"/>
    </w:rPr>
  </w:style>
  <w:style w:type="character" w:customStyle="1" w:styleId="CharStyle41">
    <w:name w:val="Char Style 41"/>
    <w:basedOn w:val="CharStyle36"/>
    <w:rPr>
      <w:rFonts w:ascii="Arial" w:eastAsia="Arial" w:hAnsi="Arial" w:cs="Arial"/>
      <w:b w:val="0"/>
      <w:bCs w:val="0"/>
      <w:i w:val="0"/>
      <w:iCs w:val="0"/>
      <w:smallCaps w:val="0"/>
      <w:strike w:val="0"/>
      <w:color w:val="658292"/>
      <w:spacing w:val="20"/>
      <w:w w:val="100"/>
      <w:position w:val="0"/>
      <w:sz w:val="17"/>
      <w:szCs w:val="17"/>
      <w:u w:val="none"/>
      <w:lang w:val="cs-CZ" w:eastAsia="cs-CZ" w:bidi="cs-CZ"/>
    </w:rPr>
  </w:style>
  <w:style w:type="paragraph" w:customStyle="1" w:styleId="Style2">
    <w:name w:val="Style 2"/>
    <w:basedOn w:val="Normln"/>
    <w:link w:val="CharStyle3Exact"/>
    <w:pPr>
      <w:shd w:val="clear" w:color="auto" w:fill="FFFFFF"/>
      <w:spacing w:line="100" w:lineRule="exact"/>
    </w:pPr>
    <w:rPr>
      <w:rFonts w:ascii="Arial" w:eastAsia="Arial" w:hAnsi="Arial" w:cs="Arial"/>
      <w:sz w:val="9"/>
      <w:szCs w:val="9"/>
    </w:rPr>
  </w:style>
  <w:style w:type="paragraph" w:customStyle="1" w:styleId="Style4">
    <w:name w:val="Style 4"/>
    <w:basedOn w:val="Normln"/>
    <w:link w:val="CharStyle5Exact"/>
    <w:pPr>
      <w:shd w:val="clear" w:color="auto" w:fill="FFFFFF"/>
      <w:spacing w:line="134" w:lineRule="exact"/>
    </w:pPr>
    <w:rPr>
      <w:rFonts w:ascii="Arial" w:eastAsia="Arial" w:hAnsi="Arial" w:cs="Arial"/>
      <w:sz w:val="12"/>
      <w:szCs w:val="12"/>
    </w:rPr>
  </w:style>
  <w:style w:type="paragraph" w:customStyle="1" w:styleId="Style6">
    <w:name w:val="Style 6"/>
    <w:basedOn w:val="Normln"/>
    <w:link w:val="CharStyle7Exact"/>
    <w:pPr>
      <w:shd w:val="clear" w:color="auto" w:fill="FFFFFF"/>
      <w:spacing w:line="200" w:lineRule="exact"/>
    </w:pPr>
    <w:rPr>
      <w:rFonts w:ascii="Arial" w:eastAsia="Arial" w:hAnsi="Arial" w:cs="Arial"/>
      <w:sz w:val="18"/>
      <w:szCs w:val="18"/>
    </w:rPr>
  </w:style>
  <w:style w:type="paragraph" w:customStyle="1" w:styleId="Style8">
    <w:name w:val="Style 8"/>
    <w:basedOn w:val="Normln"/>
    <w:link w:val="CharStyle9Exact"/>
    <w:pPr>
      <w:shd w:val="clear" w:color="auto" w:fill="FFFFFF"/>
      <w:spacing w:line="122" w:lineRule="exact"/>
    </w:pPr>
    <w:rPr>
      <w:rFonts w:ascii="Arial" w:eastAsia="Arial" w:hAnsi="Arial" w:cs="Arial"/>
      <w:sz w:val="11"/>
      <w:szCs w:val="11"/>
    </w:rPr>
  </w:style>
  <w:style w:type="paragraph" w:customStyle="1" w:styleId="Style10">
    <w:name w:val="Style 10"/>
    <w:basedOn w:val="Normln"/>
    <w:link w:val="CharStyle11"/>
    <w:pPr>
      <w:shd w:val="clear" w:color="auto" w:fill="FFFFFF"/>
      <w:spacing w:line="246" w:lineRule="exact"/>
      <w:jc w:val="center"/>
      <w:outlineLvl w:val="0"/>
    </w:pPr>
    <w:rPr>
      <w:rFonts w:ascii="Arial" w:eastAsia="Arial" w:hAnsi="Arial" w:cs="Arial"/>
      <w:b/>
      <w:bCs/>
      <w:sz w:val="22"/>
      <w:szCs w:val="22"/>
    </w:rPr>
  </w:style>
  <w:style w:type="paragraph" w:customStyle="1" w:styleId="Style12">
    <w:name w:val="Style 12"/>
    <w:basedOn w:val="Normln"/>
    <w:link w:val="CharStyle13"/>
    <w:pPr>
      <w:shd w:val="clear" w:color="auto" w:fill="FFFFFF"/>
      <w:spacing w:before="240" w:line="200" w:lineRule="exact"/>
      <w:ind w:hanging="660"/>
      <w:jc w:val="both"/>
    </w:pPr>
    <w:rPr>
      <w:rFonts w:ascii="Arial" w:eastAsia="Arial" w:hAnsi="Arial" w:cs="Arial"/>
      <w:sz w:val="18"/>
      <w:szCs w:val="18"/>
    </w:rPr>
  </w:style>
  <w:style w:type="paragraph" w:customStyle="1" w:styleId="Style14">
    <w:name w:val="Style 14"/>
    <w:basedOn w:val="Normln"/>
    <w:link w:val="CharStyle15"/>
    <w:pPr>
      <w:shd w:val="clear" w:color="auto" w:fill="FFFFFF"/>
      <w:spacing w:after="240" w:line="200" w:lineRule="exact"/>
      <w:ind w:hanging="420"/>
      <w:jc w:val="both"/>
    </w:pPr>
    <w:rPr>
      <w:rFonts w:ascii="Arial" w:eastAsia="Arial" w:hAnsi="Arial" w:cs="Arial"/>
      <w:b/>
      <w:bCs/>
      <w:sz w:val="18"/>
      <w:szCs w:val="18"/>
    </w:rPr>
  </w:style>
  <w:style w:type="paragraph" w:customStyle="1" w:styleId="Style17">
    <w:name w:val="Style 17"/>
    <w:basedOn w:val="Normln"/>
    <w:link w:val="CharStyle18"/>
    <w:pPr>
      <w:shd w:val="clear" w:color="auto" w:fill="FFFFFF"/>
      <w:spacing w:line="200" w:lineRule="exact"/>
    </w:pPr>
    <w:rPr>
      <w:rFonts w:ascii="Arial" w:eastAsia="Arial" w:hAnsi="Arial" w:cs="Arial"/>
      <w:sz w:val="18"/>
      <w:szCs w:val="18"/>
    </w:rPr>
  </w:style>
  <w:style w:type="paragraph" w:customStyle="1" w:styleId="Style22">
    <w:name w:val="Style 22"/>
    <w:basedOn w:val="Normln"/>
    <w:link w:val="CharStyle23"/>
    <w:pPr>
      <w:shd w:val="clear" w:color="auto" w:fill="FFFFFF"/>
      <w:spacing w:before="140" w:line="224" w:lineRule="exact"/>
      <w:jc w:val="center"/>
      <w:outlineLvl w:val="1"/>
    </w:pPr>
    <w:rPr>
      <w:rFonts w:ascii="Arial" w:eastAsia="Arial" w:hAnsi="Arial" w:cs="Arial"/>
      <w:b/>
      <w:bCs/>
      <w:sz w:val="20"/>
      <w:szCs w:val="20"/>
    </w:rPr>
  </w:style>
  <w:style w:type="paragraph" w:customStyle="1" w:styleId="Style26">
    <w:name w:val="Style 26"/>
    <w:basedOn w:val="Normln"/>
    <w:link w:val="CharStyle27"/>
    <w:pPr>
      <w:shd w:val="clear" w:color="auto" w:fill="FFFFFF"/>
      <w:spacing w:before="240" w:line="224" w:lineRule="exact"/>
      <w:jc w:val="center"/>
    </w:pPr>
    <w:rPr>
      <w:rFonts w:ascii="Arial" w:eastAsia="Arial" w:hAnsi="Arial" w:cs="Arial"/>
      <w:b/>
      <w:bCs/>
      <w:sz w:val="20"/>
      <w:szCs w:val="20"/>
    </w:rPr>
  </w:style>
  <w:style w:type="paragraph" w:customStyle="1" w:styleId="Style30">
    <w:name w:val="Style 30"/>
    <w:basedOn w:val="Normln"/>
    <w:link w:val="CharStyle31"/>
    <w:pPr>
      <w:shd w:val="clear" w:color="auto" w:fill="FFFFFF"/>
      <w:spacing w:after="120" w:line="134" w:lineRule="exact"/>
    </w:pPr>
    <w:rPr>
      <w:rFonts w:ascii="Arial" w:eastAsia="Arial" w:hAnsi="Arial" w:cs="Arial"/>
      <w:sz w:val="12"/>
      <w:szCs w:val="12"/>
    </w:rPr>
  </w:style>
  <w:style w:type="paragraph" w:customStyle="1" w:styleId="Style32">
    <w:name w:val="Style 32"/>
    <w:basedOn w:val="Normln"/>
    <w:link w:val="CharStyle33"/>
    <w:pPr>
      <w:shd w:val="clear" w:color="auto" w:fill="FFFFFF"/>
      <w:spacing w:before="120" w:line="202" w:lineRule="exact"/>
      <w:jc w:val="center"/>
    </w:pPr>
    <w:rPr>
      <w:rFonts w:ascii="Arial" w:eastAsia="Arial" w:hAnsi="Arial" w:cs="Arial"/>
      <w:b/>
      <w:bCs/>
      <w:sz w:val="16"/>
      <w:szCs w:val="16"/>
    </w:rPr>
  </w:style>
  <w:style w:type="paragraph" w:customStyle="1" w:styleId="Style35">
    <w:name w:val="Style 35"/>
    <w:basedOn w:val="Normln"/>
    <w:link w:val="CharStyle36"/>
    <w:pPr>
      <w:shd w:val="clear" w:color="auto" w:fill="FFFFFF"/>
      <w:spacing w:line="202" w:lineRule="exact"/>
      <w:jc w:val="center"/>
    </w:pPr>
    <w:rPr>
      <w:rFonts w:ascii="Arial" w:eastAsia="Arial" w:hAnsi="Arial" w:cs="Arial"/>
      <w:sz w:val="15"/>
      <w:szCs w:val="1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CharStyle3Exact">
    <w:name w:val="Char Style 3 Exact"/>
    <w:basedOn w:val="Standardnpsmoodstavce"/>
    <w:link w:val="Style2"/>
    <w:rPr>
      <w:rFonts w:ascii="Arial" w:eastAsia="Arial" w:hAnsi="Arial" w:cs="Arial"/>
      <w:b w:val="0"/>
      <w:bCs w:val="0"/>
      <w:i w:val="0"/>
      <w:iCs w:val="0"/>
      <w:smallCaps w:val="0"/>
      <w:strike w:val="0"/>
      <w:sz w:val="9"/>
      <w:szCs w:val="9"/>
      <w:u w:val="none"/>
    </w:rPr>
  </w:style>
  <w:style w:type="character" w:customStyle="1" w:styleId="CharStyle5Exact">
    <w:name w:val="Char Style 5 Exact"/>
    <w:basedOn w:val="Standardnpsmoodstavce"/>
    <w:link w:val="Style4"/>
    <w:rPr>
      <w:rFonts w:ascii="Arial" w:eastAsia="Arial" w:hAnsi="Arial" w:cs="Arial"/>
      <w:b w:val="0"/>
      <w:bCs w:val="0"/>
      <w:i w:val="0"/>
      <w:iCs w:val="0"/>
      <w:smallCaps w:val="0"/>
      <w:strike w:val="0"/>
      <w:sz w:val="12"/>
      <w:szCs w:val="12"/>
      <w:u w:val="none"/>
    </w:rPr>
  </w:style>
  <w:style w:type="character" w:customStyle="1" w:styleId="CharStyle7Exact">
    <w:name w:val="Char Style 7 Exact"/>
    <w:basedOn w:val="Standardnpsmoodstavce"/>
    <w:link w:val="Style6"/>
    <w:rPr>
      <w:rFonts w:ascii="Arial" w:eastAsia="Arial" w:hAnsi="Arial" w:cs="Arial"/>
      <w:b w:val="0"/>
      <w:bCs w:val="0"/>
      <w:i w:val="0"/>
      <w:iCs w:val="0"/>
      <w:smallCaps w:val="0"/>
      <w:strike w:val="0"/>
      <w:sz w:val="18"/>
      <w:szCs w:val="18"/>
      <w:u w:val="none"/>
    </w:rPr>
  </w:style>
  <w:style w:type="character" w:customStyle="1" w:styleId="CharStyle9Exact">
    <w:name w:val="Char Style 9 Exact"/>
    <w:basedOn w:val="Standardnpsmoodstavce"/>
    <w:link w:val="Style8"/>
    <w:rPr>
      <w:rFonts w:ascii="Arial" w:eastAsia="Arial" w:hAnsi="Arial" w:cs="Arial"/>
      <w:b w:val="0"/>
      <w:bCs w:val="0"/>
      <w:i w:val="0"/>
      <w:iCs w:val="0"/>
      <w:smallCaps w:val="0"/>
      <w:strike w:val="0"/>
      <w:sz w:val="11"/>
      <w:szCs w:val="11"/>
      <w:u w:val="none"/>
    </w:rPr>
  </w:style>
  <w:style w:type="character" w:customStyle="1" w:styleId="CharStyle11">
    <w:name w:val="Char Style 11"/>
    <w:basedOn w:val="Standardnpsmoodstavce"/>
    <w:link w:val="Style10"/>
    <w:rPr>
      <w:rFonts w:ascii="Arial" w:eastAsia="Arial" w:hAnsi="Arial" w:cs="Arial"/>
      <w:b/>
      <w:bCs/>
      <w:i w:val="0"/>
      <w:iCs w:val="0"/>
      <w:smallCaps w:val="0"/>
      <w:strike w:val="0"/>
      <w:sz w:val="22"/>
      <w:szCs w:val="22"/>
      <w:u w:val="none"/>
    </w:rPr>
  </w:style>
  <w:style w:type="character" w:customStyle="1" w:styleId="CharStyle13">
    <w:name w:val="Char Style 13"/>
    <w:basedOn w:val="Standardnpsmoodstavce"/>
    <w:link w:val="Style12"/>
    <w:rPr>
      <w:rFonts w:ascii="Arial" w:eastAsia="Arial" w:hAnsi="Arial" w:cs="Arial"/>
      <w:b w:val="0"/>
      <w:bCs w:val="0"/>
      <w:i w:val="0"/>
      <w:iCs w:val="0"/>
      <w:smallCaps w:val="0"/>
      <w:strike w:val="0"/>
      <w:sz w:val="18"/>
      <w:szCs w:val="18"/>
      <w:u w:val="none"/>
    </w:rPr>
  </w:style>
  <w:style w:type="character" w:customStyle="1" w:styleId="CharStyle15">
    <w:name w:val="Char Style 15"/>
    <w:basedOn w:val="Standardnpsmoodstavce"/>
    <w:link w:val="Style14"/>
    <w:rPr>
      <w:rFonts w:ascii="Arial" w:eastAsia="Arial" w:hAnsi="Arial" w:cs="Arial"/>
      <w:b/>
      <w:bCs/>
      <w:i w:val="0"/>
      <w:iCs w:val="0"/>
      <w:smallCaps w:val="0"/>
      <w:strike w:val="0"/>
      <w:sz w:val="18"/>
      <w:szCs w:val="18"/>
      <w:u w:val="none"/>
    </w:rPr>
  </w:style>
  <w:style w:type="character" w:customStyle="1" w:styleId="CharStyle16">
    <w:name w:val="Char Style 16"/>
    <w:basedOn w:val="CharStyle15"/>
    <w:rPr>
      <w:rFonts w:ascii="Arial" w:eastAsia="Arial" w:hAnsi="Arial" w:cs="Arial"/>
      <w:b/>
      <w:bCs/>
      <w:i w:val="0"/>
      <w:iCs w:val="0"/>
      <w:smallCaps w:val="0"/>
      <w:strike w:val="0"/>
      <w:color w:val="000000"/>
      <w:spacing w:val="0"/>
      <w:w w:val="100"/>
      <w:position w:val="0"/>
      <w:sz w:val="18"/>
      <w:szCs w:val="18"/>
      <w:u w:val="single"/>
      <w:lang w:val="cs-CZ" w:eastAsia="cs-CZ" w:bidi="cs-CZ"/>
    </w:rPr>
  </w:style>
  <w:style w:type="character" w:customStyle="1" w:styleId="CharStyle18">
    <w:name w:val="Char Style 18"/>
    <w:basedOn w:val="Standardnpsmoodstavce"/>
    <w:link w:val="Style17"/>
    <w:rPr>
      <w:rFonts w:ascii="Arial" w:eastAsia="Arial" w:hAnsi="Arial" w:cs="Arial"/>
      <w:b w:val="0"/>
      <w:bCs w:val="0"/>
      <w:i w:val="0"/>
      <w:iCs w:val="0"/>
      <w:smallCaps w:val="0"/>
      <w:strike w:val="0"/>
      <w:sz w:val="18"/>
      <w:szCs w:val="18"/>
      <w:u w:val="none"/>
    </w:rPr>
  </w:style>
  <w:style w:type="character" w:customStyle="1" w:styleId="CharStyle19">
    <w:name w:val="Char Style 19"/>
    <w:basedOn w:val="CharStyle13"/>
    <w:rPr>
      <w:rFonts w:ascii="Arial" w:eastAsia="Arial" w:hAnsi="Arial" w:cs="Arial"/>
      <w:b/>
      <w:bCs/>
      <w:i w:val="0"/>
      <w:iCs w:val="0"/>
      <w:smallCaps w:val="0"/>
      <w:strike w:val="0"/>
      <w:color w:val="000000"/>
      <w:spacing w:val="0"/>
      <w:w w:val="100"/>
      <w:position w:val="0"/>
      <w:sz w:val="19"/>
      <w:szCs w:val="19"/>
      <w:u w:val="none"/>
      <w:lang w:val="cs-CZ" w:eastAsia="cs-CZ" w:bidi="cs-CZ"/>
    </w:rPr>
  </w:style>
  <w:style w:type="character" w:customStyle="1" w:styleId="CharStyle20">
    <w:name w:val="Char Style 20"/>
    <w:basedOn w:val="CharStyle13"/>
    <w:rPr>
      <w:rFonts w:ascii="Arial" w:eastAsia="Arial" w:hAnsi="Arial" w:cs="Arial"/>
      <w:b w:val="0"/>
      <w:bCs w:val="0"/>
      <w:i w:val="0"/>
      <w:iCs w:val="0"/>
      <w:smallCaps w:val="0"/>
      <w:strike w:val="0"/>
      <w:color w:val="000000"/>
      <w:spacing w:val="0"/>
      <w:w w:val="100"/>
      <w:position w:val="0"/>
      <w:sz w:val="16"/>
      <w:szCs w:val="16"/>
      <w:u w:val="none"/>
      <w:lang w:val="cs-CZ" w:eastAsia="cs-CZ" w:bidi="cs-CZ"/>
    </w:rPr>
  </w:style>
  <w:style w:type="character" w:customStyle="1" w:styleId="CharStyle21">
    <w:name w:val="Char Style 21"/>
    <w:basedOn w:val="CharStyle13"/>
    <w:rPr>
      <w:rFonts w:ascii="Arial" w:eastAsia="Arial" w:hAnsi="Arial" w:cs="Arial"/>
      <w:b w:val="0"/>
      <w:bCs w:val="0"/>
      <w:i w:val="0"/>
      <w:iCs w:val="0"/>
      <w:smallCaps w:val="0"/>
      <w:strike w:val="0"/>
      <w:color w:val="000000"/>
      <w:spacing w:val="0"/>
      <w:w w:val="100"/>
      <w:position w:val="0"/>
      <w:sz w:val="12"/>
      <w:szCs w:val="12"/>
      <w:u w:val="none"/>
      <w:lang w:val="cs-CZ" w:eastAsia="cs-CZ" w:bidi="cs-CZ"/>
    </w:rPr>
  </w:style>
  <w:style w:type="character" w:customStyle="1" w:styleId="CharStyle23">
    <w:name w:val="Char Style 23"/>
    <w:basedOn w:val="Standardnpsmoodstavce"/>
    <w:link w:val="Style22"/>
    <w:rPr>
      <w:rFonts w:ascii="Arial" w:eastAsia="Arial" w:hAnsi="Arial" w:cs="Arial"/>
      <w:b/>
      <w:bCs/>
      <w:i w:val="0"/>
      <w:iCs w:val="0"/>
      <w:smallCaps w:val="0"/>
      <w:strike w:val="0"/>
      <w:sz w:val="20"/>
      <w:szCs w:val="20"/>
      <w:u w:val="none"/>
    </w:rPr>
  </w:style>
  <w:style w:type="character" w:customStyle="1" w:styleId="CharStyle24">
    <w:name w:val="Char Style 24"/>
    <w:basedOn w:val="CharStyle23"/>
    <w:rPr>
      <w:rFonts w:ascii="Arial" w:eastAsia="Arial" w:hAnsi="Arial" w:cs="Arial"/>
      <w:b/>
      <w:bCs/>
      <w:i w:val="0"/>
      <w:iCs w:val="0"/>
      <w:smallCaps w:val="0"/>
      <w:strike w:val="0"/>
      <w:color w:val="000000"/>
      <w:spacing w:val="0"/>
      <w:w w:val="100"/>
      <w:position w:val="0"/>
      <w:sz w:val="20"/>
      <w:szCs w:val="20"/>
      <w:u w:val="single"/>
      <w:lang w:val="cs-CZ" w:eastAsia="cs-CZ" w:bidi="cs-CZ"/>
    </w:rPr>
  </w:style>
  <w:style w:type="character" w:customStyle="1" w:styleId="CharStyle25">
    <w:name w:val="Char Style 25"/>
    <w:basedOn w:val="CharStyle13"/>
    <w:rPr>
      <w:rFonts w:ascii="Arial" w:eastAsia="Arial" w:hAnsi="Arial" w:cs="Arial"/>
      <w:b/>
      <w:bCs/>
      <w:i w:val="0"/>
      <w:iCs w:val="0"/>
      <w:smallCaps w:val="0"/>
      <w:strike w:val="0"/>
      <w:color w:val="000000"/>
      <w:spacing w:val="0"/>
      <w:w w:val="100"/>
      <w:position w:val="0"/>
      <w:sz w:val="18"/>
      <w:szCs w:val="18"/>
      <w:u w:val="none"/>
      <w:lang w:val="cs-CZ" w:eastAsia="cs-CZ" w:bidi="cs-CZ"/>
    </w:rPr>
  </w:style>
  <w:style w:type="character" w:customStyle="1" w:styleId="CharStyle27">
    <w:name w:val="Char Style 27"/>
    <w:basedOn w:val="Standardnpsmoodstavce"/>
    <w:link w:val="Style26"/>
    <w:rPr>
      <w:rFonts w:ascii="Arial" w:eastAsia="Arial" w:hAnsi="Arial" w:cs="Arial"/>
      <w:b/>
      <w:bCs/>
      <w:i w:val="0"/>
      <w:iCs w:val="0"/>
      <w:smallCaps w:val="0"/>
      <w:strike w:val="0"/>
      <w:sz w:val="20"/>
      <w:szCs w:val="20"/>
      <w:u w:val="none"/>
    </w:rPr>
  </w:style>
  <w:style w:type="character" w:customStyle="1" w:styleId="CharStyle28">
    <w:name w:val="Char Style 28"/>
    <w:basedOn w:val="CharStyle27"/>
    <w:rPr>
      <w:rFonts w:ascii="Arial" w:eastAsia="Arial" w:hAnsi="Arial" w:cs="Arial"/>
      <w:b/>
      <w:bCs/>
      <w:i w:val="0"/>
      <w:iCs w:val="0"/>
      <w:smallCaps w:val="0"/>
      <w:strike w:val="0"/>
      <w:color w:val="000000"/>
      <w:spacing w:val="0"/>
      <w:w w:val="100"/>
      <w:position w:val="0"/>
      <w:sz w:val="20"/>
      <w:szCs w:val="20"/>
      <w:u w:val="single"/>
      <w:lang w:val="cs-CZ" w:eastAsia="cs-CZ" w:bidi="cs-CZ"/>
    </w:rPr>
  </w:style>
  <w:style w:type="character" w:customStyle="1" w:styleId="CharStyle29">
    <w:name w:val="Char Style 29"/>
    <w:basedOn w:val="CharStyle13"/>
    <w:rPr>
      <w:rFonts w:ascii="Arial" w:eastAsia="Arial" w:hAnsi="Arial" w:cs="Arial"/>
      <w:b w:val="0"/>
      <w:bCs w:val="0"/>
      <w:i w:val="0"/>
      <w:iCs w:val="0"/>
      <w:smallCaps w:val="0"/>
      <w:strike w:val="0"/>
      <w:color w:val="000000"/>
      <w:spacing w:val="0"/>
      <w:w w:val="100"/>
      <w:position w:val="0"/>
      <w:sz w:val="18"/>
      <w:szCs w:val="18"/>
      <w:u w:val="single"/>
      <w:lang w:val="cs-CZ" w:eastAsia="cs-CZ" w:bidi="cs-CZ"/>
    </w:rPr>
  </w:style>
  <w:style w:type="character" w:customStyle="1" w:styleId="CharStyle31">
    <w:name w:val="Char Style 31"/>
    <w:basedOn w:val="Standardnpsmoodstavce"/>
    <w:link w:val="Style30"/>
    <w:rPr>
      <w:rFonts w:ascii="Arial" w:eastAsia="Arial" w:hAnsi="Arial" w:cs="Arial"/>
      <w:b w:val="0"/>
      <w:bCs w:val="0"/>
      <w:i w:val="0"/>
      <w:iCs w:val="0"/>
      <w:smallCaps w:val="0"/>
      <w:strike w:val="0"/>
      <w:sz w:val="12"/>
      <w:szCs w:val="12"/>
      <w:u w:val="none"/>
    </w:rPr>
  </w:style>
  <w:style w:type="character" w:customStyle="1" w:styleId="CharStyle33">
    <w:name w:val="Char Style 33"/>
    <w:basedOn w:val="Standardnpsmoodstavce"/>
    <w:link w:val="Style32"/>
    <w:rPr>
      <w:rFonts w:ascii="Arial" w:eastAsia="Arial" w:hAnsi="Arial" w:cs="Arial"/>
      <w:b/>
      <w:bCs/>
      <w:i w:val="0"/>
      <w:iCs w:val="0"/>
      <w:smallCaps w:val="0"/>
      <w:strike w:val="0"/>
      <w:sz w:val="16"/>
      <w:szCs w:val="16"/>
      <w:u w:val="none"/>
    </w:rPr>
  </w:style>
  <w:style w:type="character" w:customStyle="1" w:styleId="CharStyle34">
    <w:name w:val="Char Style 34"/>
    <w:basedOn w:val="CharStyle33"/>
    <w:rPr>
      <w:rFonts w:ascii="Arial" w:eastAsia="Arial" w:hAnsi="Arial" w:cs="Arial"/>
      <w:b/>
      <w:bCs/>
      <w:i w:val="0"/>
      <w:iCs w:val="0"/>
      <w:smallCaps w:val="0"/>
      <w:strike w:val="0"/>
      <w:color w:val="658292"/>
      <w:spacing w:val="0"/>
      <w:w w:val="100"/>
      <w:position w:val="0"/>
      <w:sz w:val="16"/>
      <w:szCs w:val="16"/>
      <w:u w:val="none"/>
      <w:lang w:val="cs-CZ" w:eastAsia="cs-CZ" w:bidi="cs-CZ"/>
    </w:rPr>
  </w:style>
  <w:style w:type="character" w:customStyle="1" w:styleId="CharStyle36">
    <w:name w:val="Char Style 36"/>
    <w:basedOn w:val="Standardnpsmoodstavce"/>
    <w:link w:val="Style35"/>
    <w:rPr>
      <w:rFonts w:ascii="Arial" w:eastAsia="Arial" w:hAnsi="Arial" w:cs="Arial"/>
      <w:b w:val="0"/>
      <w:bCs w:val="0"/>
      <w:i w:val="0"/>
      <w:iCs w:val="0"/>
      <w:smallCaps w:val="0"/>
      <w:strike w:val="0"/>
      <w:sz w:val="15"/>
      <w:szCs w:val="15"/>
      <w:u w:val="none"/>
    </w:rPr>
  </w:style>
  <w:style w:type="character" w:customStyle="1" w:styleId="CharStyle37">
    <w:name w:val="Char Style 37"/>
    <w:basedOn w:val="CharStyle36"/>
    <w:rPr>
      <w:rFonts w:ascii="Arial" w:eastAsia="Arial" w:hAnsi="Arial" w:cs="Arial"/>
      <w:b w:val="0"/>
      <w:bCs w:val="0"/>
      <w:i w:val="0"/>
      <w:iCs w:val="0"/>
      <w:smallCaps w:val="0"/>
      <w:strike w:val="0"/>
      <w:color w:val="658292"/>
      <w:spacing w:val="0"/>
      <w:w w:val="100"/>
      <w:position w:val="0"/>
      <w:sz w:val="15"/>
      <w:szCs w:val="15"/>
      <w:u w:val="none"/>
      <w:lang w:val="cs-CZ" w:eastAsia="cs-CZ" w:bidi="cs-CZ"/>
    </w:rPr>
  </w:style>
  <w:style w:type="character" w:customStyle="1" w:styleId="CharStyle38">
    <w:name w:val="Char Style 38"/>
    <w:basedOn w:val="CharStyle36"/>
    <w:rPr>
      <w:rFonts w:ascii="Arial" w:eastAsia="Arial" w:hAnsi="Arial" w:cs="Arial"/>
      <w:b/>
      <w:bCs/>
      <w:i w:val="0"/>
      <w:iCs w:val="0"/>
      <w:smallCaps w:val="0"/>
      <w:strike w:val="0"/>
      <w:color w:val="658292"/>
      <w:spacing w:val="0"/>
      <w:w w:val="100"/>
      <w:position w:val="0"/>
      <w:sz w:val="17"/>
      <w:szCs w:val="17"/>
      <w:u w:val="none"/>
      <w:lang w:val="cs-CZ" w:eastAsia="cs-CZ" w:bidi="cs-CZ"/>
    </w:rPr>
  </w:style>
  <w:style w:type="character" w:customStyle="1" w:styleId="CharStyle39">
    <w:name w:val="Char Style 39"/>
    <w:basedOn w:val="CharStyle36"/>
    <w:rPr>
      <w:rFonts w:ascii="Arial" w:eastAsia="Arial" w:hAnsi="Arial" w:cs="Arial"/>
      <w:b w:val="0"/>
      <w:bCs w:val="0"/>
      <w:i w:val="0"/>
      <w:iCs w:val="0"/>
      <w:smallCaps w:val="0"/>
      <w:strike w:val="0"/>
      <w:color w:val="658292"/>
      <w:spacing w:val="0"/>
      <w:w w:val="100"/>
      <w:position w:val="0"/>
      <w:sz w:val="17"/>
      <w:szCs w:val="17"/>
      <w:u w:val="none"/>
      <w:lang w:val="cs-CZ" w:eastAsia="cs-CZ" w:bidi="cs-CZ"/>
    </w:rPr>
  </w:style>
  <w:style w:type="character" w:customStyle="1" w:styleId="CharStyle40">
    <w:name w:val="Char Style 40"/>
    <w:basedOn w:val="CharStyle36"/>
    <w:rPr>
      <w:rFonts w:ascii="Arial" w:eastAsia="Arial" w:hAnsi="Arial" w:cs="Arial"/>
      <w:b/>
      <w:bCs/>
      <w:i w:val="0"/>
      <w:iCs w:val="0"/>
      <w:smallCaps w:val="0"/>
      <w:strike w:val="0"/>
      <w:color w:val="658292"/>
      <w:spacing w:val="0"/>
      <w:w w:val="100"/>
      <w:position w:val="0"/>
      <w:sz w:val="20"/>
      <w:szCs w:val="20"/>
      <w:u w:val="none"/>
      <w:lang w:val="cs-CZ" w:eastAsia="cs-CZ" w:bidi="cs-CZ"/>
    </w:rPr>
  </w:style>
  <w:style w:type="character" w:customStyle="1" w:styleId="CharStyle41">
    <w:name w:val="Char Style 41"/>
    <w:basedOn w:val="CharStyle36"/>
    <w:rPr>
      <w:rFonts w:ascii="Arial" w:eastAsia="Arial" w:hAnsi="Arial" w:cs="Arial"/>
      <w:b w:val="0"/>
      <w:bCs w:val="0"/>
      <w:i w:val="0"/>
      <w:iCs w:val="0"/>
      <w:smallCaps w:val="0"/>
      <w:strike w:val="0"/>
      <w:color w:val="658292"/>
      <w:spacing w:val="20"/>
      <w:w w:val="100"/>
      <w:position w:val="0"/>
      <w:sz w:val="17"/>
      <w:szCs w:val="17"/>
      <w:u w:val="none"/>
      <w:lang w:val="cs-CZ" w:eastAsia="cs-CZ" w:bidi="cs-CZ"/>
    </w:rPr>
  </w:style>
  <w:style w:type="paragraph" w:customStyle="1" w:styleId="Style2">
    <w:name w:val="Style 2"/>
    <w:basedOn w:val="Normln"/>
    <w:link w:val="CharStyle3Exact"/>
    <w:pPr>
      <w:shd w:val="clear" w:color="auto" w:fill="FFFFFF"/>
      <w:spacing w:line="100" w:lineRule="exact"/>
    </w:pPr>
    <w:rPr>
      <w:rFonts w:ascii="Arial" w:eastAsia="Arial" w:hAnsi="Arial" w:cs="Arial"/>
      <w:sz w:val="9"/>
      <w:szCs w:val="9"/>
    </w:rPr>
  </w:style>
  <w:style w:type="paragraph" w:customStyle="1" w:styleId="Style4">
    <w:name w:val="Style 4"/>
    <w:basedOn w:val="Normln"/>
    <w:link w:val="CharStyle5Exact"/>
    <w:pPr>
      <w:shd w:val="clear" w:color="auto" w:fill="FFFFFF"/>
      <w:spacing w:line="134" w:lineRule="exact"/>
    </w:pPr>
    <w:rPr>
      <w:rFonts w:ascii="Arial" w:eastAsia="Arial" w:hAnsi="Arial" w:cs="Arial"/>
      <w:sz w:val="12"/>
      <w:szCs w:val="12"/>
    </w:rPr>
  </w:style>
  <w:style w:type="paragraph" w:customStyle="1" w:styleId="Style6">
    <w:name w:val="Style 6"/>
    <w:basedOn w:val="Normln"/>
    <w:link w:val="CharStyle7Exact"/>
    <w:pPr>
      <w:shd w:val="clear" w:color="auto" w:fill="FFFFFF"/>
      <w:spacing w:line="200" w:lineRule="exact"/>
    </w:pPr>
    <w:rPr>
      <w:rFonts w:ascii="Arial" w:eastAsia="Arial" w:hAnsi="Arial" w:cs="Arial"/>
      <w:sz w:val="18"/>
      <w:szCs w:val="18"/>
    </w:rPr>
  </w:style>
  <w:style w:type="paragraph" w:customStyle="1" w:styleId="Style8">
    <w:name w:val="Style 8"/>
    <w:basedOn w:val="Normln"/>
    <w:link w:val="CharStyle9Exact"/>
    <w:pPr>
      <w:shd w:val="clear" w:color="auto" w:fill="FFFFFF"/>
      <w:spacing w:line="122" w:lineRule="exact"/>
    </w:pPr>
    <w:rPr>
      <w:rFonts w:ascii="Arial" w:eastAsia="Arial" w:hAnsi="Arial" w:cs="Arial"/>
      <w:sz w:val="11"/>
      <w:szCs w:val="11"/>
    </w:rPr>
  </w:style>
  <w:style w:type="paragraph" w:customStyle="1" w:styleId="Style10">
    <w:name w:val="Style 10"/>
    <w:basedOn w:val="Normln"/>
    <w:link w:val="CharStyle11"/>
    <w:pPr>
      <w:shd w:val="clear" w:color="auto" w:fill="FFFFFF"/>
      <w:spacing w:line="246" w:lineRule="exact"/>
      <w:jc w:val="center"/>
      <w:outlineLvl w:val="0"/>
    </w:pPr>
    <w:rPr>
      <w:rFonts w:ascii="Arial" w:eastAsia="Arial" w:hAnsi="Arial" w:cs="Arial"/>
      <w:b/>
      <w:bCs/>
      <w:sz w:val="22"/>
      <w:szCs w:val="22"/>
    </w:rPr>
  </w:style>
  <w:style w:type="paragraph" w:customStyle="1" w:styleId="Style12">
    <w:name w:val="Style 12"/>
    <w:basedOn w:val="Normln"/>
    <w:link w:val="CharStyle13"/>
    <w:pPr>
      <w:shd w:val="clear" w:color="auto" w:fill="FFFFFF"/>
      <w:spacing w:before="240" w:line="200" w:lineRule="exact"/>
      <w:ind w:hanging="660"/>
      <w:jc w:val="both"/>
    </w:pPr>
    <w:rPr>
      <w:rFonts w:ascii="Arial" w:eastAsia="Arial" w:hAnsi="Arial" w:cs="Arial"/>
      <w:sz w:val="18"/>
      <w:szCs w:val="18"/>
    </w:rPr>
  </w:style>
  <w:style w:type="paragraph" w:customStyle="1" w:styleId="Style14">
    <w:name w:val="Style 14"/>
    <w:basedOn w:val="Normln"/>
    <w:link w:val="CharStyle15"/>
    <w:pPr>
      <w:shd w:val="clear" w:color="auto" w:fill="FFFFFF"/>
      <w:spacing w:after="240" w:line="200" w:lineRule="exact"/>
      <w:ind w:hanging="420"/>
      <w:jc w:val="both"/>
    </w:pPr>
    <w:rPr>
      <w:rFonts w:ascii="Arial" w:eastAsia="Arial" w:hAnsi="Arial" w:cs="Arial"/>
      <w:b/>
      <w:bCs/>
      <w:sz w:val="18"/>
      <w:szCs w:val="18"/>
    </w:rPr>
  </w:style>
  <w:style w:type="paragraph" w:customStyle="1" w:styleId="Style17">
    <w:name w:val="Style 17"/>
    <w:basedOn w:val="Normln"/>
    <w:link w:val="CharStyle18"/>
    <w:pPr>
      <w:shd w:val="clear" w:color="auto" w:fill="FFFFFF"/>
      <w:spacing w:line="200" w:lineRule="exact"/>
    </w:pPr>
    <w:rPr>
      <w:rFonts w:ascii="Arial" w:eastAsia="Arial" w:hAnsi="Arial" w:cs="Arial"/>
      <w:sz w:val="18"/>
      <w:szCs w:val="18"/>
    </w:rPr>
  </w:style>
  <w:style w:type="paragraph" w:customStyle="1" w:styleId="Style22">
    <w:name w:val="Style 22"/>
    <w:basedOn w:val="Normln"/>
    <w:link w:val="CharStyle23"/>
    <w:pPr>
      <w:shd w:val="clear" w:color="auto" w:fill="FFFFFF"/>
      <w:spacing w:before="140" w:line="224" w:lineRule="exact"/>
      <w:jc w:val="center"/>
      <w:outlineLvl w:val="1"/>
    </w:pPr>
    <w:rPr>
      <w:rFonts w:ascii="Arial" w:eastAsia="Arial" w:hAnsi="Arial" w:cs="Arial"/>
      <w:b/>
      <w:bCs/>
      <w:sz w:val="20"/>
      <w:szCs w:val="20"/>
    </w:rPr>
  </w:style>
  <w:style w:type="paragraph" w:customStyle="1" w:styleId="Style26">
    <w:name w:val="Style 26"/>
    <w:basedOn w:val="Normln"/>
    <w:link w:val="CharStyle27"/>
    <w:pPr>
      <w:shd w:val="clear" w:color="auto" w:fill="FFFFFF"/>
      <w:spacing w:before="240" w:line="224" w:lineRule="exact"/>
      <w:jc w:val="center"/>
    </w:pPr>
    <w:rPr>
      <w:rFonts w:ascii="Arial" w:eastAsia="Arial" w:hAnsi="Arial" w:cs="Arial"/>
      <w:b/>
      <w:bCs/>
      <w:sz w:val="20"/>
      <w:szCs w:val="20"/>
    </w:rPr>
  </w:style>
  <w:style w:type="paragraph" w:customStyle="1" w:styleId="Style30">
    <w:name w:val="Style 30"/>
    <w:basedOn w:val="Normln"/>
    <w:link w:val="CharStyle31"/>
    <w:pPr>
      <w:shd w:val="clear" w:color="auto" w:fill="FFFFFF"/>
      <w:spacing w:after="120" w:line="134" w:lineRule="exact"/>
    </w:pPr>
    <w:rPr>
      <w:rFonts w:ascii="Arial" w:eastAsia="Arial" w:hAnsi="Arial" w:cs="Arial"/>
      <w:sz w:val="12"/>
      <w:szCs w:val="12"/>
    </w:rPr>
  </w:style>
  <w:style w:type="paragraph" w:customStyle="1" w:styleId="Style32">
    <w:name w:val="Style 32"/>
    <w:basedOn w:val="Normln"/>
    <w:link w:val="CharStyle33"/>
    <w:pPr>
      <w:shd w:val="clear" w:color="auto" w:fill="FFFFFF"/>
      <w:spacing w:before="120" w:line="202" w:lineRule="exact"/>
      <w:jc w:val="center"/>
    </w:pPr>
    <w:rPr>
      <w:rFonts w:ascii="Arial" w:eastAsia="Arial" w:hAnsi="Arial" w:cs="Arial"/>
      <w:b/>
      <w:bCs/>
      <w:sz w:val="16"/>
      <w:szCs w:val="16"/>
    </w:rPr>
  </w:style>
  <w:style w:type="paragraph" w:customStyle="1" w:styleId="Style35">
    <w:name w:val="Style 35"/>
    <w:basedOn w:val="Normln"/>
    <w:link w:val="CharStyle36"/>
    <w:pPr>
      <w:shd w:val="clear" w:color="auto" w:fill="FFFFFF"/>
      <w:spacing w:line="202" w:lineRule="exact"/>
      <w:jc w:val="center"/>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ppdistribuce.cz/distribucni-soustava/rad-provozovatele-ds"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ppdistribuce.cz" TargetMode="External"/><Relationship Id="rId5" Type="http://schemas.openxmlformats.org/officeDocument/2006/relationships/webSettings" Target="webSettings.xml"/><Relationship Id="rId10" Type="http://schemas.openxmlformats.org/officeDocument/2006/relationships/hyperlink" Target="http://www.ppdistribuce.cz/distribucni-soustava/rad-provozovatele-ds" TargetMode="External"/><Relationship Id="rId4" Type="http://schemas.openxmlformats.org/officeDocument/2006/relationships/settings" Target="settings.xml"/><Relationship Id="rId9" Type="http://schemas.openxmlformats.org/officeDocument/2006/relationships/hyperlink" Target="mailto:uctarna@dshaje.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2542</Words>
  <Characters>15004</Characters>
  <Application>Microsoft Office Word</Application>
  <DocSecurity>0</DocSecurity>
  <Lines>125</Lines>
  <Paragraphs>35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Jakešová Barbora</dc:creator>
  <cp:lastModifiedBy>Jakešová Barbora</cp:lastModifiedBy>
  <cp:revision>2</cp:revision>
  <dcterms:created xsi:type="dcterms:W3CDTF">2022-08-29T08:50:00Z</dcterms:created>
  <dcterms:modified xsi:type="dcterms:W3CDTF">2022-08-29T08:50:00Z</dcterms:modified>
</cp:coreProperties>
</file>