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</w:t>
      </w:r>
      <w:bookmarkEnd w:id="0"/>
      <w:bookmarkEnd w:id="1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dílo II/403 Brtnice průtah ze dne 29.6. 2022</w:t>
      </w:r>
      <w:bookmarkEnd w:id="2"/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ZMR-ST-36-2022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I.</w:t>
      </w:r>
      <w:bookmarkEnd w:id="4"/>
      <w:bookmarkEnd w:id="5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bookmarkEnd w:id="6"/>
      <w:bookmarkEnd w:id="7"/>
    </w:p>
    <w:tbl>
      <w:tblPr>
        <w:tblOverlap w:val="never"/>
        <w:jc w:val="left"/>
        <w:tblLayout w:type="fixed"/>
      </w:tblPr>
      <w:tblGrid>
        <w:gridCol w:w="1872"/>
        <w:gridCol w:w="6590"/>
      </w:tblGrid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widowControl w:val="0"/>
        <w:spacing w:after="99" w:line="1" w:lineRule="exact"/>
      </w:pPr>
    </w:p>
    <w:p>
      <w:pPr>
        <w:widowControl w:val="0"/>
        <w:spacing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objednatele ve věcech smluvních: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tbl>
      <w:tblPr>
        <w:tblOverlap w:val="never"/>
        <w:jc w:val="left"/>
        <w:tblLayout w:type="fixed"/>
      </w:tblPr>
      <w:tblGrid>
        <w:gridCol w:w="1872"/>
        <w:gridCol w:w="6590"/>
      </w:tblGrid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0"/>
        <w:keepNext/>
        <w:keepLines/>
        <w:widowControl w:val="0"/>
        <w:shd w:val="clear" w:color="auto" w:fill="auto"/>
        <w:bidi w:val="0"/>
        <w:spacing w:before="0" w:after="100" w:line="691" w:lineRule="exact"/>
        <w:ind w:left="0" w:right="0" w:firstLine="0"/>
        <w:jc w:val="left"/>
      </w:pPr>
      <w:bookmarkStart w:id="8" w:name="bookmark8"/>
      <w:bookmarkStart w:id="9" w:name="bookmark9"/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 w:val="0"/>
          <w:bCs w:val="0"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Objednatel“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8"/>
      <w:bookmarkEnd w:id="9"/>
    </w:p>
    <w:tbl>
      <w:tblPr>
        <w:tblOverlap w:val="never"/>
        <w:jc w:val="left"/>
        <w:tblLayout w:type="fixed"/>
      </w:tblPr>
      <w:tblGrid>
        <w:gridCol w:w="1872"/>
        <w:gridCol w:w="6590"/>
      </w:tblGrid>
      <w:tr>
        <w:trPr>
          <w:trHeight w:val="64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SWIETELSKY stavební s.r.o.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odštěpný závod Dopravní stavby VÝCHOD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 Silu 1143, 393 01 Pelhřimov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Zdeňkem Havlem, vedoucím odštěpného závodu</w:t>
            </w:r>
          </w:p>
        </w:tc>
      </w:tr>
    </w:tbl>
    <w:p>
      <w:pPr>
        <w:widowControl w:val="0"/>
        <w:spacing w:after="159" w:line="1" w:lineRule="exact"/>
      </w:pPr>
    </w:p>
    <w:p>
      <w:pPr>
        <w:widowControl w:val="0"/>
        <w:spacing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Českých Budějovicích, oddíl C, vložka 8032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smluvních:</w:t>
      </w:r>
    </w:p>
    <w:tbl>
      <w:tblPr>
        <w:tblOverlap w:val="never"/>
        <w:jc w:val="left"/>
        <w:tblLayout w:type="fixed"/>
      </w:tblPr>
      <w:tblGrid>
        <w:gridCol w:w="1872"/>
        <w:gridCol w:w="6590"/>
      </w:tblGrid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48035599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CZ48035599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II.</w:t>
      </w:r>
      <w:bookmarkEnd w:id="10"/>
      <w:bookmarkEnd w:id="11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  <w:bookmarkEnd w:id="12"/>
      <w:bookmarkEnd w:id="13"/>
    </w:p>
    <w:p>
      <w:pPr>
        <w:pStyle w:val="Style2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8" w:val="left"/>
        </w:tabs>
        <w:bidi w:val="0"/>
        <w:spacing w:before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 o dílo, spočívající ve stanovení konečné ceny na základě skutečně provedených prací tak, jak je ujednáno ve změnovém soupisu prací, které jsou nedílnou součástí tohoto dodatku.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1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II.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o dílo v aktuálním znění se mění o nerealizované stavební práce (dále méněpráce) v souladu se schváleným Změnovým listem.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11" w:val="left"/>
        </w:tabs>
        <w:bidi w:val="0"/>
        <w:spacing w:before="0" w:after="26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Celková cena díla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VI. odst. 6.1.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stávající smlouvy o dílo je ve znění tohoto dodatku stanovena následovně:</w:t>
      </w:r>
    </w:p>
    <w:tbl>
      <w:tblPr>
        <w:tblOverlap w:val="never"/>
        <w:jc w:val="center"/>
        <w:tblLayout w:type="fixed"/>
      </w:tblPr>
      <w:tblGrid>
        <w:gridCol w:w="5366"/>
        <w:gridCol w:w="2069"/>
      </w:tblGrid>
      <w:tr>
        <w:trPr>
          <w:trHeight w:val="24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Původní cena díla bez DPH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241 820,00 Kč</w:t>
            </w:r>
          </w:p>
        </w:tc>
      </w:tr>
      <w:tr>
        <w:trPr>
          <w:trHeight w:val="40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Méněpráce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- 67 999,78 Kč</w:t>
            </w:r>
          </w:p>
        </w:tc>
      </w:tr>
      <w:tr>
        <w:trPr>
          <w:trHeight w:val="418" w:hRule="exact"/>
        </w:trPr>
        <w:tc>
          <w:tcPr>
            <w:gridSpan w:val="2"/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Nově sjednaná cena dle Dodatku č. 1 bez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173 820,22 Kč</w:t>
            </w:r>
          </w:p>
        </w:tc>
      </w:tr>
      <w:tr>
        <w:trPr>
          <w:trHeight w:val="413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21% DPH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36 502,25Kč</w:t>
            </w:r>
          </w:p>
        </w:tc>
      </w:tr>
      <w:tr>
        <w:trPr>
          <w:trHeight w:val="418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Nově sjednaná cena dle Dodatku č. 1 včetně DPH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210 322,47 Kč</w:t>
            </w:r>
          </w:p>
        </w:tc>
      </w:tr>
    </w:tbl>
    <w:p>
      <w:pPr>
        <w:widowControl w:val="0"/>
        <w:spacing w:after="899" w:line="1" w:lineRule="exact"/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III.</w:t>
      </w:r>
      <w:bookmarkEnd w:id="14"/>
      <w:bookmarkEnd w:id="15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16"/>
      <w:bookmarkEnd w:id="17"/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1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1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nedílnou součástí smlouvy v aktuálním znění.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1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je vyhotoven v elektronické podobě, přičemž obě smluvní strany obdrží jeho elektronický originál.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1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 je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platný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1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č. 1 je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účinný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dnem jeho uveřejnění v registru smluv.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1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podléhá zveřejnění dle zákona č. 340/2015 Sb., o zvláštních podmínkách účinnosti některých smluv, uveřejňování těchto smluv a o registru smluv (zákon o registru smluv), v platném a účinném znění.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1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1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>
      <w:pPr>
        <w:pStyle w:val="Style2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711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tohoto dodatku jsou následující 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Změnový soupis prací (položkový rozpis)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4230370</wp:posOffset>
                </wp:positionH>
                <wp:positionV relativeFrom="paragraph">
                  <wp:posOffset>12700</wp:posOffset>
                </wp:positionV>
                <wp:extent cx="551815" cy="17081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181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3.10000000000002pt;margin-top:1.pt;width:43.450000000000003pt;height:13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801370</wp:posOffset>
                </wp:positionH>
                <wp:positionV relativeFrom="paragraph">
                  <wp:posOffset>1168400</wp:posOffset>
                </wp:positionV>
                <wp:extent cx="2484120" cy="17399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8412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Zdeněk Havel, vedoucí odštěpného závodu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3.100000000000001pt;margin-top:92.pt;width:195.59999999999999pt;height:13.6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Zdeněk Havel, vedoucí odštěpného závodu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Pelhřimově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5500" w:right="0" w:hanging="4200"/>
        <w:jc w:val="left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2240" w:h="15840"/>
          <w:pgMar w:top="1584" w:left="1150" w:right="1284" w:bottom="960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 Krajská správa a údržba silnic Vysočiny, příspěvková organizace</w:t>
      </w:r>
    </w:p>
    <w:p>
      <w:pPr>
        <w:pStyle w:val="Style27"/>
        <w:keepNext w:val="0"/>
        <w:keepLines w:val="0"/>
        <w:framePr w:w="562" w:h="154" w:wrap="none" w:hAnchor="page" w:x="455" w:y="1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0"/>
          <w:szCs w:val="10"/>
        </w:rPr>
      </w:pP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Tišteno dne:</w:t>
      </w:r>
    </w:p>
    <w:p>
      <w:pPr>
        <w:pStyle w:val="Style27"/>
        <w:keepNext w:val="0"/>
        <w:keepLines w:val="0"/>
        <w:framePr w:w="1022" w:h="326" w:wrap="none" w:hAnchor="page" w:x="3128" w:y="1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SOUPIS PRACÍ</w:t>
        <w:br/>
        <w:t>(položkový rozpis)</w:t>
      </w:r>
    </w:p>
    <w:p>
      <w:pPr>
        <w:pStyle w:val="Style27"/>
        <w:keepNext w:val="0"/>
        <w:keepLines w:val="0"/>
        <w:framePr w:w="456" w:h="163" w:wrap="none" w:hAnchor="page" w:x="522" w:y="371"/>
        <w:widowControl w:val="0"/>
        <w:pBdr>
          <w:top w:val="single" w:sz="0" w:space="0" w:color="FE9900"/>
          <w:left w:val="single" w:sz="0" w:space="3" w:color="FE9900"/>
          <w:bottom w:val="single" w:sz="0" w:space="0" w:color="FE9900"/>
          <w:right w:val="single" w:sz="0" w:space="3" w:color="FE9900"/>
        </w:pBdr>
        <w:shd w:val="clear" w:color="auto" w:fill="FE9900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</w:r>
    </w:p>
    <w:p>
      <w:pPr>
        <w:pStyle w:val="Style27"/>
        <w:keepNext w:val="0"/>
        <w:keepLines w:val="0"/>
        <w:framePr w:w="1546" w:h="168" w:wrap="none" w:hAnchor="page" w:x="2139" w:y="371"/>
        <w:widowControl w:val="0"/>
        <w:pBdr>
          <w:top w:val="single" w:sz="4" w:space="0" w:color="FE9900"/>
          <w:left w:val="single" w:sz="4" w:space="3" w:color="FE9900"/>
          <w:bottom w:val="single" w:sz="4" w:space="0" w:color="FE9900"/>
          <w:right w:val="single" w:sz="4" w:space="3" w:color="FE9900"/>
        </w:pBdr>
        <w:shd w:val="clear" w:color="auto" w:fill="FE9900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BRTNICE, UL. POD KAPLOU</w:t>
      </w:r>
    </w:p>
    <w:p>
      <w:pPr>
        <w:widowControl w:val="0"/>
        <w:spacing w:after="537" w:line="1" w:lineRule="exact"/>
      </w:pPr>
    </w:p>
    <w:p>
      <w:pPr>
        <w:widowControl w:val="0"/>
        <w:spacing w:line="1" w:lineRule="exac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2240" w:h="15840"/>
          <w:pgMar w:top="431" w:left="444" w:right="1831" w:bottom="213" w:header="3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sz w:val="10"/>
          <w:szCs w:val="10"/>
        </w:rPr>
      </w:pPr>
      <w:r>
        <w:rPr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Investor: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6" w:right="0" w:firstLine="0"/>
        <w:jc w:val="left"/>
        <w:rPr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001 Komunikace</w:t>
      </w:r>
    </w:p>
    <w:tbl>
      <w:tblPr>
        <w:tblOverlap w:val="never"/>
        <w:jc w:val="center"/>
        <w:tblLayout w:type="fixed"/>
      </w:tblPr>
      <w:tblGrid>
        <w:gridCol w:w="4157"/>
        <w:gridCol w:w="1186"/>
        <w:gridCol w:w="691"/>
        <w:gridCol w:w="1008"/>
        <w:gridCol w:w="658"/>
        <w:gridCol w:w="782"/>
        <w:gridCol w:w="739"/>
        <w:gridCol w:w="744"/>
      </w:tblGrid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Položka Text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 původní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Množství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Rozdíl m.j.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Cena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Celkem původní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Celkem změna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Celkem rozdíl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 113151214R0F0rézování živič. krytu nad 500 m2, bez překážek, tl.5 cm - včetně odvozu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359,40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140,60 m2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102,75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51 375,00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36 928,35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-14 446,65</w:t>
            </w:r>
          </w:p>
        </w:tc>
      </w:tr>
      <w:tr>
        <w:trPr>
          <w:trHeight w:val="14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10 573211111R0P0ostřik živičný spojovací z asfaltu 0,3 kg/m2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359,40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140,60 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15,29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7 645,00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5 495,23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-2 149,77</w:t>
            </w:r>
          </w:p>
        </w:tc>
      </w:tr>
      <w:tr>
        <w:trPr>
          <w:trHeight w:val="13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11 577113114R0B0eton asf. ACO 11 S, .obrus., š. do 3m, tl. 5cm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500,00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359,40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140,60 m2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365,60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182 800,00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131 396,64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cs-CZ" w:eastAsia="cs-CZ" w:bidi="cs-CZ"/>
              </w:rPr>
              <w:t>-51 403,36</w:t>
            </w:r>
          </w:p>
        </w:tc>
      </w:tr>
      <w:tr>
        <w:trPr>
          <w:trHeight w:val="154" w:hRule="exact"/>
        </w:trPr>
        <w:tc>
          <w:tcPr>
            <w:tcBorders/>
            <w:shd w:val="clear" w:color="auto" w:fill="FEFF99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/>
            <w:shd w:val="clear" w:color="auto" w:fill="FEFF99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/>
            <w:shd w:val="clear" w:color="auto" w:fill="FEFF99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Odbytová cena bez DPH:</w:t>
            </w:r>
          </w:p>
        </w:tc>
        <w:tc>
          <w:tcPr>
            <w:tcBorders/>
            <w:shd w:val="clear" w:color="auto" w:fill="FEFF99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173 820,22</w:t>
            </w:r>
          </w:p>
        </w:tc>
        <w:tc>
          <w:tcPr>
            <w:tcBorders/>
            <w:shd w:val="clear" w:color="auto" w:fill="FEFF99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241 820,00</w:t>
            </w:r>
          </w:p>
        </w:tc>
        <w:tc>
          <w:tcPr>
            <w:tcBorders/>
            <w:shd w:val="clear" w:color="auto" w:fill="FEFF99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173 820,22</w:t>
            </w:r>
          </w:p>
        </w:tc>
        <w:tc>
          <w:tcPr>
            <w:tcBorders/>
            <w:shd w:val="clear" w:color="auto" w:fill="FEFF99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z w:val="11"/>
                <w:szCs w:val="11"/>
                <w:shd w:val="clear" w:color="auto" w:fill="auto"/>
                <w:lang w:val="cs-CZ" w:eastAsia="cs-CZ" w:bidi="cs-CZ"/>
              </w:rPr>
              <w:t>-67 999,78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31" w:left="444" w:right="1831" w:bottom="126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431" w:left="0" w:right="0" w:bottom="21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 w:val="0"/>
        <w:keepLines w:val="0"/>
        <w:framePr w:w="1109" w:h="178" w:wrap="none" w:vAnchor="text" w:hAnchor="page" w:x="603" w:y="1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000000"/>
          <w:spacing w:val="0"/>
          <w:w w:val="100"/>
          <w:position w:val="0"/>
          <w:sz w:val="12"/>
          <w:szCs w:val="12"/>
          <w:shd w:val="clear" w:color="auto" w:fill="auto"/>
          <w:lang w:val="cs-CZ" w:eastAsia="cs-CZ" w:bidi="cs-CZ"/>
        </w:rPr>
        <w:t>STAVBA CELKEM</w:t>
      </w:r>
    </w:p>
    <w:p>
      <w:pPr>
        <w:pStyle w:val="Style27"/>
        <w:keepNext w:val="0"/>
        <w:keepLines w:val="0"/>
        <w:framePr w:w="590" w:h="317" w:wrap="none" w:vAnchor="text" w:hAnchor="page" w:x="208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Sazba DPH</w:t>
      </w:r>
    </w:p>
    <w:p>
      <w:pPr>
        <w:pStyle w:val="Style27"/>
        <w:keepNext w:val="0"/>
        <w:keepLines w:val="0"/>
        <w:framePr w:w="590" w:h="317" w:wrap="none" w:vAnchor="text" w:hAnchor="page" w:x="208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21,00</w:t>
      </w:r>
    </w:p>
    <w:p>
      <w:pPr>
        <w:pStyle w:val="Style27"/>
        <w:keepNext w:val="0"/>
        <w:keepLines w:val="0"/>
        <w:framePr w:w="638" w:h="317" w:wrap="none" w:vAnchor="text" w:hAnchor="page" w:x="316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DPH celkem</w:t>
      </w:r>
    </w:p>
    <w:p>
      <w:pPr>
        <w:pStyle w:val="Style27"/>
        <w:keepNext w:val="0"/>
        <w:keepLines w:val="0"/>
        <w:framePr w:w="638" w:h="317" w:wrap="none" w:vAnchor="text" w:hAnchor="page" w:x="3167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36 502,25</w:t>
      </w:r>
    </w:p>
    <w:p>
      <w:pPr>
        <w:pStyle w:val="Style27"/>
        <w:keepNext w:val="0"/>
        <w:keepLines w:val="0"/>
        <w:framePr w:w="1234" w:h="466" w:wrap="none" w:vAnchor="text" w:hAnchor="page" w:x="5163" w:y="2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Odbytová cena bez DPH:</w:t>
      </w:r>
    </w:p>
    <w:p>
      <w:pPr>
        <w:pStyle w:val="Style27"/>
        <w:keepNext w:val="0"/>
        <w:keepLines w:val="0"/>
        <w:framePr w:w="1234" w:h="466" w:wrap="none" w:vAnchor="text" w:hAnchor="page" w:x="516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Odbytová cena s DPH:</w:t>
      </w:r>
    </w:p>
    <w:p>
      <w:pPr>
        <w:pStyle w:val="Style27"/>
        <w:keepNext w:val="0"/>
        <w:keepLines w:val="0"/>
        <w:framePr w:w="557" w:h="461" w:wrap="none" w:vAnchor="text" w:hAnchor="page" w:x="9848" w:y="21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173 820,22</w:t>
      </w:r>
    </w:p>
    <w:p>
      <w:pPr>
        <w:pStyle w:val="Style27"/>
        <w:keepNext w:val="0"/>
        <w:keepLines w:val="0"/>
        <w:framePr w:w="557" w:h="461" w:wrap="none" w:vAnchor="text" w:hAnchor="page" w:x="984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210 322,47</w:t>
      </w:r>
    </w:p>
    <w:p>
      <w:pPr>
        <w:widowControl w:val="0"/>
        <w:spacing w:after="46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2240" w:h="15840"/>
      <w:pgMar w:top="431" w:left="444" w:right="1831" w:bottom="21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3467100</wp:posOffset>
              </wp:positionH>
              <wp:positionV relativeFrom="page">
                <wp:posOffset>9558655</wp:posOffset>
              </wp:positionV>
              <wp:extent cx="746760" cy="10985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676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73.pt;margin-top:752.64999999999998pt;width:58.799999999999997pt;height:8.6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732790</wp:posOffset>
              </wp:positionH>
              <wp:positionV relativeFrom="page">
                <wp:posOffset>9514205</wp:posOffset>
              </wp:positionV>
              <wp:extent cx="6217920" cy="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21792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700000000000003pt;margin-top:749.14999999999998pt;width:489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9859645</wp:posOffset>
              </wp:positionV>
              <wp:extent cx="356870" cy="85090"/>
              <wp:wrapNone/>
              <wp:docPr id="12" name="Shape 1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5687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291.5pt;margin-top:776.35000000000002pt;width:28.100000000000001pt;height:6.70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754380</wp:posOffset>
              </wp:positionH>
              <wp:positionV relativeFrom="page">
                <wp:posOffset>435610</wp:posOffset>
              </wp:positionV>
              <wp:extent cx="914400" cy="9461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1440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II/403 Brtnice průtah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9.399999999999999pt;margin-top:34.299999999999997pt;width:72.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II/403 Brtnice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4866005</wp:posOffset>
              </wp:positionH>
              <wp:positionV relativeFrom="page">
                <wp:posOffset>435610</wp:posOffset>
              </wp:positionV>
              <wp:extent cx="2033270" cy="21336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033270" cy="2133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Číslo smlouvy objednatele: ZMR-ST-36-2022</w:t>
                          </w:r>
                        </w:p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>Číslo smlouvy zhotovitele: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83.14999999999998pt;margin-top:34.299999999999997pt;width:160.09999999999999pt;height:16.80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objednatele: ZMR-ST-36-2022</w:t>
                    </w:r>
                  </w:p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Číslo smlouvy zhotovitele: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Nadpis #2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Jiné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8">
    <w:name w:val="Základní text (3)_"/>
    <w:basedOn w:val="DefaultParagraphFont"/>
    <w:link w:val="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16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Nadpis #2"/>
    <w:basedOn w:val="Normal"/>
    <w:link w:val="CharStyle11"/>
    <w:pPr>
      <w:widowControl w:val="0"/>
      <w:shd w:val="clear" w:color="auto" w:fill="FFFFFF"/>
      <w:spacing w:after="180" w:line="257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after="100"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  <w:spacing w:after="50" w:line="30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  <w:spacing w:after="140" w:line="29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7">
    <w:name w:val="Základní text (3)"/>
    <w:basedOn w:val="Normal"/>
    <w:link w:val="CharStyle2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