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360" w:firstLine="0"/>
        <w:jc w:val="right"/>
        <w:rPr>
          <w:sz w:val="15"/>
          <w:szCs w:val="15"/>
        </w:rPr>
      </w:pPr>
      <w:r>
        <w:rPr>
          <w:rStyle w:val="CharStyle10"/>
          <w:sz w:val="15"/>
          <w:szCs w:val="15"/>
        </w:rPr>
        <w:t>2022005751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SMLOUVA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Style w:val="CharStyle3"/>
        </w:rPr>
        <w:t>podle ustanovení § 2586 a násl. zákona č. 89/2012 Sb. občanského zákoníku,</w:t>
        <w:br/>
        <w:t>uzavřená mezi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mc:AlternateContent>
          <mc:Choice Requires="wps">
            <w:drawing>
              <wp:anchor distT="101600" distB="101600" distL="101600" distR="101600" simplePos="0" relativeHeight="125829378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12700</wp:posOffset>
                </wp:positionV>
                <wp:extent cx="1639570" cy="14541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9570" cy="1454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spojeni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299999999999997pt;margin-top:1.pt;width:129.09999999999999pt;height:114.5pt;z-index:-125829375;mso-wrap-distance-left:8.pt;mso-wrap-distance-top:8.pt;mso-wrap-distance-right:8.pt;mso-wrap-distance-bottom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spojeni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76" w:lineRule="auto"/>
        <w:ind w:left="0" w:right="0" w:firstLine="0"/>
        <w:jc w:val="left"/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„objednáte?)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12700</wp:posOffset>
                </wp:positionV>
                <wp:extent cx="1642745" cy="129222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2745" cy="1292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350000000000009pt;margin-top:1.pt;width:129.34999999999999pt;height:101.75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HUA HUA ARCHITECTS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Vinohrady 368/68B, 639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Ing. arch. Václav Kocián,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6"/>
          <w:shd w:val="clear" w:color="auto" w:fill="000000"/>
        </w:rPr>
        <w:t>....</w:t>
      </w:r>
      <w:r>
        <w:rPr>
          <w:rStyle w:val="CharStyle3"/>
          <w:spacing w:val="7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</w:t>
      </w:r>
      <w:r>
        <w:rPr>
          <w:rStyle w:val="CharStyle3"/>
          <w:spacing w:val="4"/>
          <w:shd w:val="clear" w:color="auto" w:fill="000000"/>
        </w:rPr>
        <w:t>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4"/>
          <w:shd w:val="clear" w:color="auto" w:fill="000000"/>
        </w:rPr>
        <w:t>........</w:t>
      </w:r>
      <w:r>
        <w:rPr>
          <w:rStyle w:val="CharStyle3"/>
          <w:spacing w:val="5"/>
          <w:shd w:val="clear" w:color="auto" w:fill="000000"/>
        </w:rPr>
        <w:t>....</w:t>
      </w:r>
      <w:r>
        <w:rPr>
          <w:rStyle w:val="CharStyle3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shd w:val="clear" w:color="auto" w:fill="000000"/>
          <w:lang w:val="en-US" w:eastAsia="en-US" w:bidi="en-US"/>
        </w:rPr>
        <w:t>............................</w:t>
      </w:r>
      <w:r>
        <w:rPr>
          <w:rStyle w:val="CharStyle3"/>
          <w:spacing w:val="2"/>
          <w:shd w:val="clear" w:color="auto" w:fill="000000"/>
          <w:lang w:val="en-US" w:eastAsia="en-US" w:bidi="en-US"/>
        </w:rPr>
        <w:t>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095 46 146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cz09546146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Krajský soud v Brně sp. Zn. C 119522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Style w:val="CharStyle3"/>
        </w:rPr>
        <w:t xml:space="preserve">Fio banka, a.s., č. ú.: 2201902528/2010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„zhotovíte?)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5"/>
        </w:rPr>
        <w:t>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5"/>
        </w:rPr>
        <w:t>Objednatel je oprávněn disponovat s majetkovými právy k dokumentaci pro provedení stavby jeho výjezdové základny v Miroslavi, zpracované projektovou kanceláří HUA HUA Architects s.r.o., IČO 09546146, Vinohrady 368/68B, 639 00 Brno, která je jako příloha č. 1 nedílnou součástí této smlouvy.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1a.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Zhotovitel se zavazuje, že pro objednatele provede dílo, spočívající v provedení projektu interiéru na základě dokumentace podle čl. 1 této smlouvy, odpovídajících specifickým potřebám objednatele, a to dle zadání objednatele, které je jako příloha č. 2 nedílnou součástí této smlouvy.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rStyle w:val="CharStyle5"/>
        </w:rPr>
        <w:t>Zhotovitel se zavazuje provést dílo podle čl. 1 této smlouvy ve lhůtě nejpozději do tří měsíců ode dne účinnosti smlouvy. Místem splnění závazku zhotovitele k provedení díla podle čl. 1 této smlouvy je přitom sídlo objednatele dle záhlaví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5"/>
        </w:rPr>
        <w:t>Zhotovitel se zavazuje postupovat při provádění díla podle čl. 1 této smlouvy, podle příslušných právních, technických a hygienických norem, podle průběžných pokynů objednatele a s náležitou odbornou péčí.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5"/>
        </w:rPr>
        <w:t>Závazek zhotovitele k provedení díla podle čl. 1 této smlouvy se považuje za splněný odevzdáním díla do rukou objednatele, a to v jednom vyhotovení v listinné podobě a jednom vyhotovení v elektronické podobě. O tomto předání a převzetí díla bude pořízen písemný zápis, potvrzený oběma stranami. Objednatel není povinen potvrdit zhotoviteli převzetí díla, zjistí-li se na předávaném díle jakákoliv vada.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5"/>
        </w:rPr>
        <w:t>Nebezpečí škody na díle podle čl. 1 této smlouvy a vlastnické právo k tomuto dílu přechází ze zhotovitele na objednatele dnem splnění závazku zhotovitele k provedení tohoto díla ve smyslu ust. čl. 4 této smlouvy. Tímto dnem se také zřizuje ve prospěch objednatele časově neomezená uživatelská licence k těm částem díla, které mají povahu autorského díla ve smyslu ust. § 2 odst. 2 zákona č. 121/2000 Sb.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5"/>
        </w:rPr>
        <w:t>Pro případ prodlení se splněním svého závazku podle čl. 1 této smlouvy ve lhůtě podle čl. 2 této smlouvy se zhotovitel zavazuje zaplatit objednateli smluvní pokutu ve výši 0,1 % z celkové ceny díla podle čl. 7 této smlouvy za každý započatý den tohoto prodlení. Zaplacením této smluvní pokuty není dotčen nárok objednatele na případnou náhradu škody v plné výši.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Objednatel se zavazuje zaplatit zhotoviteli za dílo podle čl. 1 této smlouvy cenu díla ve výši celkem 129.000,- Kč bez DPH, tj. celkem 156.090,- Kč vč. DPH s tím, že součásti této ceny jsou veškeré náklady zhotovitele, spojené s plněním závazku zhotovitele podle čl. 1 této smlouvy, včetně daně z přidané hodnoty. Změna ceny je možná pouze v případě zákonné změny sazby DPH.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915" w:right="1555" w:bottom="2174" w:left="141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5"/>
        </w:rPr>
        <w:t xml:space="preserve">Cena díla podle čl. 7 této smlouvy je splatná na účet zhotovitele po splnění závazku k provedení díla podle čl. 1 této smlouvy způsobem podle čl. 4 této smlouvy ve lhůtě do 30 dnů ode dne doručení jejího písemného vyúčtování (daňového dokladu/faktury). Faktura bude doručena rovněž elektronicky na e-mail 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​..............................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</w:t>
      </w:r>
      <w:r>
        <w:rPr>
          <w:rStyle w:val="CharStyle5"/>
          <w:shd w:val="clear" w:color="auto" w:fill="000000"/>
          <w:lang w:val="en-US" w:eastAsia="en-US" w:bidi="en-US"/>
        </w:rPr>
        <w:t>.</w:t>
      </w:r>
      <w:r>
        <w:rPr>
          <w:rStyle w:val="CharStyle5"/>
          <w:shd w:val="clear" w:color="auto" w:fill="000000"/>
        </w:rPr>
        <w:t>​...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​...........................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</w:t>
      </w:r>
      <w:r>
        <w:rPr>
          <w:rStyle w:val="CharStyle5"/>
          <w:color w:val="5EB6E6"/>
          <w:lang w:val="en-US" w:eastAsia="en-US" w:bidi="en-US"/>
        </w:rPr>
        <w:t xml:space="preserve">. </w:t>
      </w:r>
      <w:r>
        <w:rPr>
          <w:rStyle w:val="CharStyle5"/>
        </w:rPr>
        <w:t>Na faktuře musí být mimo jiné vždy uvedeno toto číslo veřejné zakázky, ke které se faktura vztahuje: P22V00003044.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54" w:lineRule="auto"/>
        <w:ind w:left="0" w:right="0" w:firstLine="0"/>
        <w:jc w:val="both"/>
      </w:pPr>
      <w:r>
        <w:rPr>
          <w:rStyle w:val="CharStyle5"/>
        </w:rPr>
        <w:t>Pro případ prodlení s úhradou ceny díla ve lhůtě podle čl. 8 této smlouvy se objednatel zavazuje zaplatit zhotoviteli úrok z prodlení v sazbě dle zákona.</w:t>
      </w:r>
    </w:p>
    <w:p>
      <w:pPr>
        <w:pStyle w:val="Style3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5"/>
        </w:rPr>
        <w:t>Zhotovitel odpovídá objednateli za to, že dílo podle čl. 1 této smlouvy bude odpovídat tuzemským technickým, hygienickým a jiným normám, a že bude mít ty vlastnosti, které jsou u děl tohoto druhu obvyklé. V tomto smyslu se zhotovitel zavazuje bezplatně odstraňovat vady, které se na díle podle čl. 1 této smlouvy vyskytnou, a to po celou dobu, po kterou to bude mít pro objednatele nějaký ekonomický či jiný praktický význam.</w:t>
      </w:r>
    </w:p>
    <w:p>
      <w:pPr>
        <w:pStyle w:val="Style3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5"/>
        </w:rPr>
        <w:t>Zhotovitel se zavazuje rozhodovat o písemných reklamacích objednatelů v období po dokončení díla písemně ve lhůtě do 10-ti dnů od jejich doručení, a ve stejné lhůtě provést odstranění vad z oprávněných reklamací, nebude-li mezi oběma stranami v jednotlivém případě dohodnuto jinak.</w:t>
      </w:r>
    </w:p>
    <w:p>
      <w:pPr>
        <w:pStyle w:val="Style3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5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3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5"/>
        </w:rPr>
        <w:t>Pro případ prodlení zhotovitele s odstraněním vady díla ve lhůtě podle čl. 11 této smlouvy, se zhotovitel zavazuje zaplatit objednateli smluvní pokutu ve výši 1.000,- Kč za každý započatý den prodlení.</w:t>
      </w:r>
    </w:p>
    <w:p>
      <w:pPr>
        <w:pStyle w:val="Style3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/>
        <w:ind w:left="0" w:right="0" w:firstLine="0"/>
        <w:jc w:val="center"/>
      </w:pPr>
      <w:bookmarkStart w:id="8" w:name="bookmark8"/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5"/>
        </w:rPr>
        <w:t>Nepřikročí-li zhotovitel k odstranění vady ve lhůtě podle čl. 11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3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/>
        <w:ind w:left="0" w:right="0" w:firstLine="0"/>
        <w:jc w:val="center"/>
      </w:pPr>
      <w:bookmarkStart w:id="10" w:name="bookmark10"/>
      <w:bookmarkEnd w:id="1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5"/>
        </w:rPr>
        <w:t>Objednatel je oprávněn odstoupit od této smlouvy o dílo s účinky ex tunc, bude-li zhotovitel v prodlení se splněním svého závazku podle čl. 1 této smlouvy ve lhůtě podle čl. 2 této smlouvy o víc, než 1 měsíc.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rStyle w:val="CharStyle5"/>
        </w:rPr>
        <w:t>Zhotovitel je oprávněn odstoupit od této smlouvy, bude-li objednatel v prodlení se splněním jeho uhrazovací povinnosti podle této smlouvy o víc, než jeden měsíc.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220" w:line="29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90" w:lineRule="auto"/>
        <w:ind w:left="0" w:right="0" w:firstLine="0"/>
        <w:jc w:val="both"/>
      </w:pPr>
      <w:r>
        <w:rPr>
          <w:rStyle w:val="CharStyle5"/>
        </w:rPr>
        <w:t>Není-li touto smlouvou ujednáno jinak, řídí se vzájemný právní vztah mezi objednatelem a zhotovitelem při realizaci této smlouvy ustanovením § 2079 a násl. občanského zákoníku, přičemž tato právní úprava má přednost před nepsanými obchodními zvyklostmi. Tímto ujednáním se přitom vylučuje aplikace ust. par. 558 občanského zákoníku na vztah mezi oběma stranami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5"/>
        </w:rPr>
        <w:t>Tato smlouva se uzavírá na základě návrhu na její uzavření ze strany objednatele. Předpokladem uzavření této smlouvy je její písemná forma a dohoda o celém jejím obsahu jak je obsažen v jejích článcích 1 až 23. Objednatel přitom předem vylučuje přijetí tohoto návrhu s dodatkem nebo odchylkou ve smyslu ustanovení § 1740 odst. 3 občanského zákoníku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Obě strany se dohodly, že zaplacením smluvní pokuty podle této smlouvy není nijak dotčeno právo strany na náhradu škody v plné výši. Tímto ujednáním se přitom vylučuje aplikace ust. par. 2050 na vztah mezi oběma stranami podle této smlouvy.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5"/>
        </w:rPr>
        <w:t>20.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rStyle w:val="CharStyle5"/>
        </w:rPr>
        <w:t>Tuto smlouvu lze změnit nebo zrušit pouze jinou písemnou dohodou obou smluvních stran.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center"/>
      </w:pPr>
      <w:r>
        <w:rPr>
          <w:rStyle w:val="CharStyle5"/>
        </w:rPr>
        <w:t>21.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54" w:lineRule="auto"/>
        <w:ind w:left="0" w:right="0" w:firstLine="0"/>
        <w:jc w:val="both"/>
      </w:pPr>
      <w:r>
        <w:rPr>
          <w:rStyle w:val="CharStyle5"/>
        </w:rPr>
        <w:t>Tato smlouva je platná podpisem oběma stranami a nabývá účinnosti dnem jejího uveřejnění v registru smluv podle příslušných ustanovení zákona č. 340/2015 Sb., o registru smluv.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23.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54" w:lineRule="auto"/>
        <w:ind w:left="0" w:right="0" w:firstLine="0"/>
        <w:jc w:val="both"/>
      </w:pPr>
      <w:r>
        <w:rPr>
          <w:rStyle w:val="CharStyle5"/>
        </w:rPr>
        <w:t>Dáno ve dvou originálních písemných vyhotoveních, z nichž každá ze smluvních stran obdrží po jednom.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915" w:right="1555" w:bottom="2174" w:left="1412" w:header="0" w:footer="3" w:gutter="0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4237990</wp:posOffset>
                </wp:positionH>
                <wp:positionV relativeFrom="paragraph">
                  <wp:posOffset>12700</wp:posOffset>
                </wp:positionV>
                <wp:extent cx="774065" cy="173990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0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3.69999999999999pt;margin-top:1.pt;width:60.950000000000003pt;height:13.7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</w:rPr>
        <w:t>V Brně dne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2912110</wp:posOffset>
            </wp:positionH>
            <wp:positionV relativeFrom="margin">
              <wp:posOffset>310515</wp:posOffset>
            </wp:positionV>
            <wp:extent cx="1048385" cy="792480"/>
            <wp:wrapTight wrapText="left">
              <wp:wrapPolygon>
                <wp:start x="0" y="0"/>
                <wp:lineTo x="21600" y="0"/>
                <wp:lineTo x="21600" y="21600"/>
                <wp:lineTo x="15572" y="21600"/>
                <wp:lineTo x="15572" y="19025"/>
                <wp:lineTo x="0" y="19025"/>
                <wp:lineTo x="0" y="0"/>
              </wp:wrapPolygon>
            </wp:wrapTight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48385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MUDr. Hana Albrechtová ředitelka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rFonts w:ascii="Calibri" w:eastAsia="Calibri" w:hAnsi="Calibri" w:cs="Calibri"/>
          <w:b/>
          <w:bCs/>
          <w:sz w:val="24"/>
          <w:szCs w:val="24"/>
        </w:rPr>
        <w:t xml:space="preserve">Objednatel </w:t>
      </w:r>
      <w:r>
        <w:rPr>
          <w:rStyle w:val="CharStyle5"/>
          <w:b/>
          <w:bCs/>
          <w:color w:val="5EB6E6"/>
          <w:w w:val="80"/>
          <w:sz w:val="20"/>
          <w:szCs w:val="20"/>
        </w:rPr>
        <w:t>Zdravotnická záchrann</w:t>
      </w:r>
      <w:r>
        <w:rPr>
          <w:rStyle w:val="CharStyle5"/>
          <w:b/>
          <w:bCs/>
          <w:spacing w:val="22"/>
          <w:w w:val="80"/>
          <w:sz w:val="20"/>
          <w:szCs w:val="20"/>
          <w:shd w:val="clear" w:color="auto" w:fill="000000"/>
        </w:rPr>
        <w:t>..</w:t>
      </w:r>
      <w:r>
        <w:rPr>
          <w:rStyle w:val="CharStyle5"/>
          <w:b/>
          <w:bCs/>
          <w:w w:val="80"/>
          <w:sz w:val="20"/>
          <w:szCs w:val="20"/>
          <w:shd w:val="clear" w:color="auto" w:fill="000000"/>
        </w:rPr>
        <w:t>​</w:t>
      </w:r>
      <w:r>
        <w:rPr>
          <w:rStyle w:val="CharStyle5"/>
          <w:b/>
          <w:bCs/>
          <w:spacing w:val="2"/>
          <w:w w:val="80"/>
          <w:sz w:val="20"/>
          <w:szCs w:val="20"/>
          <w:shd w:val="clear" w:color="auto" w:fill="000000"/>
        </w:rPr>
        <w:t>.......</w:t>
      </w:r>
      <w:r>
        <w:rPr>
          <w:rStyle w:val="CharStyle5"/>
          <w:b/>
          <w:bCs/>
          <w:spacing w:val="3"/>
          <w:w w:val="80"/>
          <w:sz w:val="20"/>
          <w:szCs w:val="20"/>
          <w:shd w:val="clear" w:color="auto" w:fill="000000"/>
        </w:rPr>
        <w:t>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b/>
          <w:bCs/>
          <w:color w:val="5EB6E6"/>
        </w:rPr>
        <w:t>Jihomoravského kraje, p.</w:t>
      </w:r>
      <w:r>
        <w:rPr>
          <w:rStyle w:val="CharStyle3"/>
          <w:b/>
          <w:bCs/>
          <w:color w:val="5EB6E6"/>
          <w:vertAlign w:val="subscript"/>
        </w:rPr>
        <w:t>o</w:t>
      </w:r>
      <w:r>
        <w:rPr>
          <w:rStyle w:val="CharStyle3"/>
          <w:b/>
          <w:bCs/>
          <w:color w:val="5EB6E6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1340" w:right="0" w:firstLine="0"/>
        <w:jc w:val="left"/>
      </w:pPr>
      <w:r>
        <w:rPr>
          <w:rStyle w:val="CharStyle3"/>
          <w:b/>
          <w:bCs/>
          <w:color w:val="5EB6E6"/>
        </w:rPr>
        <w:t>Kamenice 798/1 d, 625 00 Brno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2500" w:right="0" w:firstLine="0"/>
        <w:jc w:val="left"/>
        <w:rPr>
          <w:sz w:val="17"/>
          <w:szCs w:val="17"/>
        </w:rPr>
      </w:pPr>
      <w:r>
        <w:rPr>
          <w:rStyle w:val="CharStyle10"/>
          <w:b/>
          <w:bCs/>
          <w:color w:val="5EB6E6"/>
          <w:sz w:val="17"/>
          <w:szCs w:val="17"/>
        </w:rPr>
        <w:t>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3"/>
          <w:b/>
          <w:bCs/>
        </w:rPr>
        <w:t>Příloha c.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  <w:b/>
          <w:bCs/>
        </w:rPr>
        <w:t>Dokumentace pro provedení stavby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474980" distL="114300" distR="114300" simplePos="0" relativeHeight="125829385" behindDoc="0" locked="0" layoutInCell="1" allowOverlap="1">
            <wp:simplePos x="0" y="0"/>
            <wp:positionH relativeFrom="page">
              <wp:posOffset>4210050</wp:posOffset>
            </wp:positionH>
            <wp:positionV relativeFrom="margin">
              <wp:posOffset>-30480</wp:posOffset>
            </wp:positionV>
            <wp:extent cx="1195070" cy="755650"/>
            <wp:wrapSquare wrapText="left"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195070" cy="7556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27430" distB="0" distL="160020" distR="522605" simplePos="0" relativeHeight="125829386" behindDoc="0" locked="0" layoutInCell="1" allowOverlap="1">
                <wp:simplePos x="0" y="0"/>
                <wp:positionH relativeFrom="page">
                  <wp:posOffset>4255770</wp:posOffset>
                </wp:positionH>
                <wp:positionV relativeFrom="margin">
                  <wp:posOffset>996950</wp:posOffset>
                </wp:positionV>
                <wp:extent cx="737870" cy="201295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5.10000000000002pt;margin-top:78.5pt;width:58.100000000000001pt;height:15.85pt;z-index:-125829367;mso-wrap-distance-left:12.6pt;mso-wrap-distance-top:80.900000000000006pt;mso-wrap-distance-right:41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CharStyle3"/>
          <w:b/>
          <w:bCs/>
        </w:rPr>
        <w:t>Příloha č.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915" w:right="1555" w:bottom="2174" w:left="1412" w:header="487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Zadání objednatele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12" w:name="bookmark12"/>
      <w:r>
        <w:rPr>
          <w:rStyle w:val="CharStyle38"/>
          <w:b/>
          <w:bCs/>
        </w:rPr>
        <w:t>Příloha č. 2 smlouvy</w:t>
      </w:r>
      <w:bookmarkEnd w:id="1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Vybavení výjezdové základny dle požadavků a standardů ZZS na vybavení.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Nutná je koordinace a schvalování v rámci ZZS JmK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Nadstandardní úpravy budovy - podlahové krytiny, vnitřní dveře, kování - dle domluvy města Miroslav a ZZS JmK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Barevné, materiálové a prostorové schéma jednotlivých místností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Moodboard / vzorky materiálů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3D model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Procházka a zhodnocení řešených prostor ve virtuální realitě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Vizualizace interiéru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Příprava výpisu nábytku pro výrobu včetně 3D modelu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CharStyle7"/>
        </w:rPr>
        <w:t>Příprava výpisu nábytku pro nákup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sedací nábytek - pracovní židle hlavní, pracovní židle občasné, jídelní židle, pohovka, křesla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další nábytek - pracovní stoly, jídelní stůl, konferenční stůl, postele, skříňky do šaten, regály do skladů, skříňky na helmy, botník, skladovací skříně, věšáky apod.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elektrospotřebiče - lednice na léky, mikrovlnná trouba, lednice, varná deska, drobné spotřebiče dle požadavků (varná konvice a pod).</w:t>
      </w:r>
    </w:p>
    <w:sectPr>
      <w:footerReference w:type="default" r:id="rId14"/>
      <w:footnotePr>
        <w:pos w:val="pageBottom"/>
        <w:numFmt w:val="decimal"/>
        <w:numRestart w:val="continuous"/>
      </w:footnotePr>
      <w:pgSz w:w="11900" w:h="16840"/>
      <w:pgMar w:top="1477" w:right="1430" w:bottom="1477" w:left="1392" w:header="1049" w:footer="1049" w:gutter="0"/>
      <w:pgNumType w:start="8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9345295</wp:posOffset>
              </wp:positionV>
              <wp:extent cx="106680" cy="10350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8.69999999999999pt;margin-top:735.85000000000002pt;width:8.4000000000000004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22"/>
                        <w:szCs w:val="22"/>
                      </w:rPr>
                      <w:t>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9909175</wp:posOffset>
              </wp:positionV>
              <wp:extent cx="3703320" cy="1187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0332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sz w:val="22"/>
                              <w:szCs w:val="22"/>
                            </w:rPr>
                            <w:t xml:space="preserve">VZ </w:t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22'2022 Projekt interiéru výjezdové základny ZZS JmK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3.650000000000006pt;margin-top:780.25pt;width:291.60000000000002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sz w:val="22"/>
                        <w:szCs w:val="22"/>
                      </w:rPr>
                      <w:t xml:space="preserve">VZ </w:t>
                    </w: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22'2022 Projekt interiéru výjezdové základny ZZS JmK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10106025</wp:posOffset>
              </wp:positionV>
              <wp:extent cx="3703320" cy="1282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033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2$_2022 Projekt interiéru výjezdové základny ZZS JmK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5.299999999999997pt;margin-top:795.75pt;width:291.60000000000002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2$_2022 Projekt interiéru výjezdové základny ZZS JmK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10106025</wp:posOffset>
              </wp:positionV>
              <wp:extent cx="3703320" cy="1282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033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2$_2022 Projekt interiéru výjezdové základny ZZS JmK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5.299999999999997pt;margin-top:795.75pt;width:291.60000000000002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2$_2022 Projekt interiéru výjezdové základny ZZS JmK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9345295</wp:posOffset>
              </wp:positionV>
              <wp:extent cx="186055" cy="10350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0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13"/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16.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6.30000000000001pt;margin-top:735.85000000000002pt;width:14.65pt;height:8.1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3"/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10247630</wp:posOffset>
              </wp:positionV>
              <wp:extent cx="3706495" cy="11874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0649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Courier New" w:eastAsia="Courier New" w:hAnsi="Courier New" w:cs="Courier New"/>
                              <w:b/>
                              <w:bCs/>
                              <w:sz w:val="22"/>
                              <w:szCs w:val="22"/>
                            </w:rPr>
                            <w:t xml:space="preserve">VZ </w:t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9"/>
                              <w:szCs w:val="19"/>
                            </w:rPr>
                            <w:t>2Z_2022 Projekt interiéru výjezdové základny ZZS JmK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3.900000000000006pt;margin-top:806.89999999999998pt;width:291.85000000000002pt;height:9.3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Courier New" w:eastAsia="Courier New" w:hAnsi="Courier New" w:cs="Courier New"/>
                        <w:b/>
                        <w:bCs/>
                        <w:sz w:val="22"/>
                        <w:szCs w:val="22"/>
                      </w:rPr>
                      <w:t xml:space="preserve">VZ </w:t>
                    </w:r>
                    <w:r>
                      <w:rPr>
                        <w:rStyle w:val="CharStyle13"/>
                        <w:rFonts w:ascii="Arial" w:eastAsia="Arial" w:hAnsi="Arial" w:cs="Arial"/>
                        <w:b/>
                        <w:bCs/>
                        <w:i/>
                        <w:iCs/>
                        <w:sz w:val="19"/>
                        <w:szCs w:val="19"/>
                      </w:rPr>
                      <w:t>2Z_2022 Projekt interiéru výjezdové základny ZZS JmK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955040</wp:posOffset>
              </wp:positionH>
              <wp:positionV relativeFrom="page">
                <wp:posOffset>9947275</wp:posOffset>
              </wp:positionV>
              <wp:extent cx="3709670" cy="11557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0967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sz w:val="22"/>
                              <w:szCs w:val="22"/>
                            </w:rPr>
                            <w:t xml:space="preserve">\/Z </w:t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27_2022 Projekt interiéru výjezdové základny ZZS JmK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5.200000000000003pt;margin-top:783.25pt;width:292.10000000000002pt;height:9.09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sz w:val="22"/>
                        <w:szCs w:val="22"/>
                      </w:rPr>
                      <w:t xml:space="preserve">\/Z </w:t>
                    </w: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27_2022 Projekt interiéru výjezdové základny ZZS JmK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0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7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Nadpis #1_"/>
    <w:basedOn w:val="DefaultParagraphFont"/>
    <w:link w:val="Style3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6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spacing w:line="233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  <w:spacing w:after="26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7">
    <w:name w:val="Nadpis #1"/>
    <w:basedOn w:val="Normal"/>
    <w:link w:val="CharStyle38"/>
    <w:pPr>
      <w:widowControl w:val="0"/>
      <w:shd w:val="clear" w:color="auto" w:fill="auto"/>
      <w:spacing w:after="260" w:line="216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1.pn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footer" Target="footer5.xml"/><Relationship Id="rId14" Type="http://schemas.openxmlformats.org/officeDocument/2006/relationships/footer" Target="footer6.xml"/></Relationships>
</file>