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BC5B41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3679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BC5B4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73026/A/2022-HMU2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BC5B4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UZSVM/A/40527/2022-HMU2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0C208A" w:rsidRDefault="00BC5B41" w:rsidP="000C2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Rašínovo nábřeží 390/42, 128 00 Nové </w:t>
      </w:r>
      <w:r>
        <w:rPr>
          <w:rFonts w:ascii="Arial" w:hAnsi="Arial" w:cs="Arial"/>
          <w:sz w:val="22"/>
          <w:szCs w:val="22"/>
        </w:rPr>
        <w:t>Město, Praha 2</w:t>
      </w:r>
    </w:p>
    <w:p w:rsidR="000C208A" w:rsidRDefault="00BC5B41" w:rsidP="000C2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Mgr. Ivana Kubíčková, ředitelka odboru Hospodaření s majetkem státu Územního pracoviště v hl. m. Praze na základě Příkazu generálního ředitele č. 6/2019, v platném znění</w:t>
      </w:r>
    </w:p>
    <w:p w:rsidR="000C208A" w:rsidRDefault="00BC5B41" w:rsidP="000C208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0C208A" w:rsidRDefault="00BC5B41" w:rsidP="000C20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(dále jen „pronajímatel“)</w:t>
      </w:r>
    </w:p>
    <w:p w:rsidR="000C208A" w:rsidRDefault="00BC5B41" w:rsidP="000C208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C208A" w:rsidRDefault="00BC5B41" w:rsidP="000C20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SIRENA FILM, s.r.o.</w:t>
      </w:r>
    </w:p>
    <w:p w:rsidR="000C208A" w:rsidRDefault="00BC5B41" w:rsidP="000C208A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Rašínovo nábřeží 42/6, Vyšehrad, 128 00 Praha 2 </w:t>
      </w:r>
    </w:p>
    <w:p w:rsidR="000C208A" w:rsidRDefault="00BC5B41" w:rsidP="000C208A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61461075</w:t>
      </w:r>
    </w:p>
    <w:p w:rsidR="000C208A" w:rsidRDefault="00BC5B41" w:rsidP="000C208A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="00A36E35">
        <w:rPr>
          <w:rFonts w:ascii="Arial" w:hAnsi="Arial" w:cs="Arial"/>
          <w:sz w:val="22"/>
          <w:szCs w:val="22"/>
        </w:rPr>
        <w:t>Pavlem Müllerem, jednatelem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0CF1" w:rsidRDefault="00BC5B41" w:rsidP="000C208A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Městským soudem v Praze oddíl C, vložka 28360</w:t>
      </w:r>
    </w:p>
    <w:p w:rsidR="000C208A" w:rsidRDefault="00BC5B41" w:rsidP="000C208A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:rsidR="000C208A" w:rsidRDefault="000C208A" w:rsidP="000C208A">
      <w:pPr>
        <w:rPr>
          <w:rFonts w:ascii="Arial" w:hAnsi="Arial" w:cs="Arial"/>
          <w:sz w:val="18"/>
          <w:szCs w:val="18"/>
        </w:rPr>
      </w:pPr>
    </w:p>
    <w:p w:rsidR="000C208A" w:rsidRDefault="00BC5B41" w:rsidP="000C208A">
      <w:pPr>
        <w:pStyle w:val="Zklad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z</w:t>
      </w:r>
      <w:r>
        <w:rPr>
          <w:rFonts w:ascii="Arial" w:hAnsi="Arial" w:cs="Arial"/>
          <w:sz w:val="22"/>
          <w:szCs w:val="22"/>
        </w:rPr>
        <w:t xml:space="preserve">ákona č. 89/2012 Sb., občanský zákoník, a podle zákona č. 219/2000 Sb., o majetku České republiky a jejím vystupování v právních vztazích, ve znění pozdějších předpisů (dále jen „zákon č. 219/2000 Sb.“) tuto </w:t>
      </w:r>
    </w:p>
    <w:p w:rsidR="000C208A" w:rsidRDefault="000C208A" w:rsidP="000C208A">
      <w:pPr>
        <w:pStyle w:val="Zkladntext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SMLOUVU</w:t>
      </w:r>
    </w:p>
    <w:p w:rsidR="000C208A" w:rsidRDefault="00BC5B41" w:rsidP="000C208A">
      <w:pPr>
        <w:pStyle w:val="pa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NÁJMU NEMOVITÝCH VĚ</w:t>
      </w:r>
      <w:r>
        <w:rPr>
          <w:rFonts w:ascii="Arial" w:hAnsi="Arial" w:cs="Arial"/>
          <w:sz w:val="28"/>
          <w:szCs w:val="28"/>
        </w:rPr>
        <w:t xml:space="preserve">CÍ ZA ÚČELEM NATÁČENÍ </w:t>
      </w:r>
    </w:p>
    <w:p w:rsidR="000C208A" w:rsidRPr="00765D35" w:rsidRDefault="00BC5B41" w:rsidP="000C208A">
      <w:pPr>
        <w:pStyle w:val="pa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č. </w:t>
      </w:r>
      <w:r w:rsidRPr="00765D35">
        <w:rPr>
          <w:rFonts w:ascii="Arial" w:hAnsi="Arial" w:cs="Arial"/>
          <w:sz w:val="28"/>
          <w:szCs w:val="28"/>
        </w:rPr>
        <w:t>UZSVM/A/40527/2022-HMU2</w:t>
      </w:r>
    </w:p>
    <w:p w:rsidR="000C208A" w:rsidRPr="00765D35" w:rsidRDefault="000C208A" w:rsidP="000C208A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8"/>
          <w:szCs w:val="28"/>
        </w:rPr>
      </w:pPr>
    </w:p>
    <w:p w:rsidR="000C208A" w:rsidRDefault="000C208A" w:rsidP="000C208A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:rsidR="000C208A" w:rsidRDefault="00BC5B41" w:rsidP="000C208A">
      <w:pPr>
        <w:pStyle w:val="Zkladntext"/>
        <w:widowControl w:val="0"/>
        <w:numPr>
          <w:ilvl w:val="0"/>
          <w:numId w:val="1"/>
        </w:numPr>
        <w:tabs>
          <w:tab w:val="center" w:pos="4536"/>
          <w:tab w:val="left" w:pos="5222"/>
        </w:tabs>
        <w:autoSpaceDE/>
        <w:spacing w:after="120"/>
        <w:ind w:left="425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pozemku parc. č. </w:t>
      </w:r>
      <w:r>
        <w:rPr>
          <w:rFonts w:ascii="Arial" w:hAnsi="Arial" w:cs="Arial"/>
          <w:bCs/>
          <w:color w:val="000000"/>
          <w:sz w:val="22"/>
          <w:szCs w:val="22"/>
        </w:rPr>
        <w:t>510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zastavěná plocha a nádvoří, pam. rezervace jehož součástí je stavba č.p. 997, Nové Město, jiná stavba, stavba stojí                na pozemku parc. č. 510, způsob ochrany: chráněná značka geodet. bodu, nemovitá kulturní památka, památkově chráněné území,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katastrálním území Nové Město (dále jen „nemovité věci“). </w:t>
      </w:r>
    </w:p>
    <w:p w:rsidR="000C208A" w:rsidRDefault="00BC5B41" w:rsidP="000C208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se stavbou jsou zapsány v katastru nemovitostí na listu vlastnictví 60000 vedeném Katastrálním úřadem pro hlavní město Prahu, Katastrálním pracovištěm Praha                    pro katastr</w:t>
      </w:r>
      <w:r>
        <w:rPr>
          <w:rFonts w:ascii="Arial" w:hAnsi="Arial" w:cs="Arial"/>
          <w:sz w:val="22"/>
          <w:szCs w:val="22"/>
        </w:rPr>
        <w:t>ální území Nové Město, obec Praha.</w:t>
      </w:r>
    </w:p>
    <w:p w:rsidR="000C208A" w:rsidRDefault="00BC5B41" w:rsidP="000C208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C208A" w:rsidRDefault="00BC5B41" w:rsidP="000C20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Úřad   pro  zastupování  státu  ve   věcech   majetkových   je   na   základě   Zápisu  o  změně </w:t>
      </w:r>
    </w:p>
    <w:p w:rsidR="000C208A" w:rsidRDefault="00BC5B41" w:rsidP="000C2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příslušnosti  hospodařit  s majetkem   státu   č. j.  MF-34809/2015/1301  ze  dne  23.  9.  2015             </w:t>
      </w:r>
    </w:p>
    <w:p w:rsidR="000C208A" w:rsidRDefault="00BC5B41" w:rsidP="000C2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příslušný  s  nemovitými  věcmi  dle  odst. 1. hospodařit,  a ve smyslu § 9 zákona č. 219/2000 </w:t>
      </w:r>
    </w:p>
    <w:p w:rsidR="000C208A" w:rsidRDefault="00BC5B41" w:rsidP="000C208A">
      <w:p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Sb., příslušný hospodařit.</w:t>
      </w:r>
    </w:p>
    <w:p w:rsidR="000C208A" w:rsidRDefault="000C208A" w:rsidP="000C208A">
      <w:pPr>
        <w:pStyle w:val="Zkladntext"/>
        <w:widowControl w:val="0"/>
        <w:autoSpaceDE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0C208A" w:rsidRDefault="00BC5B41" w:rsidP="000C208A">
      <w:pPr>
        <w:pStyle w:val="para"/>
        <w:numPr>
          <w:ilvl w:val="3"/>
          <w:numId w:val="1"/>
        </w:numPr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Pronajímatel výše uvedené nemovité věci podle </w:t>
      </w:r>
      <w:r>
        <w:rPr>
          <w:rFonts w:ascii="Arial" w:hAnsi="Arial" w:cs="Arial"/>
          <w:b w:val="0"/>
          <w:sz w:val="22"/>
          <w:szCs w:val="22"/>
        </w:rPr>
        <w:t>rozhodnutí o nepotřebnosti vydaného podle § 14 odst. 7 zák. č. 219</w:t>
      </w:r>
      <w:r>
        <w:rPr>
          <w:rFonts w:ascii="Arial" w:hAnsi="Arial" w:cs="Arial"/>
          <w:b w:val="0"/>
          <w:sz w:val="22"/>
          <w:szCs w:val="22"/>
        </w:rPr>
        <w:t>/2000 Sb. dne 3. 11. 2015 pod č. j. UZSMV/A/47785/2015-HMU2 a dne dne 13. 1. 2021 pod č. j. UZSVM/A/647/2021-HMU2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nepotřebuje k plnění funkcí státu nebo jiných úkolů v rámci své působnosti ve smyslu ustanovení § 27 odst. 1 zákona č. 219/2000 Sb.</w:t>
      </w:r>
    </w:p>
    <w:p w:rsidR="000C208A" w:rsidRDefault="000C208A" w:rsidP="000C208A">
      <w:pPr>
        <w:pStyle w:val="para"/>
        <w:tabs>
          <w:tab w:val="left" w:pos="426"/>
        </w:tabs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0C208A" w:rsidRDefault="000C208A" w:rsidP="000C208A">
      <w:pPr>
        <w:pStyle w:val="para"/>
        <w:tabs>
          <w:tab w:val="left" w:pos="426"/>
        </w:tabs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0C208A" w:rsidRDefault="00BC5B41" w:rsidP="000C208A">
      <w:pPr>
        <w:pStyle w:val="para"/>
        <w:tabs>
          <w:tab w:val="left" w:pos="426"/>
        </w:tabs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>-1-</w:t>
      </w:r>
    </w:p>
    <w:p w:rsidR="000C208A" w:rsidRDefault="000C208A" w:rsidP="000C208A">
      <w:pPr>
        <w:pStyle w:val="para"/>
        <w:tabs>
          <w:tab w:val="left" w:pos="426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0C208A" w:rsidRDefault="000C208A" w:rsidP="000C208A">
      <w:pPr>
        <w:pStyle w:val="para"/>
        <w:tabs>
          <w:tab w:val="left" w:pos="426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0C208A" w:rsidRDefault="000C208A" w:rsidP="000C208A">
      <w:pPr>
        <w:pStyle w:val="para"/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:rsidR="00765D35" w:rsidRDefault="00765D35" w:rsidP="000C208A">
      <w:pPr>
        <w:pStyle w:val="para"/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:rsidR="000C208A" w:rsidRDefault="00BC5B41" w:rsidP="000C208A">
      <w:pPr>
        <w:pStyle w:val="para"/>
        <w:numPr>
          <w:ilvl w:val="3"/>
          <w:numId w:val="1"/>
        </w:numPr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Pronajímatel se touto smlouvou zavazuje přenechat nájemci nemovité věci uvedené v Čl. I. k dočasnému užívání za účelem natáčení </w:t>
      </w:r>
      <w:r w:rsidR="00FD0CF1">
        <w:rPr>
          <w:rFonts w:ascii="Arial" w:hAnsi="Arial" w:cs="Arial"/>
          <w:b w:val="0"/>
          <w:sz w:val="22"/>
          <w:szCs w:val="22"/>
        </w:rPr>
        <w:t xml:space="preserve">anglického filmu </w:t>
      </w:r>
      <w:r>
        <w:rPr>
          <w:rFonts w:ascii="Arial" w:hAnsi="Arial" w:cs="Arial"/>
          <w:b w:val="0"/>
          <w:sz w:val="22"/>
          <w:szCs w:val="22"/>
        </w:rPr>
        <w:t>„One Life“ a nájemce se zavazuje zaplatit za to pronajímateli nájemné a užívat pronajaté nemovité věci jako řád</w:t>
      </w:r>
      <w:r>
        <w:rPr>
          <w:rFonts w:ascii="Arial" w:hAnsi="Arial" w:cs="Arial"/>
          <w:b w:val="0"/>
          <w:sz w:val="22"/>
          <w:szCs w:val="22"/>
        </w:rPr>
        <w:t xml:space="preserve">ný hospodář k ujednanému účelu. Nájemce bere na vědomí, že předmětem pronájmu jsou nemovité věci, které jsou nemovitou kulturní památkou. </w:t>
      </w:r>
    </w:p>
    <w:p w:rsidR="000C208A" w:rsidRDefault="000C208A" w:rsidP="000C208A">
      <w:pPr>
        <w:pStyle w:val="para"/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:rsidR="000C208A" w:rsidRDefault="00BC5B41" w:rsidP="000C208A">
      <w:pPr>
        <w:pStyle w:val="Zkladntext"/>
        <w:numPr>
          <w:ilvl w:val="0"/>
          <w:numId w:val="1"/>
        </w:numPr>
        <w:tabs>
          <w:tab w:val="left" w:pos="426"/>
        </w:tabs>
        <w:spacing w:after="120"/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prohlašuje, že je mu stav pronajatých nemovitých věcí dobře znám, neboť si je prohlédl před uzavřením této s</w:t>
      </w:r>
      <w:r>
        <w:rPr>
          <w:rFonts w:ascii="Arial" w:hAnsi="Arial" w:cs="Arial"/>
          <w:sz w:val="22"/>
          <w:szCs w:val="22"/>
        </w:rPr>
        <w:t xml:space="preserve">mlouvy a potvrzuje, že jsou ve stavu způsobilém pro účel sjednaném dle této smlouvy a že jej pronajímatel seznámil s pravidly, která je třeba              při užívání pronajatých nemovitých věcí zachovávat (zejména s  návody a technickými normami). </w:t>
      </w:r>
    </w:p>
    <w:p w:rsidR="000C208A" w:rsidRDefault="00BC5B41" w:rsidP="000C208A">
      <w:pPr>
        <w:pStyle w:val="Zkladntext"/>
        <w:numPr>
          <w:ilvl w:val="0"/>
          <w:numId w:val="1"/>
        </w:numPr>
        <w:tabs>
          <w:tab w:val="left" w:pos="426"/>
        </w:tabs>
        <w:spacing w:after="120"/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fakt</w:t>
      </w:r>
      <w:r>
        <w:rPr>
          <w:rFonts w:ascii="Arial" w:hAnsi="Arial" w:cs="Arial"/>
          <w:sz w:val="22"/>
          <w:szCs w:val="22"/>
        </w:rPr>
        <w:t xml:space="preserve">ickém předání a převzetí pronajaté věci na počátku nájmu bude smluvními stranami sepsán protokol o předání převzetí, ve kterém bude uveden stav pronajatých nemovitých věcí. </w:t>
      </w:r>
    </w:p>
    <w:p w:rsidR="000C208A" w:rsidRDefault="00BC5B41" w:rsidP="000C208A">
      <w:pPr>
        <w:pStyle w:val="Zkladntext"/>
        <w:numPr>
          <w:ilvl w:val="0"/>
          <w:numId w:val="1"/>
        </w:numPr>
        <w:tabs>
          <w:tab w:val="left" w:pos="426"/>
        </w:tabs>
        <w:spacing w:after="120"/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odevzdá nájemci věci v ujednané době. Pronajímatel odevzdá nájemci ne</w:t>
      </w:r>
      <w:r>
        <w:rPr>
          <w:rFonts w:ascii="Arial" w:hAnsi="Arial" w:cs="Arial"/>
          <w:sz w:val="22"/>
          <w:szCs w:val="22"/>
        </w:rPr>
        <w:t>movité věci se vším, co je třeba k řádnému užívání věci.</w:t>
      </w:r>
    </w:p>
    <w:p w:rsidR="000C208A" w:rsidRDefault="000C208A" w:rsidP="000C208A">
      <w:pPr>
        <w:pStyle w:val="Zkladntext"/>
        <w:tabs>
          <w:tab w:val="left" w:pos="426"/>
        </w:tabs>
        <w:spacing w:after="120"/>
        <w:ind w:left="426"/>
        <w:rPr>
          <w:rFonts w:ascii="Arial" w:hAnsi="Arial" w:cs="Arial"/>
          <w:i/>
          <w:sz w:val="22"/>
          <w:szCs w:val="22"/>
        </w:rPr>
      </w:pPr>
    </w:p>
    <w:p w:rsidR="000C208A" w:rsidRDefault="00BC5B41" w:rsidP="000C208A">
      <w:pPr>
        <w:pStyle w:val="Zkladntext"/>
        <w:spacing w:after="120"/>
        <w:ind w:left="426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0C208A" w:rsidRDefault="00BC5B41" w:rsidP="000C208A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Nájemné za pronajaté nemovité věci uvedené v Čl. I. této smlouvy se sjednává ve smyslu      § 27 odst. 3 zákona č. 219/2000 Sb. </w:t>
      </w:r>
      <w:r>
        <w:rPr>
          <w:rFonts w:ascii="Arial" w:hAnsi="Arial" w:cs="Arial"/>
          <w:b/>
          <w:sz w:val="22"/>
          <w:szCs w:val="22"/>
        </w:rPr>
        <w:t>ve výši 387 500,- Kč (slovy: třistaosmdesátsedmtisícpětset ko</w:t>
      </w:r>
      <w:r>
        <w:rPr>
          <w:rFonts w:ascii="Arial" w:hAnsi="Arial" w:cs="Arial"/>
          <w:b/>
          <w:sz w:val="22"/>
          <w:szCs w:val="22"/>
        </w:rPr>
        <w:t xml:space="preserve">run českých). </w:t>
      </w:r>
    </w:p>
    <w:p w:rsidR="000C208A" w:rsidRDefault="00BC5B41" w:rsidP="000C208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je splatné bezhotovostně na účet pronajímatele </w:t>
      </w:r>
      <w:r>
        <w:rPr>
          <w:rFonts w:ascii="Arial" w:hAnsi="Arial" w:cs="Arial"/>
          <w:b/>
          <w:sz w:val="22"/>
          <w:szCs w:val="22"/>
        </w:rPr>
        <w:t xml:space="preserve">č.: </w:t>
      </w:r>
      <w:proofErr w:type="spellStart"/>
      <w:r>
        <w:rPr>
          <w:rFonts w:ascii="Arial" w:hAnsi="Arial" w:cs="Arial"/>
          <w:b/>
          <w:sz w:val="22"/>
          <w:szCs w:val="22"/>
        </w:rPr>
        <w:t>xxxxxxxxxxxxx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variabilní symbol </w:t>
      </w:r>
      <w:r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Úhradu nájemného se zavazuje nájemce zaplatit nejpozději     do </w:t>
      </w:r>
      <w:r w:rsidR="00FD0C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5. 9. 2022</w:t>
      </w:r>
      <w:r>
        <w:rPr>
          <w:rFonts w:ascii="Arial" w:hAnsi="Arial" w:cs="Arial"/>
          <w:sz w:val="22"/>
          <w:szCs w:val="22"/>
        </w:rPr>
        <w:t xml:space="preserve"> na základě zaslané faktury. Zaplacením se podle této smlouvy rozumí připsání příslušné částky na bankovní účet příjemce platby.</w:t>
      </w:r>
    </w:p>
    <w:p w:rsidR="000C208A" w:rsidRDefault="00BC5B41" w:rsidP="000C208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nájemném není zahrnuta úhrada za případná plnění poskytovaná s užíváním pronajatých pronajatých věcí, zejména dodávky </w:t>
      </w:r>
      <w:r>
        <w:rPr>
          <w:rFonts w:ascii="Arial" w:hAnsi="Arial" w:cs="Arial"/>
          <w:sz w:val="22"/>
          <w:szCs w:val="22"/>
        </w:rPr>
        <w:t>elektrické energie, vody, teplé užitkové vody a odvod odpadních vod, které si nájemce bude zajišťovat sám vlastním nákladem i úsilím a svým jménem.</w:t>
      </w:r>
    </w:p>
    <w:p w:rsidR="000C208A" w:rsidRDefault="00BC5B41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0C208A" w:rsidRDefault="00BC5B41" w:rsidP="000C208A">
      <w:pPr>
        <w:pStyle w:val="Zkladntex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nájmu se sjednává na dobu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="00FD0CF1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. 9. 202</w:t>
      </w:r>
      <w:r w:rsidR="00FD0CF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do </w:t>
      </w:r>
      <w:r w:rsidR="00FD0CF1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FD0CF1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 202</w:t>
      </w:r>
      <w:r w:rsidR="00FD0CF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(tj. natáčení včetně přípravy a likvida</w:t>
      </w:r>
      <w:r>
        <w:rPr>
          <w:rFonts w:ascii="Arial" w:hAnsi="Arial" w:cs="Arial"/>
          <w:sz w:val="22"/>
          <w:szCs w:val="22"/>
        </w:rPr>
        <w:t xml:space="preserve">ce). </w:t>
      </w:r>
    </w:p>
    <w:p w:rsidR="000C208A" w:rsidRDefault="000C208A" w:rsidP="000C208A">
      <w:pPr>
        <w:pStyle w:val="Zkladntext"/>
        <w:spacing w:after="24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V.</w:t>
      </w:r>
    </w:p>
    <w:p w:rsidR="000C208A" w:rsidRDefault="00BC5B41" w:rsidP="000C208A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v rámci užívání předmětu nájmu oprávněn pro účely natáčení provádět úpravy, o kterých je pronajímatel informován. </w:t>
      </w:r>
    </w:p>
    <w:p w:rsidR="000C208A" w:rsidRDefault="000C208A" w:rsidP="000C208A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VI.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je povinen umožnit nájemci užívat nemovité věci k ujednanému účelu a v dohodnutém termínu.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onajímatel je povinen zajistit nájemci nerušené užívání pronajatých nemovitých věcí           po dobu trvání nájmu. </w:t>
      </w:r>
    </w:p>
    <w:p w:rsidR="000C208A" w:rsidRDefault="000C208A" w:rsidP="000C208A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Zkladntext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-2-</w:t>
      </w:r>
    </w:p>
    <w:p w:rsidR="000C208A" w:rsidRDefault="000C208A" w:rsidP="000C208A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užívat pronajaté nemovité věci pouze k ujednanému účelu (Čl. II. odst. 2.), vycházejícímu z jejich povahy a stav</w:t>
      </w:r>
      <w:r>
        <w:rPr>
          <w:rFonts w:ascii="Arial" w:hAnsi="Arial" w:cs="Arial"/>
          <w:sz w:val="22"/>
          <w:szCs w:val="22"/>
        </w:rPr>
        <w:t>ebního určení tak, aby nedocházelo k jejich poškození nebo opotřebení nad míru přiměřenou poměrům a okolnostem. Pronajaté nemovité věci nesmí být využívány k výrobě, manipulaci a skladování výbušnin, prudce hořlavých materiálů, jedů, drog a dalším činnoste</w:t>
      </w:r>
      <w:r>
        <w:rPr>
          <w:rFonts w:ascii="Arial" w:hAnsi="Arial" w:cs="Arial"/>
          <w:sz w:val="22"/>
          <w:szCs w:val="22"/>
        </w:rPr>
        <w:t xml:space="preserve">m, které ohrožují nebo negativně působí na životní prostředí (zejména prašností, hlukem nebo exhalacemi). </w:t>
      </w:r>
    </w:p>
    <w:p w:rsidR="000C208A" w:rsidRDefault="00BC5B41" w:rsidP="000C208A">
      <w:pPr>
        <w:pStyle w:val="Zkladntext"/>
        <w:spacing w:after="120"/>
        <w:ind w:lef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nemá právo provozovat jinou činnost</w:t>
      </w:r>
      <w:r>
        <w:rPr>
          <w:rFonts w:ascii="Arial" w:hAnsi="Arial" w:cs="Arial"/>
          <w:sz w:val="22"/>
          <w:szCs w:val="22"/>
        </w:rPr>
        <w:t xml:space="preserve"> nebo změnit způsob nebo podmínky jejího výkonu, než jak je uvedeno v Čl. II. odst. 2. Nájemce bere na vědomí, že předmět nájmu není pojištěn a pronajímatel nemá odpovědnost za škody vzniklé na věcech vnesených                  do předmětu nájmu.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</w:t>
      </w:r>
      <w:r>
        <w:rPr>
          <w:rFonts w:ascii="Arial" w:hAnsi="Arial" w:cs="Arial"/>
          <w:sz w:val="22"/>
          <w:szCs w:val="22"/>
        </w:rPr>
        <w:t xml:space="preserve">e povinen oznámit pronajímateli poškození, popř. vadu pronajatých nemovitých věcí, kterou zjistil (popř. měl a mohl při řádné péči zjistit). 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neodpovídá za vady, o kterých v době uzavření nájemní smlouvy strany věděly a které nebrání užívání v</w:t>
      </w:r>
      <w:r>
        <w:rPr>
          <w:rFonts w:ascii="Arial" w:hAnsi="Arial" w:cs="Arial"/>
          <w:sz w:val="22"/>
          <w:szCs w:val="22"/>
        </w:rPr>
        <w:t>ěcí k účelu nájmu (např. není k dispozici voda, v předmětu nájmu nefunguje osvětlení a jsou zde nerovné povrchy podlah).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není oprávněn přenechat předmět nájmu třetí osobě.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umožnit pronajímateli na jeho žádost vstup na pronajaté n</w:t>
      </w:r>
      <w:r>
        <w:rPr>
          <w:rFonts w:ascii="Arial" w:hAnsi="Arial" w:cs="Arial"/>
          <w:sz w:val="22"/>
          <w:szCs w:val="22"/>
        </w:rPr>
        <w:t xml:space="preserve">emovité věci, zejména za účelem kontroly dodržování podmínek této smlouvy. 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organizaci a zajištění požární ochrany, bezpečnosti a ochrany zdraví při práci, ochrany životního prostředí a hygieny v souladu s platnými předpisy odpovídá v pronajatých nemovi</w:t>
      </w:r>
      <w:r>
        <w:rPr>
          <w:rFonts w:ascii="Arial" w:hAnsi="Arial" w:cs="Arial"/>
          <w:sz w:val="22"/>
          <w:szCs w:val="22"/>
        </w:rPr>
        <w:t xml:space="preserve">tých věcech nájemce. Pronajímatel je oprávněn dodržování platných předpisů v pronajatých nemovitých věcech kontrolovat. 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chránit po celou dobu sjednanou touto nájemní smlouvou předmět nájmu před poškozením a odpovídá za případně vzniklé </w:t>
      </w:r>
      <w:r>
        <w:rPr>
          <w:rFonts w:ascii="Arial" w:hAnsi="Arial" w:cs="Arial"/>
          <w:sz w:val="22"/>
          <w:szCs w:val="22"/>
        </w:rPr>
        <w:t>škody na předmětu nájmu. Nájemce se zavazuje, dojde-li i přes zvýšenou opatrnost k poškození předmětu nájmu, vzniklou škodu v plném rozsahu nahradit, přičemž je oprávněn k tomu využít svého pojistného plnění            od pojišťovny, případně tuto škodu od</w:t>
      </w:r>
      <w:r>
        <w:rPr>
          <w:rFonts w:ascii="Arial" w:hAnsi="Arial" w:cs="Arial"/>
          <w:sz w:val="22"/>
          <w:szCs w:val="22"/>
        </w:rPr>
        <w:t>stranit na vlastní náklady.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stejně tak povinen pečovat o to, aby na předmětu nájmu nevznikla škoda na zdraví, majetku, přírodě a životním prostředí a přebírá za případné vzniklé škody odpovědnost.</w:t>
      </w:r>
    </w:p>
    <w:p w:rsidR="000C208A" w:rsidRDefault="00BC5B41" w:rsidP="000C208A">
      <w:pPr>
        <w:pStyle w:val="Zkladntext"/>
        <w:numPr>
          <w:ilvl w:val="0"/>
          <w:numId w:val="3"/>
        </w:numPr>
        <w:spacing w:after="24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charakter účelu, ke kterému bude ná</w:t>
      </w:r>
      <w:r>
        <w:rPr>
          <w:rFonts w:ascii="Arial" w:hAnsi="Arial" w:cs="Arial"/>
          <w:sz w:val="22"/>
          <w:szCs w:val="22"/>
        </w:rPr>
        <w:t>jemce předmět nájmu užívat, se nájemce zavazuje, že po celou dobu natáčení bude na místě předmětu nájmu přítomen buď on sám, nebo jím pověřená osoba,</w:t>
      </w:r>
      <w:r>
        <w:t xml:space="preserve"> </w:t>
      </w:r>
      <w:r>
        <w:rPr>
          <w:rFonts w:ascii="Arial" w:hAnsi="Arial" w:cs="Arial"/>
          <w:sz w:val="22"/>
          <w:szCs w:val="22"/>
        </w:rPr>
        <w:t>která bude organizovat a zabezpečovat kontrolu vstupu a vjezdu do pronajaté nemovité věci po dobu pronájmu</w:t>
      </w:r>
      <w:r>
        <w:rPr>
          <w:rFonts w:ascii="Arial" w:hAnsi="Arial" w:cs="Arial"/>
          <w:sz w:val="22"/>
          <w:szCs w:val="22"/>
        </w:rPr>
        <w:t>.</w:t>
      </w:r>
    </w:p>
    <w:p w:rsidR="000C208A" w:rsidRDefault="00BC5B41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VII.</w:t>
      </w:r>
    </w:p>
    <w:p w:rsidR="000C208A" w:rsidRDefault="00BC5B41" w:rsidP="000C208A">
      <w:pPr>
        <w:pStyle w:val="Odstavecseseznamem"/>
        <w:numPr>
          <w:ilvl w:val="0"/>
          <w:numId w:val="4"/>
        </w:numPr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skončí uplynutím doby, na kterou byl ujednán. Do doby faktického předání pronajaté nemovité věci pronajímateli odpovídá nájemce za všechny vzniklé škody na předmětu nájmu   a má povinnost je v plném rozsahu nahradit.</w:t>
      </w:r>
    </w:p>
    <w:p w:rsidR="000C208A" w:rsidRDefault="00BC5B41" w:rsidP="000C208A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je možné ukončit</w:t>
      </w:r>
      <w:r>
        <w:rPr>
          <w:rFonts w:ascii="Arial" w:hAnsi="Arial" w:cs="Arial"/>
          <w:sz w:val="22"/>
          <w:szCs w:val="22"/>
        </w:rPr>
        <w:t xml:space="preserve"> dohodou smluvních stran.</w:t>
      </w:r>
    </w:p>
    <w:p w:rsidR="000C208A" w:rsidRDefault="000C208A" w:rsidP="000C208A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vztah lze ukončit výpovědí bez udání důvodu. S ohledem na dobu nájmu se smluvní stran dohodly, že výpovědní doba činí dva dny a počne běžet prvním dnem následujícím po doručení písemné výpovědi druhé smluvní straně. V pří</w:t>
      </w:r>
      <w:r>
        <w:rPr>
          <w:rFonts w:ascii="Arial" w:hAnsi="Arial" w:cs="Arial"/>
          <w:sz w:val="22"/>
          <w:szCs w:val="22"/>
        </w:rPr>
        <w:t>padě, že přestanou být plněny podmínky podle ustanovení § 27 odst. 1 zákona č. 219/2000 Sb. je pronajímatel oprávněn nájem ukončit okamžitě. Okamžité ukončení nájemního vztahu je účinné dnem doručení oznámení nájemci.</w:t>
      </w:r>
    </w:p>
    <w:p w:rsidR="000C208A" w:rsidRDefault="000C208A" w:rsidP="000C208A">
      <w:pPr>
        <w:pStyle w:val="Odstavecseseznamem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pStyle w:val="Odstavecseseznamem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FD0CF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-3-</w:t>
      </w: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Zkladntext"/>
        <w:numPr>
          <w:ilvl w:val="0"/>
          <w:numId w:val="4"/>
        </w:numPr>
        <w:autoSpaceDE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</w:t>
      </w:r>
      <w:r>
        <w:rPr>
          <w:rFonts w:ascii="Arial" w:hAnsi="Arial" w:cs="Arial"/>
          <w:sz w:val="22"/>
          <w:szCs w:val="22"/>
        </w:rPr>
        <w:t xml:space="preserve">výslovně dohodly na vyloučení opětovného uzavření této smlouvy podle     § 2230 zákona č. 89/2012 Sb., a ujednávají si, že nájem bez ohledu na aktivitu pronajímatele končí ke sjednanému datu a případné další užívání nemovité věci nájemcem nebude pokládáno </w:t>
      </w:r>
      <w:r>
        <w:rPr>
          <w:rFonts w:ascii="Arial" w:hAnsi="Arial" w:cs="Arial"/>
          <w:sz w:val="22"/>
          <w:szCs w:val="22"/>
        </w:rPr>
        <w:t xml:space="preserve">za opětovné uzavření této smlouvy. Toto ujednání zároveň pokládají za sdělení     o ukončení nájmu dle odst. 2. citovaného ustanovení ke sjednanému datu </w:t>
      </w:r>
      <w:r>
        <w:rPr>
          <w:rFonts w:ascii="Arial" w:hAnsi="Arial" w:cs="Arial"/>
          <w:sz w:val="22"/>
          <w:szCs w:val="22"/>
        </w:rPr>
        <w:br/>
        <w:t xml:space="preserve">a případné další užívání nemovité věci nájemcem nebude pokládáno za opětovné uzavření této smlouvy. </w:t>
      </w:r>
    </w:p>
    <w:p w:rsidR="000C208A" w:rsidRDefault="000C208A" w:rsidP="000C208A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Užívá-li nájemce nemovitou věc takovým způsobem, že dochází k opotřebování nad míru přiměřenou poměrům a okolnostem nebo že hrozí poškození nemovitých věcí, popř. užívá-li nájemce nemovité věci k jinému, než sjednanému účelu, vyzve ho pronajímatel, aby nem</w:t>
      </w:r>
      <w:r>
        <w:rPr>
          <w:rFonts w:ascii="Arial" w:hAnsi="Arial" w:cs="Arial"/>
          <w:sz w:val="22"/>
          <w:szCs w:val="22"/>
        </w:rPr>
        <w:t xml:space="preserve">ovitou věc užíval řádně a v souladu se sjednaným účelem. Pronajímatel současně poskytne nájemci přiměřenou lhůtu k nápravě a upozorní jej na možné následky neuposlechnutí výzvy. Neuposlechne-li nájemce této výzvy, má pronajímatel právo nájem vypovědět bez </w:t>
      </w:r>
      <w:r>
        <w:rPr>
          <w:rFonts w:ascii="Arial" w:hAnsi="Arial" w:cs="Arial"/>
          <w:sz w:val="22"/>
          <w:szCs w:val="22"/>
        </w:rPr>
        <w:t>výpovědní doby. Pokud by ale hrozilo vážné poškození nebo zničení nemovité věci, má pronajímatel právo nájem vypovědět bez výpovědní doby i bez předchozího upozornění.</w:t>
      </w:r>
    </w:p>
    <w:p w:rsidR="000C208A" w:rsidRDefault="000C208A" w:rsidP="000C208A">
      <w:pPr>
        <w:pStyle w:val="Odstavecseseznamem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má právo nájem vypovědět v případě hrubého porušení povinností ze strany n</w:t>
      </w:r>
      <w:r>
        <w:rPr>
          <w:rFonts w:ascii="Arial" w:hAnsi="Arial" w:cs="Arial"/>
          <w:sz w:val="22"/>
          <w:szCs w:val="22"/>
        </w:rPr>
        <w:t>ájemce, (např. Čl. VI. odst. 6). S ohledem na dobu nájmu se smluvní stran dohodly, že výpovědní oba činí dva dny a počne běžet prvním dnem následujícím po doručení písemné výpovědi druhé smluvní straně.</w:t>
      </w: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VIII.</w:t>
      </w:r>
    </w:p>
    <w:p w:rsidR="000C208A" w:rsidRDefault="00BC5B41" w:rsidP="000C208A">
      <w:pPr>
        <w:pStyle w:val="Zkladntext"/>
        <w:numPr>
          <w:ilvl w:val="0"/>
          <w:numId w:val="5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předá pronajímateli pronajaté nemo</w:t>
      </w:r>
      <w:r>
        <w:rPr>
          <w:rFonts w:ascii="Arial" w:hAnsi="Arial" w:cs="Arial"/>
          <w:sz w:val="22"/>
          <w:szCs w:val="22"/>
        </w:rPr>
        <w:t xml:space="preserve">vité věci, vyklizené, resp. uvedené do původního stavu. V případě, že tato povinnost nebude splněna, nechá pronajímatel vyklidit nebo uvést pronajaté nemovité věci do původního stavu na náklady nájemce. </w:t>
      </w:r>
    </w:p>
    <w:p w:rsidR="000C208A" w:rsidRDefault="000C208A" w:rsidP="000C208A">
      <w:pPr>
        <w:pStyle w:val="Zkladntext"/>
        <w:spacing w:after="120"/>
        <w:ind w:left="284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Při faktickém předání a převzetí pronajatých nemovitých věcí zpět pronajímateli bude smluvními stranami sepsán protokol o předání a převzetí, ve kterém bude uveden jejich stav.  </w:t>
      </w:r>
    </w:p>
    <w:p w:rsidR="000C208A" w:rsidRDefault="000C208A" w:rsidP="000C208A">
      <w:pPr>
        <w:pStyle w:val="Odstavecseseznamem"/>
        <w:rPr>
          <w:rFonts w:ascii="Arial" w:hAnsi="Arial" w:cs="Arial"/>
          <w:sz w:val="20"/>
          <w:szCs w:val="20"/>
          <w:u w:val="single"/>
        </w:rPr>
      </w:pPr>
    </w:p>
    <w:p w:rsidR="000C208A" w:rsidRDefault="000C208A" w:rsidP="000C208A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IX.</w:t>
      </w:r>
    </w:p>
    <w:p w:rsidR="000C208A" w:rsidRDefault="00BC5B41" w:rsidP="000C208A">
      <w:pPr>
        <w:pStyle w:val="vnintext"/>
        <w:numPr>
          <w:ilvl w:val="0"/>
          <w:numId w:val="6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Neuhradí-li nájemce splatné nájemné řádně a včas, je pronajímatel o</w:t>
      </w:r>
      <w:r>
        <w:rPr>
          <w:rFonts w:ascii="Arial" w:hAnsi="Arial" w:cs="Arial"/>
          <w:sz w:val="22"/>
          <w:szCs w:val="22"/>
        </w:rPr>
        <w:t>právněn požadovat       po nájemci úroky z prodlení dle platné právní úpravy. Právo pronajímatele na náhradu škody ve smyslu § 1971 zákona č. 89/2012 Sb. tím není dotčeno.</w:t>
      </w:r>
    </w:p>
    <w:p w:rsidR="000C208A" w:rsidRDefault="000C208A" w:rsidP="000C208A">
      <w:pPr>
        <w:pStyle w:val="vnintext"/>
        <w:tabs>
          <w:tab w:val="clear" w:pos="709"/>
          <w:tab w:val="center" w:pos="4536"/>
          <w:tab w:val="left" w:pos="5222"/>
        </w:tabs>
        <w:ind w:left="284" w:hanging="284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vnintext"/>
        <w:numPr>
          <w:ilvl w:val="0"/>
          <w:numId w:val="6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porušení povinnosti nájemce, uvedené v Čl. V. odst. 1 nebo v Čl. VI. odst. 7, je</w:t>
      </w:r>
      <w:r>
        <w:rPr>
          <w:rFonts w:ascii="Arial" w:hAnsi="Arial" w:cs="Arial"/>
          <w:sz w:val="22"/>
          <w:szCs w:val="22"/>
        </w:rPr>
        <w:t xml:space="preserve"> nájemce povinen zaplatit pronajímateli smluvní pokutu ve výši 15 % z ročního nájemného za každý případ porušení povinnosti. Smluvní pokutu lze udělit i opakovaně, pokud nájemce v přiměřené lhůtě určené pronajímatelem nezajistí nápravu. Tím není dotčeno pr</w:t>
      </w:r>
      <w:r>
        <w:rPr>
          <w:rFonts w:ascii="Arial" w:hAnsi="Arial" w:cs="Arial"/>
          <w:sz w:val="22"/>
          <w:szCs w:val="22"/>
        </w:rPr>
        <w:t>ávo pronajímatele smlouvu vypovědět dle Čl. VII. odst. 6 nebo dle Čl. V. odst. 2 této smlouvy.</w:t>
      </w:r>
    </w:p>
    <w:p w:rsidR="000C208A" w:rsidRDefault="000C208A" w:rsidP="000C208A">
      <w:pPr>
        <w:pStyle w:val="Odstavecseseznamem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vnintext"/>
        <w:numPr>
          <w:ilvl w:val="0"/>
          <w:numId w:val="6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Uhrazení smluvní pokuty se nedotýká nároku pronajímatele na náhradu škody způsobenou porušením povinnosti nájemce, ustanovení § 2050 zákona č. 89/2012 Sb. se ne</w:t>
      </w:r>
      <w:r>
        <w:rPr>
          <w:rFonts w:ascii="Arial" w:hAnsi="Arial" w:cs="Arial"/>
          <w:sz w:val="22"/>
          <w:szCs w:val="22"/>
        </w:rPr>
        <w:t>použije.</w:t>
      </w:r>
    </w:p>
    <w:p w:rsidR="000C208A" w:rsidRDefault="000C208A" w:rsidP="000C208A">
      <w:pPr>
        <w:pStyle w:val="Odstavecseseznamem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vnintext"/>
        <w:numPr>
          <w:ilvl w:val="0"/>
          <w:numId w:val="2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sankce dle této smlouvy jsou splatné do 15 kalendářních dní od písemné výzvy odeslané druhé smluvní straně na její adresu, uvedenou v záhlaví této smlouvy.</w:t>
      </w: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-4-</w:t>
      </w: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jc w:val="both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Zkladntext"/>
        <w:tabs>
          <w:tab w:val="center" w:pos="4536"/>
          <w:tab w:val="left" w:pos="5222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X.</w:t>
      </w:r>
    </w:p>
    <w:p w:rsidR="000C208A" w:rsidRDefault="00BC5B41" w:rsidP="000C208A">
      <w:pPr>
        <w:pStyle w:val="Zkladntext"/>
        <w:numPr>
          <w:ilvl w:val="0"/>
          <w:numId w:val="7"/>
        </w:numPr>
        <w:tabs>
          <w:tab w:val="center" w:pos="4536"/>
          <w:tab w:val="left" w:pos="5222"/>
        </w:tabs>
        <w:spacing w:after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je uzavřena a nabývá platnosti okamžikem podpisu poslední smluvní stranou. </w:t>
      </w:r>
    </w:p>
    <w:p w:rsidR="000C208A" w:rsidRDefault="00BC5B41" w:rsidP="000C208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účinnosti dnem jejího uveřejnění v registru smluv v souladu se zákonem       č. 340/2015 Sb., o zvláštních podmínkách účinnosti některých smluv, uveřejňování</w:t>
      </w:r>
      <w:r>
        <w:rPr>
          <w:rFonts w:ascii="Arial" w:hAnsi="Arial" w:cs="Arial"/>
          <w:sz w:val="22"/>
          <w:szCs w:val="22"/>
        </w:rPr>
        <w:t xml:space="preserve"> těchto smluv a o registru smluv (zákon o registru smluv).</w:t>
      </w:r>
    </w:p>
    <w:p w:rsidR="000C208A" w:rsidRDefault="000C208A" w:rsidP="000C208A">
      <w:p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vnintext"/>
        <w:numPr>
          <w:ilvl w:val="0"/>
          <w:numId w:val="7"/>
        </w:numPr>
        <w:tabs>
          <w:tab w:val="left" w:pos="284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Pronajímatel zašle tuto smlouvu správci registru smluv k uveřejnění bez zbytečného odkladu, nejpozději tak, aby smlouva byla účinná ke dni začátku nájmu. Pronajímatel předá nájemci doklad o uveřej</w:t>
      </w:r>
      <w:r>
        <w:rPr>
          <w:rFonts w:ascii="Arial" w:hAnsi="Arial" w:cs="Arial"/>
          <w:sz w:val="22"/>
          <w:szCs w:val="22"/>
        </w:rPr>
        <w:t>nění smlouvy v registru smluv podle § 5 odst. 4 zákona č. 340/2015 Sb., o registru smluv, jako potvrzení skutečnosti, že smlouva nabyla účinnosti.</w:t>
      </w:r>
    </w:p>
    <w:p w:rsidR="000C208A" w:rsidRDefault="000C208A" w:rsidP="000C208A">
      <w:p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</w:t>
      </w:r>
      <w:r>
        <w:rPr>
          <w:rFonts w:ascii="Arial" w:hAnsi="Arial" w:cs="Arial"/>
          <w:sz w:val="22"/>
          <w:szCs w:val="22"/>
        </w:rPr>
        <w:t>ní tajemství.</w:t>
      </w:r>
    </w:p>
    <w:p w:rsidR="000C208A" w:rsidRDefault="000C208A" w:rsidP="000C208A">
      <w:p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0C208A" w:rsidRDefault="000C208A" w:rsidP="000C208A">
      <w:pPr>
        <w:shd w:val="clear" w:color="auto" w:fill="FFFFFF"/>
        <w:tabs>
          <w:tab w:val="left" w:pos="28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</w:t>
      </w:r>
      <w:r>
        <w:rPr>
          <w:rFonts w:ascii="Arial" w:hAnsi="Arial" w:cs="Arial"/>
          <w:sz w:val="22"/>
          <w:szCs w:val="22"/>
        </w:rPr>
        <w:t xml:space="preserve"> č. 219/2000 Sb.</w:t>
      </w:r>
    </w:p>
    <w:p w:rsidR="000C208A" w:rsidRDefault="000C208A" w:rsidP="000C208A">
      <w:p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0C208A" w:rsidRDefault="000C208A" w:rsidP="000C208A">
      <w:p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numPr>
          <w:ilvl w:val="0"/>
          <w:numId w:val="7"/>
        </w:num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 touto smlouvou nese ná</w:t>
      </w:r>
      <w:r>
        <w:rPr>
          <w:rFonts w:ascii="Arial" w:hAnsi="Arial" w:cs="Arial"/>
          <w:sz w:val="22"/>
          <w:szCs w:val="22"/>
        </w:rPr>
        <w:t>jemce.</w:t>
      </w:r>
    </w:p>
    <w:p w:rsidR="000C208A" w:rsidRDefault="000C208A" w:rsidP="000C208A">
      <w:pPr>
        <w:shd w:val="clear" w:color="auto" w:fill="FFFFFF"/>
        <w:tabs>
          <w:tab w:val="left" w:pos="284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pStyle w:val="para"/>
        <w:numPr>
          <w:ilvl w:val="0"/>
          <w:numId w:val="7"/>
        </w:numPr>
        <w:tabs>
          <w:tab w:val="left" w:pos="284"/>
        </w:tabs>
        <w:ind w:left="284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je vyhotovena ve dvou stejnopisech</w:t>
      </w:r>
      <w:r>
        <w:rPr>
          <w:rFonts w:ascii="Arial" w:hAnsi="Arial" w:cs="Arial"/>
          <w:b w:val="0"/>
          <w:i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 xml:space="preserve">Každá ze smluvních stran obdrží po jednom vyhotovení. </w:t>
      </w:r>
    </w:p>
    <w:p w:rsidR="000C208A" w:rsidRDefault="000C208A" w:rsidP="000C208A">
      <w:pPr>
        <w:pStyle w:val="Zkladntext"/>
        <w:spacing w:after="240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pStyle w:val="Zkladntext"/>
        <w:spacing w:after="240"/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pStyle w:val="Zkladntext"/>
        <w:spacing w:after="240"/>
        <w:rPr>
          <w:rFonts w:ascii="Arial" w:hAnsi="Arial" w:cs="Arial"/>
          <w:sz w:val="22"/>
          <w:szCs w:val="22"/>
        </w:rPr>
      </w:pPr>
    </w:p>
    <w:tbl>
      <w:tblPr>
        <w:tblW w:w="9294" w:type="dxa"/>
        <w:tblLook w:val="04A0" w:firstRow="1" w:lastRow="0" w:firstColumn="1" w:lastColumn="0" w:noHBand="0" w:noVBand="1"/>
      </w:tblPr>
      <w:tblGrid>
        <w:gridCol w:w="4647"/>
        <w:gridCol w:w="4647"/>
      </w:tblGrid>
      <w:tr w:rsidR="00590F1D" w:rsidTr="000C208A">
        <w:trPr>
          <w:trHeight w:val="46"/>
        </w:trPr>
        <w:tc>
          <w:tcPr>
            <w:tcW w:w="4647" w:type="dxa"/>
            <w:hideMark/>
          </w:tcPr>
          <w:p w:rsidR="000C208A" w:rsidRDefault="00BC5B41">
            <w:pPr>
              <w:pStyle w:val="vnintext"/>
              <w:spacing w:after="120" w:line="252" w:lineRule="auto"/>
              <w:ind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Praze dne ………………………..</w:t>
            </w:r>
          </w:p>
        </w:tc>
        <w:tc>
          <w:tcPr>
            <w:tcW w:w="4647" w:type="dxa"/>
            <w:hideMark/>
          </w:tcPr>
          <w:p w:rsidR="000C208A" w:rsidRDefault="00BC5B41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V Praze dne …………………………</w:t>
            </w:r>
          </w:p>
        </w:tc>
      </w:tr>
      <w:tr w:rsidR="00590F1D" w:rsidTr="000C208A">
        <w:trPr>
          <w:trHeight w:val="46"/>
        </w:trPr>
        <w:tc>
          <w:tcPr>
            <w:tcW w:w="4647" w:type="dxa"/>
          </w:tcPr>
          <w:p w:rsidR="000C208A" w:rsidRDefault="000C208A">
            <w:pPr>
              <w:pStyle w:val="vnintext"/>
              <w:spacing w:after="120" w:line="252" w:lineRule="auto"/>
              <w:ind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208A" w:rsidRDefault="000C208A">
            <w:pPr>
              <w:pStyle w:val="vnintext"/>
              <w:spacing w:after="120" w:line="252" w:lineRule="auto"/>
              <w:ind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7" w:type="dxa"/>
          </w:tcPr>
          <w:p w:rsidR="000C208A" w:rsidRDefault="000C208A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90F1D" w:rsidTr="000C208A">
        <w:trPr>
          <w:trHeight w:val="534"/>
        </w:trPr>
        <w:tc>
          <w:tcPr>
            <w:tcW w:w="4647" w:type="dxa"/>
          </w:tcPr>
          <w:p w:rsidR="000C208A" w:rsidRDefault="000C208A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647" w:type="dxa"/>
          </w:tcPr>
          <w:p w:rsidR="000C208A" w:rsidRDefault="000C208A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590F1D" w:rsidTr="000C208A">
        <w:trPr>
          <w:trHeight w:val="35"/>
        </w:trPr>
        <w:tc>
          <w:tcPr>
            <w:tcW w:w="4647" w:type="dxa"/>
            <w:hideMark/>
          </w:tcPr>
          <w:p w:rsidR="000C208A" w:rsidRDefault="00BC5B41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…………………………….…………………….</w:t>
            </w:r>
          </w:p>
        </w:tc>
        <w:tc>
          <w:tcPr>
            <w:tcW w:w="4647" w:type="dxa"/>
            <w:hideMark/>
          </w:tcPr>
          <w:p w:rsidR="000C208A" w:rsidRDefault="00BC5B41">
            <w:pPr>
              <w:pStyle w:val="vnintext"/>
              <w:spacing w:line="252" w:lineRule="auto"/>
              <w:ind w:right="-561"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…………………………….…………………</w:t>
            </w:r>
          </w:p>
        </w:tc>
      </w:tr>
      <w:tr w:rsidR="00590F1D" w:rsidTr="000C208A">
        <w:trPr>
          <w:trHeight w:val="327"/>
        </w:trPr>
        <w:tc>
          <w:tcPr>
            <w:tcW w:w="4647" w:type="dxa"/>
            <w:hideMark/>
          </w:tcPr>
          <w:p w:rsidR="000C208A" w:rsidRDefault="00BC5B41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Ivana Kubíčková</w:t>
            </w:r>
          </w:p>
          <w:p w:rsidR="000C208A" w:rsidRDefault="00BC5B41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ředitelka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odboru</w:t>
            </w:r>
          </w:p>
          <w:p w:rsidR="000C208A" w:rsidRDefault="00BC5B41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Hospodaření s majetkem státu  </w:t>
            </w:r>
          </w:p>
          <w:p w:rsidR="000C208A" w:rsidRDefault="00BC5B41">
            <w:pPr>
              <w:spacing w:line="252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ÚP v hl. m. Praze </w:t>
            </w:r>
          </w:p>
        </w:tc>
        <w:tc>
          <w:tcPr>
            <w:tcW w:w="4647" w:type="dxa"/>
          </w:tcPr>
          <w:p w:rsidR="000C208A" w:rsidRDefault="00BC5B4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Pavel Müller</w:t>
            </w:r>
            <w:r w:rsidR="00621E92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:rsidR="00A36E35" w:rsidRDefault="00BC5B4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jednatel </w:t>
            </w:r>
          </w:p>
          <w:p w:rsidR="000C208A" w:rsidRDefault="00BC5B4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SIRENA FILM, s.r.o.</w:t>
            </w:r>
          </w:p>
          <w:p w:rsidR="000C208A" w:rsidRDefault="000C208A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208A" w:rsidRDefault="000C208A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C208A" w:rsidRDefault="00BC5B4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</w:p>
        </w:tc>
      </w:tr>
    </w:tbl>
    <w:p w:rsidR="000C208A" w:rsidRDefault="000C208A" w:rsidP="000C208A">
      <w:pPr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rPr>
          <w:rFonts w:ascii="Arial" w:hAnsi="Arial" w:cs="Arial"/>
          <w:sz w:val="22"/>
          <w:szCs w:val="22"/>
        </w:rPr>
      </w:pPr>
    </w:p>
    <w:p w:rsidR="000C208A" w:rsidRDefault="00BC5B41" w:rsidP="000C208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-5-</w:t>
      </w:r>
    </w:p>
    <w:p w:rsidR="000C208A" w:rsidRDefault="000C208A" w:rsidP="000C208A">
      <w:pPr>
        <w:rPr>
          <w:rFonts w:ascii="Arial" w:hAnsi="Arial" w:cs="Arial"/>
          <w:sz w:val="22"/>
          <w:szCs w:val="22"/>
        </w:rPr>
      </w:pPr>
    </w:p>
    <w:p w:rsidR="000C208A" w:rsidRDefault="000C208A" w:rsidP="000C208A">
      <w:pPr>
        <w:rPr>
          <w:rFonts w:ascii="Arial" w:hAnsi="Arial" w:cs="Arial"/>
          <w:sz w:val="22"/>
          <w:szCs w:val="22"/>
        </w:rPr>
      </w:pPr>
    </w:p>
    <w:sectPr w:rsidR="000C208A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4400F"/>
    <w:multiLevelType w:val="hybridMultilevel"/>
    <w:tmpl w:val="5D1C573A"/>
    <w:lvl w:ilvl="0" w:tplc="21FABA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CD4A4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0F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ED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AD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62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A4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6C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E4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54FAE"/>
    <w:multiLevelType w:val="hybridMultilevel"/>
    <w:tmpl w:val="1032CEE4"/>
    <w:lvl w:ilvl="0" w:tplc="A2484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E604BAAE">
      <w:start w:val="1"/>
      <w:numFmt w:val="lowerLetter"/>
      <w:lvlText w:val="%2."/>
      <w:lvlJc w:val="left"/>
      <w:pPr>
        <w:ind w:left="1440" w:hanging="360"/>
      </w:pPr>
    </w:lvl>
    <w:lvl w:ilvl="2" w:tplc="1AE051F4">
      <w:start w:val="1"/>
      <w:numFmt w:val="lowerRoman"/>
      <w:lvlText w:val="%3."/>
      <w:lvlJc w:val="right"/>
      <w:pPr>
        <w:ind w:left="2160" w:hanging="180"/>
      </w:pPr>
    </w:lvl>
    <w:lvl w:ilvl="3" w:tplc="760C1664">
      <w:start w:val="1"/>
      <w:numFmt w:val="decimal"/>
      <w:lvlText w:val="%4."/>
      <w:lvlJc w:val="left"/>
      <w:pPr>
        <w:ind w:left="2880" w:hanging="360"/>
      </w:pPr>
    </w:lvl>
    <w:lvl w:ilvl="4" w:tplc="3A344A66">
      <w:start w:val="1"/>
      <w:numFmt w:val="lowerLetter"/>
      <w:lvlText w:val="%5."/>
      <w:lvlJc w:val="left"/>
      <w:pPr>
        <w:ind w:left="3600" w:hanging="360"/>
      </w:pPr>
    </w:lvl>
    <w:lvl w:ilvl="5" w:tplc="B9162A3E">
      <w:start w:val="1"/>
      <w:numFmt w:val="lowerRoman"/>
      <w:lvlText w:val="%6."/>
      <w:lvlJc w:val="right"/>
      <w:pPr>
        <w:ind w:left="4320" w:hanging="180"/>
      </w:pPr>
    </w:lvl>
    <w:lvl w:ilvl="6" w:tplc="F7F4E8C8">
      <w:start w:val="1"/>
      <w:numFmt w:val="decimal"/>
      <w:lvlText w:val="%7."/>
      <w:lvlJc w:val="left"/>
      <w:pPr>
        <w:ind w:left="5040" w:hanging="360"/>
      </w:pPr>
    </w:lvl>
    <w:lvl w:ilvl="7" w:tplc="CF0A637E">
      <w:start w:val="1"/>
      <w:numFmt w:val="lowerLetter"/>
      <w:lvlText w:val="%8."/>
      <w:lvlJc w:val="left"/>
      <w:pPr>
        <w:ind w:left="5760" w:hanging="360"/>
      </w:pPr>
    </w:lvl>
    <w:lvl w:ilvl="8" w:tplc="639CBF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0FBC"/>
    <w:multiLevelType w:val="hybridMultilevel"/>
    <w:tmpl w:val="81C2778E"/>
    <w:lvl w:ilvl="0" w:tplc="0ED691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5E3944">
      <w:start w:val="1"/>
      <w:numFmt w:val="lowerLetter"/>
      <w:lvlText w:val="%2."/>
      <w:lvlJc w:val="left"/>
      <w:pPr>
        <w:ind w:left="1440" w:hanging="360"/>
      </w:pPr>
    </w:lvl>
    <w:lvl w:ilvl="2" w:tplc="6BC4D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F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EC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06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C6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9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06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B4354"/>
    <w:multiLevelType w:val="hybridMultilevel"/>
    <w:tmpl w:val="0D188C14"/>
    <w:lvl w:ilvl="0" w:tplc="60BC77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68E9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4B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CD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EF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CB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A2E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0A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AD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B1003"/>
    <w:multiLevelType w:val="hybridMultilevel"/>
    <w:tmpl w:val="8CA65220"/>
    <w:lvl w:ilvl="0" w:tplc="2F8C89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EFC8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4F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4B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C9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285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A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A4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4F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B3D57"/>
    <w:multiLevelType w:val="hybridMultilevel"/>
    <w:tmpl w:val="0748D71A"/>
    <w:lvl w:ilvl="0" w:tplc="D67E20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2F4F676">
      <w:start w:val="1"/>
      <w:numFmt w:val="lowerLetter"/>
      <w:lvlText w:val="%2."/>
      <w:lvlJc w:val="left"/>
      <w:pPr>
        <w:ind w:left="1440" w:hanging="360"/>
      </w:pPr>
    </w:lvl>
    <w:lvl w:ilvl="2" w:tplc="8F9495D2">
      <w:start w:val="1"/>
      <w:numFmt w:val="lowerRoman"/>
      <w:lvlText w:val="%3."/>
      <w:lvlJc w:val="right"/>
      <w:pPr>
        <w:ind w:left="2160" w:hanging="180"/>
      </w:pPr>
    </w:lvl>
    <w:lvl w:ilvl="3" w:tplc="22C648D4">
      <w:start w:val="1"/>
      <w:numFmt w:val="decimal"/>
      <w:lvlText w:val="%4."/>
      <w:lvlJc w:val="left"/>
      <w:pPr>
        <w:ind w:left="2880" w:hanging="360"/>
      </w:pPr>
    </w:lvl>
    <w:lvl w:ilvl="4" w:tplc="684E04D4">
      <w:start w:val="1"/>
      <w:numFmt w:val="lowerLetter"/>
      <w:lvlText w:val="%5."/>
      <w:lvlJc w:val="left"/>
      <w:pPr>
        <w:ind w:left="3600" w:hanging="360"/>
      </w:pPr>
    </w:lvl>
    <w:lvl w:ilvl="5" w:tplc="79149096">
      <w:start w:val="1"/>
      <w:numFmt w:val="lowerRoman"/>
      <w:lvlText w:val="%6."/>
      <w:lvlJc w:val="right"/>
      <w:pPr>
        <w:ind w:left="4320" w:hanging="180"/>
      </w:pPr>
    </w:lvl>
    <w:lvl w:ilvl="6" w:tplc="63E26EA8">
      <w:start w:val="1"/>
      <w:numFmt w:val="decimal"/>
      <w:lvlText w:val="%7."/>
      <w:lvlJc w:val="left"/>
      <w:pPr>
        <w:ind w:left="5040" w:hanging="360"/>
      </w:pPr>
    </w:lvl>
    <w:lvl w:ilvl="7" w:tplc="8EEA3214">
      <w:start w:val="1"/>
      <w:numFmt w:val="lowerLetter"/>
      <w:lvlText w:val="%8."/>
      <w:lvlJc w:val="left"/>
      <w:pPr>
        <w:ind w:left="5760" w:hanging="360"/>
      </w:pPr>
    </w:lvl>
    <w:lvl w:ilvl="8" w:tplc="950A18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5EB7"/>
    <w:multiLevelType w:val="hybridMultilevel"/>
    <w:tmpl w:val="DA3AA3E0"/>
    <w:lvl w:ilvl="0" w:tplc="6AB4EB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C940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A2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2E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86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A2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ED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EF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1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0C208A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674C5"/>
    <w:rsid w:val="00572A14"/>
    <w:rsid w:val="00590F1D"/>
    <w:rsid w:val="005E7EA1"/>
    <w:rsid w:val="006119F4"/>
    <w:rsid w:val="00621E92"/>
    <w:rsid w:val="00630907"/>
    <w:rsid w:val="00652748"/>
    <w:rsid w:val="006B5A0C"/>
    <w:rsid w:val="00710088"/>
    <w:rsid w:val="0071682A"/>
    <w:rsid w:val="00736E97"/>
    <w:rsid w:val="00742876"/>
    <w:rsid w:val="00743A32"/>
    <w:rsid w:val="00765D35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95A6F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36E35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C5B41"/>
    <w:rsid w:val="00BD13C5"/>
    <w:rsid w:val="00BD7B45"/>
    <w:rsid w:val="00BE39EC"/>
    <w:rsid w:val="00BF6E12"/>
    <w:rsid w:val="00C11CA4"/>
    <w:rsid w:val="00C41738"/>
    <w:rsid w:val="00C63D38"/>
    <w:rsid w:val="00C93AF6"/>
    <w:rsid w:val="00CA3E79"/>
    <w:rsid w:val="00CA54D8"/>
    <w:rsid w:val="00CE10BA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1A8D"/>
    <w:rsid w:val="00F97DB8"/>
    <w:rsid w:val="00FB1FD4"/>
    <w:rsid w:val="00FD0CF1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3826"/>
  <w15:docId w15:val="{50443E2A-769C-4A7D-AB34-9BB4D28D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0C208A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C208A"/>
    <w:rPr>
      <w:rFonts w:ascii="KabelItcTEE" w:eastAsia="Times New Roman" w:hAnsi="KabelItcTEE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208A"/>
    <w:pPr>
      <w:ind w:left="720"/>
      <w:contextualSpacing/>
    </w:pPr>
  </w:style>
  <w:style w:type="paragraph" w:customStyle="1" w:styleId="para">
    <w:name w:val="para"/>
    <w:basedOn w:val="Normln"/>
    <w:rsid w:val="000C208A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0C208A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0C208A"/>
    <w:pPr>
      <w:tabs>
        <w:tab w:val="left" w:pos="1418"/>
        <w:tab w:val="left" w:pos="4678"/>
        <w:tab w:val="right" w:pos="8931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10929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Volfová Jitka</cp:lastModifiedBy>
  <cp:revision>2</cp:revision>
  <cp:lastPrinted>2022-08-16T10:24:00Z</cp:lastPrinted>
  <dcterms:created xsi:type="dcterms:W3CDTF">2022-08-24T08:18:00Z</dcterms:created>
  <dcterms:modified xsi:type="dcterms:W3CDTF">2022-08-24T08:18:00Z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UZSVM/A/12096/2018-HMU2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Smlouva o nájmu nemovitých věcí za účelem natáčení filmu v Hybernské 997, k. ú. Nové Město (12. 9. 2022 – 26. 9. 2022) - právní audit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Volfová Jitka,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Jitka.Volfova1@uzsvm.cz</vt:lpwstr>
  </property>
  <property fmtid="{D5CDD505-2E9C-101B-9397-08002B2CF9AE}" pid="43" name="CUSTOM.VLASTNIK_TELEFON">
    <vt:lpwstr>+420 225 776 608</vt:lpwstr>
  </property>
  <property fmtid="{D5CDD505-2E9C-101B-9397-08002B2CF9AE}" pid="44" name="CUSTOM.VYTVOREN_DNE">
    <vt:lpwstr>15.08.2022</vt:lpwstr>
  </property>
  <property fmtid="{D5CDD505-2E9C-101B-9397-08002B2CF9AE}" pid="45" name="KOD.KOD_CJ">
    <vt:lpwstr>UZSVM/A/40527/2022-HMU2</vt:lpwstr>
  </property>
  <property fmtid="{D5CDD505-2E9C-101B-9397-08002B2CF9AE}" pid="46" name="KOD.KOD_EVC">
    <vt:lpwstr>73026/A/2022-HMU2</vt:lpwstr>
  </property>
  <property fmtid="{D5CDD505-2E9C-101B-9397-08002B2CF9AE}" pid="47" name="KOD.KOD_EVC_BARCODE">
    <vt:lpwstr>µ#73026/A/2022-HMU2@~¸</vt:lpwstr>
  </property>
  <property fmtid="{D5CDD505-2E9C-101B-9397-08002B2CF9AE}" pid="48" name="KOD.KOD_IU_CODE">
    <vt:lpwstr>9325</vt:lpwstr>
  </property>
  <property fmtid="{D5CDD505-2E9C-101B-9397-08002B2CF9AE}" pid="49" name="KOD.KOD_IU_SHORT">
    <vt:lpwstr>HMU2</vt:lpwstr>
  </property>
  <property fmtid="{D5CDD505-2E9C-101B-9397-08002B2CF9AE}" pid="50" name="KOD.KOD_IU_TXT">
    <vt:lpwstr>oddělení Hospodaření s majetkem v účetnictví II.</vt:lpwstr>
  </property>
  <property fmtid="{D5CDD505-2E9C-101B-9397-08002B2CF9AE}" pid="51" name="KOD.OBJECT_GUID">
    <vt:lpwstr>84524d64-e801-4b30-94a5-76d460a50bdb</vt:lpwstr>
  </property>
  <property fmtid="{D5CDD505-2E9C-101B-9397-08002B2CF9AE}" pid="52" name="KrbDmsIdForm">
    <vt:lpwstr>84524d64-e801-4b30-94a5-76d460a50bdb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