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52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4522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5452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5452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45225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45225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45225">
        <w:rPr>
          <w:rFonts w:ascii="Tahoma" w:hAnsi="Tahoma" w:cs="Tahoma"/>
          <w:noProof/>
          <w:sz w:val="28"/>
          <w:szCs w:val="28"/>
        </w:rPr>
        <w:t>140/22/7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4522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povrchu silnice nad hospodou p.č.. 1312/1 v k.ú. Dražejov u Strakonic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4522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186 591,68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45225">
        <w:rPr>
          <w:rFonts w:ascii="Tahoma" w:hAnsi="Tahoma" w:cs="Tahoma"/>
          <w:b/>
          <w:bCs/>
          <w:noProof/>
          <w:sz w:val="20"/>
          <w:szCs w:val="20"/>
        </w:rPr>
        <w:t>186 591,68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545225" w:rsidRDefault="0054522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Soubor staveb:013-22-000 Drobné opravy komunikací</w:t>
      </w:r>
    </w:p>
    <w:p w:rsidR="001F0477" w:rsidRPr="006F0BA2" w:rsidRDefault="0054522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Stavba:013-22-28 Město Strakonice, Starý Dražejov-oprava silnice nad hospodou.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45225">
        <w:rPr>
          <w:rFonts w:ascii="Tahoma" w:hAnsi="Tahoma" w:cs="Tahoma"/>
          <w:noProof/>
          <w:sz w:val="20"/>
          <w:szCs w:val="20"/>
        </w:rPr>
        <w:t>30. 9. 2022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4522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4522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25" w:rsidRDefault="00545225">
      <w:r>
        <w:separator/>
      </w:r>
    </w:p>
  </w:endnote>
  <w:endnote w:type="continuationSeparator" w:id="0">
    <w:p w:rsidR="00545225" w:rsidRDefault="005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25" w:rsidRDefault="00545225">
      <w:r>
        <w:separator/>
      </w:r>
    </w:p>
  </w:footnote>
  <w:footnote w:type="continuationSeparator" w:id="0">
    <w:p w:rsidR="00545225" w:rsidRDefault="0054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5"/>
    <w:rsid w:val="001A6E76"/>
    <w:rsid w:val="001F0477"/>
    <w:rsid w:val="00351E8F"/>
    <w:rsid w:val="003E4984"/>
    <w:rsid w:val="00447743"/>
    <w:rsid w:val="00545225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B34B-1667-482A-8566-93EDA17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2022-08-22T10:54:00Z</dcterms:created>
  <dcterms:modified xsi:type="dcterms:W3CDTF">2022-08-22T10:57:00Z</dcterms:modified>
</cp:coreProperties>
</file>