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D703" w14:textId="77777777" w:rsidR="008916CF" w:rsidRDefault="00B146F9" w:rsidP="008916CF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ab/>
      </w:r>
    </w:p>
    <w:p w14:paraId="574CCC7C" w14:textId="6A3883E5" w:rsidR="00DD3A61" w:rsidRPr="008916CF" w:rsidRDefault="000728AE" w:rsidP="008916CF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>Veřejnoprávní smlouva o poskytnutí účelové dotace</w:t>
      </w:r>
    </w:p>
    <w:p w14:paraId="2905FCDD" w14:textId="4376A0BA" w:rsidR="00A40077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8916CF">
          <w:headerReference w:type="default" r:id="rId8"/>
          <w:footerReference w:type="default" r:id="rId9"/>
          <w:pgSz w:w="11906" w:h="16838" w:code="9"/>
          <w:pgMar w:top="993" w:right="1106" w:bottom="1701" w:left="1259" w:header="567" w:footer="567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31828F0D" w:rsidR="002B14EB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zastoupeno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  <w:r w:rsidR="00732C56" w:rsidRPr="00732C56">
        <w:rPr>
          <w:rFonts w:ascii="Times New Roman" w:hAnsi="Times New Roman"/>
          <w:bCs/>
          <w:sz w:val="22"/>
          <w:szCs w:val="22"/>
        </w:rPr>
        <w:t>náměstkyní primátora Mgr. Andreou Hoffmannovou, Ph.D., na základě plné moci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2A74D61E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CF129E">
        <w:rPr>
          <w:rFonts w:ascii="Times New Roman" w:hAnsi="Times New Roman"/>
          <w:sz w:val="22"/>
          <w:szCs w:val="22"/>
        </w:rPr>
        <w:t>4</w:t>
      </w:r>
      <w:r w:rsidR="00951E00">
        <w:rPr>
          <w:rFonts w:ascii="Times New Roman" w:hAnsi="Times New Roman"/>
          <w:sz w:val="22"/>
          <w:szCs w:val="22"/>
        </w:rPr>
        <w:t>4</w:t>
      </w:r>
      <w:r w:rsidR="0065231E" w:rsidRPr="000F040C">
        <w:rPr>
          <w:rFonts w:ascii="Times New Roman" w:hAnsi="Times New Roman"/>
          <w:sz w:val="22"/>
          <w:szCs w:val="22"/>
        </w:rPr>
        <w:t>/2022/ŠaS</w:t>
      </w:r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11FBBAD0" w14:textId="77777777" w:rsidR="00CF129E" w:rsidRDefault="00CF129E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CF129E">
        <w:rPr>
          <w:rFonts w:ascii="Times New Roman" w:hAnsi="Times New Roman"/>
          <w:b/>
          <w:bCs/>
          <w:sz w:val="22"/>
          <w:szCs w:val="22"/>
        </w:rPr>
        <w:t>PARA HOCKEY OSTRAVA z. s.</w:t>
      </w:r>
    </w:p>
    <w:p w14:paraId="58C3BCA9" w14:textId="7F5B5D8D" w:rsidR="00EB7C2F" w:rsidRPr="000A4F5A" w:rsidRDefault="00CF129E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  <w:highlight w:val="yellow"/>
        </w:rPr>
      </w:pPr>
      <w:r w:rsidRPr="00CF129E">
        <w:rPr>
          <w:rFonts w:ascii="Times New Roman" w:hAnsi="Times New Roman"/>
          <w:sz w:val="22"/>
          <w:szCs w:val="22"/>
        </w:rPr>
        <w:t xml:space="preserve">Nádražní 1325/18, 702 00 Moravská Ostrava, Ostrava </w:t>
      </w:r>
      <w:r w:rsidR="000A4F5A" w:rsidRPr="0052255C">
        <w:rPr>
          <w:rFonts w:ascii="Times New Roman" w:hAnsi="Times New Roman"/>
          <w:sz w:val="22"/>
          <w:szCs w:val="22"/>
        </w:rPr>
        <w:t>z</w:t>
      </w:r>
      <w:r w:rsidR="002B14EB" w:rsidRPr="0052255C">
        <w:rPr>
          <w:rFonts w:ascii="Times New Roman" w:hAnsi="Times New Roman"/>
          <w:sz w:val="22"/>
          <w:szCs w:val="22"/>
        </w:rPr>
        <w:t xml:space="preserve">astoupen </w:t>
      </w:r>
      <w:r w:rsidR="00DE201F">
        <w:rPr>
          <w:rFonts w:ascii="Times New Roman" w:hAnsi="Times New Roman"/>
          <w:sz w:val="22"/>
          <w:szCs w:val="22"/>
        </w:rPr>
        <w:t>Jiřím Šindlerem</w:t>
      </w:r>
    </w:p>
    <w:p w14:paraId="24BFDCE2" w14:textId="035ACABE" w:rsidR="000A4F5A" w:rsidRPr="008A2B76" w:rsidRDefault="0052255C" w:rsidP="00112734">
      <w:pPr>
        <w:tabs>
          <w:tab w:val="left" w:pos="0"/>
          <w:tab w:val="left" w:pos="9639"/>
        </w:tabs>
      </w:pPr>
      <w:r>
        <w:rPr>
          <w:rFonts w:ascii="Times New Roman" w:hAnsi="Times New Roman"/>
          <w:sz w:val="22"/>
          <w:szCs w:val="22"/>
        </w:rPr>
        <w:t>předseda</w:t>
      </w: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21EC16F2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CF129E" w:rsidRPr="00CF129E">
        <w:rPr>
          <w:rFonts w:ascii="Times New Roman" w:hAnsi="Times New Roman"/>
          <w:sz w:val="22"/>
          <w:szCs w:val="22"/>
        </w:rPr>
        <w:t>06852637</w:t>
      </w:r>
    </w:p>
    <w:p w14:paraId="497AAA3F" w14:textId="464F3C1F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CF129E" w:rsidRPr="00CF129E">
        <w:rPr>
          <w:rFonts w:ascii="Times New Roman" w:hAnsi="Times New Roman"/>
          <w:sz w:val="22"/>
          <w:szCs w:val="22"/>
        </w:rPr>
        <w:t>06852637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310EE125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  <w:t xml:space="preserve"> </w:t>
      </w:r>
      <w:r w:rsidR="00847BC5">
        <w:rPr>
          <w:rFonts w:ascii="Times New Roman" w:hAnsi="Times New Roman"/>
          <w:sz w:val="22"/>
          <w:szCs w:val="22"/>
        </w:rPr>
        <w:t>xxxxxxxxxxxxxxxxx</w:t>
      </w:r>
      <w:r w:rsidR="00EB7C2F" w:rsidRPr="008A2B76">
        <w:rPr>
          <w:rFonts w:cs="Arial"/>
        </w:rPr>
        <w:tab/>
      </w:r>
    </w:p>
    <w:p w14:paraId="6B3DCAED" w14:textId="21D35F64" w:rsidR="00211DE0" w:rsidRPr="004A50AA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r w:rsidR="00847BC5">
        <w:rPr>
          <w:rFonts w:ascii="Times New Roman" w:hAnsi="Times New Roman"/>
          <w:sz w:val="22"/>
          <w:szCs w:val="22"/>
        </w:rPr>
        <w:t>xxxxxxxxxxxxxxxxxx</w:t>
      </w:r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62937EC9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8916CF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445352AD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30048E1C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476F714F" w14:textId="3B8AC3BF" w:rsidR="0089632D" w:rsidRPr="000E254D" w:rsidRDefault="004A50AA" w:rsidP="000E254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195AC3D6" w14:textId="2BF30A0A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lastRenderedPageBreak/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18E8B9FB" w14:textId="61400785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5D4A7728" w14:textId="6CAB1BE7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4124C05D" w14:textId="778B4AC5" w:rsidR="005A005E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39F47DDC" w14:textId="70B62226" w:rsidR="005A005E" w:rsidRPr="005F66FE" w:rsidRDefault="005A005E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(ŠaS/CSR)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30F7100D" w14:textId="77777777" w:rsidR="00485467" w:rsidRDefault="00485467" w:rsidP="000E254D">
      <w:pPr>
        <w:pStyle w:val="JVS2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56AA384" w14:textId="243BC3D0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4C3FF7FA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3D2414" w:rsidRPr="003D2414">
        <w:rPr>
          <w:rFonts w:ascii="Times New Roman" w:hAnsi="Times New Roman"/>
          <w:b/>
          <w:bCs/>
          <w:sz w:val="22"/>
          <w:szCs w:val="22"/>
        </w:rPr>
        <w:t>ParaTour - Paralympijské školní dny</w:t>
      </w:r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B54BE9C" w14:textId="3196B1C9" w:rsidR="00DC4AB3" w:rsidRPr="000E254D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4D1AEF64" w14:textId="77777777" w:rsidR="005D2422" w:rsidRPr="005D2422" w:rsidRDefault="005D2422" w:rsidP="005D2422">
      <w:pPr>
        <w:pStyle w:val="Odstavecseseznamem"/>
        <w:numPr>
          <w:ilvl w:val="0"/>
          <w:numId w:val="1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Cs/>
          <w:sz w:val="22"/>
          <w:szCs w:val="22"/>
        </w:rPr>
      </w:pPr>
      <w:r w:rsidRPr="005D2422">
        <w:rPr>
          <w:rFonts w:ascii="Times New Roman" w:hAnsi="Times New Roman"/>
          <w:bCs/>
          <w:iCs/>
          <w:sz w:val="22"/>
          <w:szCs w:val="22"/>
        </w:rPr>
        <w:t xml:space="preserve">služby prokazatelně související s realizací projektu, v případě služby odpovídající charakteru činnosti, která by jinak byla realizována formou dohody o práci konanou mimo pracovní poměr maximálně 300 Kč na hodinu, maximálně však do výše 40 tis. Kč měsíc - </w:t>
      </w:r>
      <w:r w:rsidRPr="005D2422">
        <w:rPr>
          <w:rFonts w:ascii="Times New Roman" w:hAnsi="Times New Roman"/>
          <w:b/>
          <w:iCs/>
          <w:sz w:val="22"/>
          <w:szCs w:val="22"/>
        </w:rPr>
        <w:t>organizátoři, ozvučení techniky, animátoři;</w:t>
      </w:r>
    </w:p>
    <w:p w14:paraId="25FC8C1D" w14:textId="54A93B7D" w:rsidR="004E2B6B" w:rsidRPr="005D2422" w:rsidRDefault="005D2422" w:rsidP="005D2422">
      <w:pPr>
        <w:pStyle w:val="Odstavecseseznamem"/>
        <w:numPr>
          <w:ilvl w:val="0"/>
          <w:numId w:val="1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5D2422">
        <w:rPr>
          <w:rFonts w:ascii="Times New Roman" w:hAnsi="Times New Roman"/>
          <w:bCs/>
          <w:iCs/>
          <w:sz w:val="22"/>
          <w:szCs w:val="22"/>
        </w:rPr>
        <w:t>doprava prokazatelně spojená s realizací projektu.</w:t>
      </w:r>
    </w:p>
    <w:p w14:paraId="59FABC9D" w14:textId="77777777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6497F01A" w:rsidR="00F65D28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33E2FECC" w14:textId="77777777" w:rsidR="004E2B6B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2D2AF13" w14:textId="72780833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a to v době </w:t>
      </w:r>
      <w:r w:rsidRPr="00200883">
        <w:rPr>
          <w:rFonts w:ascii="Times New Roman" w:hAnsi="Times New Roman"/>
          <w:sz w:val="22"/>
          <w:szCs w:val="22"/>
        </w:rPr>
        <w:t>od</w:t>
      </w:r>
      <w:r w:rsidR="00372919" w:rsidRPr="00200883">
        <w:rPr>
          <w:rFonts w:ascii="Times New Roman" w:hAnsi="Times New Roman"/>
          <w:sz w:val="22"/>
          <w:szCs w:val="22"/>
        </w:rPr>
        <w:t xml:space="preserve"> </w:t>
      </w:r>
      <w:r w:rsidR="00EC0316" w:rsidRPr="00200883">
        <w:rPr>
          <w:rFonts w:ascii="Times New Roman" w:hAnsi="Times New Roman"/>
          <w:b/>
          <w:bCs/>
          <w:sz w:val="22"/>
          <w:szCs w:val="22"/>
        </w:rPr>
        <w:t>1.</w:t>
      </w:r>
      <w:r w:rsidR="00EC1546">
        <w:rPr>
          <w:rFonts w:ascii="Times New Roman" w:hAnsi="Times New Roman"/>
          <w:b/>
          <w:bCs/>
          <w:sz w:val="22"/>
          <w:szCs w:val="22"/>
        </w:rPr>
        <w:t>9</w:t>
      </w:r>
      <w:r w:rsidR="00EC0316" w:rsidRPr="00200883">
        <w:rPr>
          <w:rFonts w:ascii="Times New Roman" w:hAnsi="Times New Roman"/>
          <w:b/>
          <w:bCs/>
          <w:sz w:val="22"/>
          <w:szCs w:val="22"/>
        </w:rPr>
        <w:t>.2022</w:t>
      </w:r>
      <w:r w:rsidRPr="00FA7EEF">
        <w:rPr>
          <w:rFonts w:ascii="Times New Roman" w:hAnsi="Times New Roman"/>
          <w:sz w:val="22"/>
          <w:szCs w:val="22"/>
        </w:rPr>
        <w:t xml:space="preserve"> do</w:t>
      </w:r>
      <w:r w:rsidR="00372919" w:rsidRPr="00FA7EEF">
        <w:rPr>
          <w:rFonts w:ascii="Times New Roman" w:hAnsi="Times New Roman"/>
          <w:sz w:val="22"/>
          <w:szCs w:val="22"/>
        </w:rPr>
        <w:t xml:space="preserve"> </w:t>
      </w:r>
      <w:r w:rsidR="00EC1546" w:rsidRPr="00EC1546">
        <w:rPr>
          <w:rFonts w:ascii="Times New Roman" w:hAnsi="Times New Roman"/>
          <w:b/>
          <w:bCs/>
          <w:sz w:val="22"/>
          <w:szCs w:val="22"/>
        </w:rPr>
        <w:t>15</w:t>
      </w:r>
      <w:r w:rsidR="000572EA" w:rsidRPr="00EC1546">
        <w:rPr>
          <w:rFonts w:ascii="Times New Roman" w:hAnsi="Times New Roman"/>
          <w:b/>
          <w:bCs/>
          <w:sz w:val="22"/>
          <w:szCs w:val="22"/>
        </w:rPr>
        <w:t>.</w:t>
      </w:r>
      <w:r w:rsidR="00EC1546" w:rsidRPr="00EC1546">
        <w:rPr>
          <w:rFonts w:ascii="Times New Roman" w:hAnsi="Times New Roman"/>
          <w:b/>
          <w:bCs/>
          <w:sz w:val="22"/>
          <w:szCs w:val="22"/>
        </w:rPr>
        <w:t>12</w:t>
      </w:r>
      <w:r w:rsidR="000572EA" w:rsidRPr="00EC1546">
        <w:rPr>
          <w:rFonts w:ascii="Times New Roman" w:hAnsi="Times New Roman"/>
          <w:b/>
          <w:bCs/>
          <w:sz w:val="22"/>
          <w:szCs w:val="22"/>
        </w:rPr>
        <w:t>.2022.</w:t>
      </w:r>
    </w:p>
    <w:p w14:paraId="27934871" w14:textId="22B1A435" w:rsidR="0034440D" w:rsidRDefault="0034440D" w:rsidP="006A0802">
      <w:pPr>
        <w:pStyle w:val="JVS2"/>
        <w:jc w:val="both"/>
      </w:pP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5761AC12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se příjemci p</w:t>
      </w:r>
      <w:r w:rsidR="00795E5C" w:rsidRPr="004A50AA">
        <w:rPr>
          <w:rFonts w:ascii="Times New Roman" w:hAnsi="Times New Roman"/>
          <w:sz w:val="22"/>
          <w:szCs w:val="22"/>
        </w:rPr>
        <w:t>oskyt</w:t>
      </w:r>
      <w:r w:rsidRPr="004A50AA">
        <w:rPr>
          <w:rFonts w:ascii="Times New Roman" w:hAnsi="Times New Roman"/>
          <w:sz w:val="22"/>
          <w:szCs w:val="22"/>
        </w:rPr>
        <w:t xml:space="preserve">uje </w:t>
      </w:r>
      <w:r w:rsidR="00795E5C" w:rsidRPr="004A50AA">
        <w:rPr>
          <w:rFonts w:ascii="Times New Roman" w:hAnsi="Times New Roman"/>
          <w:sz w:val="22"/>
          <w:szCs w:val="22"/>
        </w:rPr>
        <w:t xml:space="preserve">v </w:t>
      </w:r>
      <w:r w:rsidR="00795E5C" w:rsidRPr="002A428A">
        <w:rPr>
          <w:rFonts w:ascii="Times New Roman" w:hAnsi="Times New Roman"/>
          <w:sz w:val="22"/>
          <w:szCs w:val="22"/>
        </w:rPr>
        <w:t xml:space="preserve">celkové výši </w:t>
      </w:r>
      <w:r w:rsidR="005D2422">
        <w:rPr>
          <w:rFonts w:ascii="Times New Roman" w:hAnsi="Times New Roman"/>
          <w:b/>
          <w:sz w:val="22"/>
          <w:szCs w:val="22"/>
        </w:rPr>
        <w:t>20</w:t>
      </w:r>
      <w:r w:rsidR="006C5262" w:rsidRPr="00CF129E">
        <w:rPr>
          <w:rFonts w:ascii="Times New Roman" w:hAnsi="Times New Roman"/>
          <w:b/>
          <w:sz w:val="22"/>
          <w:szCs w:val="22"/>
        </w:rPr>
        <w:t>0</w:t>
      </w:r>
      <w:r w:rsidR="006460C1" w:rsidRPr="00CF129E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CF129E">
        <w:rPr>
          <w:rFonts w:ascii="Times New Roman" w:hAnsi="Times New Roman"/>
          <w:b/>
          <w:sz w:val="22"/>
          <w:szCs w:val="22"/>
        </w:rPr>
        <w:t>,-</w:t>
      </w:r>
      <w:r w:rsidR="00C65402" w:rsidRPr="00CF129E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CF129E">
        <w:rPr>
          <w:rFonts w:ascii="Times New Roman" w:hAnsi="Times New Roman"/>
          <w:b/>
          <w:sz w:val="22"/>
          <w:szCs w:val="22"/>
        </w:rPr>
        <w:t>Kč</w:t>
      </w:r>
      <w:r w:rsidR="00795E5C" w:rsidRPr="00CF129E">
        <w:rPr>
          <w:rFonts w:ascii="Times New Roman" w:hAnsi="Times New Roman"/>
          <w:sz w:val="22"/>
          <w:szCs w:val="22"/>
        </w:rPr>
        <w:t xml:space="preserve"> </w:t>
      </w:r>
      <w:r w:rsidR="00E44814" w:rsidRPr="00CF129E">
        <w:rPr>
          <w:rFonts w:ascii="Times New Roman" w:hAnsi="Times New Roman"/>
          <w:sz w:val="22"/>
          <w:szCs w:val="22"/>
        </w:rPr>
        <w:t>(</w:t>
      </w:r>
      <w:r w:rsidR="00795E5C" w:rsidRPr="00CF129E">
        <w:rPr>
          <w:rFonts w:ascii="Times New Roman" w:hAnsi="Times New Roman"/>
          <w:sz w:val="22"/>
          <w:szCs w:val="22"/>
        </w:rPr>
        <w:t>slovy</w:t>
      </w:r>
      <w:r w:rsidR="00E44814" w:rsidRPr="00CF129E">
        <w:rPr>
          <w:rFonts w:ascii="Times New Roman" w:hAnsi="Times New Roman"/>
          <w:sz w:val="22"/>
          <w:szCs w:val="22"/>
        </w:rPr>
        <w:t>:</w:t>
      </w:r>
      <w:r w:rsidR="00795E5C" w:rsidRPr="00CF129E">
        <w:rPr>
          <w:rFonts w:ascii="Times New Roman" w:hAnsi="Times New Roman"/>
          <w:sz w:val="22"/>
          <w:szCs w:val="22"/>
        </w:rPr>
        <w:t xml:space="preserve"> </w:t>
      </w:r>
      <w:r w:rsidR="005D2422">
        <w:rPr>
          <w:rFonts w:ascii="Times New Roman" w:hAnsi="Times New Roman"/>
          <w:sz w:val="22"/>
          <w:szCs w:val="22"/>
        </w:rPr>
        <w:t>dvěstě</w:t>
      </w:r>
      <w:r w:rsidR="006C5262" w:rsidRPr="00CF129E">
        <w:rPr>
          <w:rFonts w:ascii="Times New Roman" w:hAnsi="Times New Roman"/>
          <w:sz w:val="22"/>
          <w:szCs w:val="22"/>
        </w:rPr>
        <w:t>tisíc</w:t>
      </w:r>
      <w:r w:rsidR="006460C1" w:rsidRPr="00CF129E">
        <w:rPr>
          <w:rFonts w:ascii="Times New Roman" w:hAnsi="Times New Roman"/>
          <w:sz w:val="22"/>
          <w:szCs w:val="22"/>
        </w:rPr>
        <w:t xml:space="preserve"> </w:t>
      </w:r>
      <w:r w:rsidR="00795E5C" w:rsidRPr="00CF129E">
        <w:rPr>
          <w:rFonts w:ascii="Times New Roman" w:hAnsi="Times New Roman"/>
          <w:sz w:val="22"/>
          <w:szCs w:val="22"/>
        </w:rPr>
        <w:t>korun če</w:t>
      </w:r>
      <w:r w:rsidRPr="00CF129E">
        <w:rPr>
          <w:rFonts w:ascii="Times New Roman" w:hAnsi="Times New Roman"/>
          <w:sz w:val="22"/>
          <w:szCs w:val="22"/>
        </w:rPr>
        <w:t>ských</w:t>
      </w:r>
      <w:r w:rsidR="00E44814" w:rsidRPr="00CF129E">
        <w:rPr>
          <w:rFonts w:ascii="Times New Roman" w:hAnsi="Times New Roman"/>
          <w:sz w:val="22"/>
          <w:szCs w:val="22"/>
        </w:rPr>
        <w:t>)</w:t>
      </w:r>
      <w:r w:rsidRPr="00CF129E">
        <w:rPr>
          <w:rFonts w:ascii="Times New Roman" w:hAnsi="Times New Roman"/>
          <w:sz w:val="22"/>
          <w:szCs w:val="22"/>
        </w:rPr>
        <w:t>.</w:t>
      </w:r>
      <w:r w:rsidRPr="00D85D62">
        <w:rPr>
          <w:rFonts w:ascii="Times New Roman" w:hAnsi="Times New Roman"/>
          <w:sz w:val="22"/>
          <w:szCs w:val="22"/>
        </w:rPr>
        <w:t xml:space="preserve">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63F1080E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FA7EEF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200883">
        <w:rPr>
          <w:rFonts w:ascii="Times New Roman" w:hAnsi="Times New Roman"/>
          <w:b/>
          <w:sz w:val="22"/>
          <w:szCs w:val="22"/>
        </w:rPr>
        <w:t>1.</w:t>
      </w:r>
      <w:r w:rsidR="00EC1546">
        <w:rPr>
          <w:rFonts w:ascii="Times New Roman" w:hAnsi="Times New Roman"/>
          <w:b/>
          <w:sz w:val="22"/>
          <w:szCs w:val="22"/>
        </w:rPr>
        <w:t>9</w:t>
      </w:r>
      <w:r w:rsidR="00EC0316" w:rsidRPr="00200883">
        <w:rPr>
          <w:rFonts w:ascii="Times New Roman" w:hAnsi="Times New Roman"/>
          <w:b/>
          <w:sz w:val="22"/>
          <w:szCs w:val="22"/>
        </w:rPr>
        <w:t>.2022</w:t>
      </w:r>
      <w:r w:rsidRPr="00200883">
        <w:rPr>
          <w:rFonts w:ascii="Times New Roman" w:hAnsi="Times New Roman"/>
          <w:b/>
          <w:sz w:val="22"/>
          <w:szCs w:val="22"/>
        </w:rPr>
        <w:t xml:space="preserve"> </w:t>
      </w:r>
      <w:r w:rsidRPr="00EC1546">
        <w:rPr>
          <w:rFonts w:ascii="Times New Roman" w:hAnsi="Times New Roman"/>
          <w:b/>
          <w:sz w:val="22"/>
          <w:szCs w:val="22"/>
        </w:rPr>
        <w:t xml:space="preserve">do </w:t>
      </w:r>
      <w:r w:rsidR="00EC1546" w:rsidRPr="00EC1546">
        <w:rPr>
          <w:rFonts w:ascii="Times New Roman" w:hAnsi="Times New Roman"/>
          <w:b/>
          <w:sz w:val="22"/>
          <w:szCs w:val="22"/>
        </w:rPr>
        <w:t>15</w:t>
      </w:r>
      <w:r w:rsidR="003D03DB" w:rsidRPr="00EC1546">
        <w:rPr>
          <w:rFonts w:ascii="Times New Roman" w:hAnsi="Times New Roman"/>
          <w:b/>
          <w:sz w:val="22"/>
          <w:szCs w:val="22"/>
        </w:rPr>
        <w:t>.</w:t>
      </w:r>
      <w:r w:rsidR="00EC1546" w:rsidRPr="00EC1546">
        <w:rPr>
          <w:rFonts w:ascii="Times New Roman" w:hAnsi="Times New Roman"/>
          <w:b/>
          <w:sz w:val="22"/>
          <w:szCs w:val="22"/>
        </w:rPr>
        <w:t>12</w:t>
      </w:r>
      <w:r w:rsidR="003D03DB" w:rsidRPr="00EC1546">
        <w:rPr>
          <w:rFonts w:ascii="Times New Roman" w:hAnsi="Times New Roman"/>
          <w:b/>
          <w:sz w:val="22"/>
          <w:szCs w:val="22"/>
        </w:rPr>
        <w:t>.2022</w:t>
      </w:r>
      <w:r w:rsidR="00CD1D08" w:rsidRPr="00EC1546">
        <w:rPr>
          <w:rFonts w:ascii="Times New Roman" w:hAnsi="Times New Roman"/>
          <w:sz w:val="22"/>
          <w:szCs w:val="22"/>
        </w:rPr>
        <w:t xml:space="preserve"> a</w:t>
      </w:r>
      <w:r w:rsidR="00CD1D08" w:rsidRPr="002D450E">
        <w:rPr>
          <w:rFonts w:ascii="Times New Roman" w:hAnsi="Times New Roman"/>
          <w:sz w:val="22"/>
          <w:szCs w:val="22"/>
        </w:rPr>
        <w:t xml:space="preserve"> </w:t>
      </w:r>
      <w:r w:rsidR="00C67CDD" w:rsidRPr="002D450E">
        <w:rPr>
          <w:rFonts w:ascii="Times New Roman" w:hAnsi="Times New Roman"/>
          <w:sz w:val="22"/>
          <w:szCs w:val="22"/>
        </w:rPr>
        <w:t xml:space="preserve">za účelem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1B3DED" w14:textId="0E0A213C" w:rsidR="00F91B77" w:rsidRPr="000E254D" w:rsidRDefault="00287526" w:rsidP="00F91B77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FA7EEF">
        <w:rPr>
          <w:rFonts w:ascii="Times New Roman" w:hAnsi="Times New Roman"/>
          <w:sz w:val="22"/>
          <w:szCs w:val="22"/>
        </w:rPr>
        <w:t xml:space="preserve">hrazeny od </w:t>
      </w:r>
      <w:r w:rsidR="00EC0316" w:rsidRPr="00EC1546">
        <w:rPr>
          <w:rFonts w:ascii="Times New Roman" w:hAnsi="Times New Roman"/>
          <w:b/>
          <w:bCs/>
          <w:sz w:val="22"/>
          <w:szCs w:val="22"/>
        </w:rPr>
        <w:t>1.</w:t>
      </w:r>
      <w:r w:rsidR="00EC1546" w:rsidRPr="00EC1546">
        <w:rPr>
          <w:rFonts w:ascii="Times New Roman" w:hAnsi="Times New Roman"/>
          <w:b/>
          <w:bCs/>
          <w:sz w:val="22"/>
          <w:szCs w:val="22"/>
        </w:rPr>
        <w:t>9</w:t>
      </w:r>
      <w:r w:rsidR="00EC0316" w:rsidRPr="00EC1546">
        <w:rPr>
          <w:rFonts w:ascii="Times New Roman" w:hAnsi="Times New Roman"/>
          <w:b/>
          <w:bCs/>
          <w:sz w:val="22"/>
          <w:szCs w:val="22"/>
        </w:rPr>
        <w:t>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770B8440" w14:textId="57F6756A" w:rsidR="00F91B77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5034691" w14:textId="77777777" w:rsidR="00853A14" w:rsidRPr="00B146F9" w:rsidRDefault="00853A14" w:rsidP="00853A14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776207E0" w14:textId="2D46E40B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06D51F21" w14:textId="6E4C9472" w:rsidR="005247BA" w:rsidRDefault="005247BA" w:rsidP="00F07271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065AA26" w14:textId="43797DC4" w:rsidR="00B146F9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650A313A" w14:textId="77777777" w:rsidR="001B4A44" w:rsidRDefault="001B4A44" w:rsidP="00F07271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</w:t>
      </w:r>
      <w:r w:rsidR="00194C7A" w:rsidRPr="002D450E">
        <w:rPr>
          <w:rFonts w:ascii="Times New Roman" w:hAnsi="Times New Roman"/>
          <w:sz w:val="22"/>
          <w:szCs w:val="22"/>
        </w:rPr>
        <w:lastRenderedPageBreak/>
        <w:t xml:space="preserve">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(hyperlinkem)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4A50AA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4A50AA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5462EB3A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t>Předložit poskytovateli nejpozděj</w:t>
      </w:r>
      <w:r w:rsidRPr="00FA7EEF">
        <w:rPr>
          <w:rFonts w:ascii="Times New Roman" w:hAnsi="Times New Roman"/>
          <w:sz w:val="22"/>
          <w:szCs w:val="22"/>
        </w:rPr>
        <w:t xml:space="preserve">i </w:t>
      </w:r>
      <w:r w:rsidRPr="00EC1546">
        <w:rPr>
          <w:rFonts w:ascii="Times New Roman" w:hAnsi="Times New Roman"/>
          <w:b/>
          <w:sz w:val="22"/>
          <w:szCs w:val="22"/>
        </w:rPr>
        <w:t xml:space="preserve">do </w:t>
      </w:r>
      <w:r w:rsidR="00EC1546" w:rsidRPr="00EC1546">
        <w:rPr>
          <w:rFonts w:ascii="Times New Roman" w:hAnsi="Times New Roman"/>
          <w:b/>
          <w:sz w:val="22"/>
          <w:szCs w:val="22"/>
        </w:rPr>
        <w:t>30</w:t>
      </w:r>
      <w:r w:rsidR="00110045" w:rsidRPr="00EC1546">
        <w:rPr>
          <w:rFonts w:ascii="Times New Roman" w:hAnsi="Times New Roman"/>
          <w:b/>
          <w:sz w:val="22"/>
          <w:szCs w:val="22"/>
        </w:rPr>
        <w:t>.</w:t>
      </w:r>
      <w:r w:rsidR="00EC1546" w:rsidRPr="00EC1546">
        <w:rPr>
          <w:rFonts w:ascii="Times New Roman" w:hAnsi="Times New Roman"/>
          <w:b/>
          <w:sz w:val="22"/>
          <w:szCs w:val="22"/>
        </w:rPr>
        <w:t>12</w:t>
      </w:r>
      <w:r w:rsidR="00110045" w:rsidRPr="00EC1546">
        <w:rPr>
          <w:rFonts w:ascii="Times New Roman" w:hAnsi="Times New Roman"/>
          <w:b/>
          <w:sz w:val="22"/>
          <w:szCs w:val="22"/>
        </w:rPr>
        <w:t>.2022</w:t>
      </w:r>
      <w:r w:rsidRPr="00EC1546">
        <w:rPr>
          <w:rFonts w:ascii="Times New Roman" w:hAnsi="Times New Roman"/>
          <w:sz w:val="22"/>
          <w:szCs w:val="22"/>
        </w:rPr>
        <w:t xml:space="preserve"> </w:t>
      </w:r>
      <w:r w:rsidR="00550DBF" w:rsidRPr="00EC1546">
        <w:rPr>
          <w:rFonts w:ascii="Times New Roman" w:hAnsi="Times New Roman"/>
          <w:sz w:val="22"/>
          <w:szCs w:val="22"/>
        </w:rPr>
        <w:t>finanční</w:t>
      </w:r>
      <w:r w:rsidR="00550DBF" w:rsidRPr="008155E8">
        <w:rPr>
          <w:rFonts w:ascii="Times New Roman" w:hAnsi="Times New Roman"/>
          <w:sz w:val="22"/>
          <w:szCs w:val="22"/>
        </w:rPr>
        <w:t xml:space="preserve">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3212F7B4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CF129E">
        <w:rPr>
          <w:rFonts w:ascii="Times New Roman" w:hAnsi="Times New Roman"/>
          <w:sz w:val="22"/>
          <w:szCs w:val="22"/>
        </w:rPr>
        <w:t xml:space="preserve">symbol </w:t>
      </w:r>
      <w:r w:rsidR="00FD4788" w:rsidRPr="00CF129E">
        <w:rPr>
          <w:rFonts w:ascii="Times New Roman" w:hAnsi="Times New Roman"/>
          <w:sz w:val="22"/>
          <w:szCs w:val="22"/>
        </w:rPr>
        <w:t>17</w:t>
      </w:r>
      <w:r w:rsidR="00CF129E" w:rsidRPr="00CF129E">
        <w:rPr>
          <w:rFonts w:ascii="Times New Roman" w:hAnsi="Times New Roman"/>
          <w:sz w:val="22"/>
          <w:szCs w:val="22"/>
        </w:rPr>
        <w:t>4</w:t>
      </w:r>
      <w:r w:rsidR="00951E00">
        <w:rPr>
          <w:rFonts w:ascii="Times New Roman" w:hAnsi="Times New Roman"/>
          <w:sz w:val="22"/>
          <w:szCs w:val="22"/>
        </w:rPr>
        <w:t>4</w:t>
      </w:r>
      <w:r w:rsidR="00FD4788" w:rsidRPr="00CF129E">
        <w:rPr>
          <w:rFonts w:ascii="Times New Roman" w:hAnsi="Times New Roman"/>
          <w:sz w:val="22"/>
          <w:szCs w:val="22"/>
        </w:rPr>
        <w:t>2022</w:t>
      </w:r>
      <w:r w:rsidRPr="00CF129E">
        <w:rPr>
          <w:rFonts w:ascii="Times New Roman" w:hAnsi="Times New Roman"/>
          <w:sz w:val="22"/>
          <w:szCs w:val="22"/>
        </w:rPr>
        <w:t>,</w:t>
      </w:r>
      <w:r w:rsidRPr="00FD4788">
        <w:rPr>
          <w:rFonts w:ascii="Times New Roman" w:hAnsi="Times New Roman"/>
          <w:sz w:val="22"/>
          <w:szCs w:val="22"/>
        </w:rPr>
        <w:t xml:space="preserve">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8155E8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</w:t>
      </w:r>
      <w:r w:rsidRPr="008155E8">
        <w:rPr>
          <w:rFonts w:ascii="Times New Roman" w:hAnsi="Times New Roman"/>
          <w:sz w:val="22"/>
          <w:szCs w:val="22"/>
        </w:rPr>
        <w:lastRenderedPageBreak/>
        <w:t xml:space="preserve">dle věty první se týká 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11145214" w14:textId="69634BD6" w:rsidR="007F4073" w:rsidRPr="000E254D" w:rsidRDefault="005D52A0" w:rsidP="007F40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5E177C0D" w14:textId="146356CD" w:rsidR="008E431A" w:rsidRPr="000E254D" w:rsidRDefault="002D6629" w:rsidP="000E254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45FEF988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>o zadávání veřejných zakázek, ve znění pozdějších předpisů, je – li příjemce zadavatelem veřejné zakázky nebo splní – 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61B7A514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2F73128" w14:textId="47F45CEF" w:rsidR="00C92D74" w:rsidRPr="000E254D" w:rsidRDefault="00CA7B36" w:rsidP="0084196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1B8D7C78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986AAC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44B29F14" w14:textId="77777777" w:rsidR="00AC0906" w:rsidRDefault="00AC0906" w:rsidP="006A0802">
      <w:pPr>
        <w:pStyle w:val="JVS2"/>
        <w:jc w:val="both"/>
      </w:pPr>
    </w:p>
    <w:p w14:paraId="463AEAA8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1ABF51" w14:textId="70007737" w:rsidR="00085CC9" w:rsidRPr="000E254D" w:rsidRDefault="00FB6667" w:rsidP="000E254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8  - 30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242A68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503FBE6" w14:textId="77777777" w:rsidR="00F65D28" w:rsidRDefault="00F65D28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0134E23F" w14:textId="09B6E11A" w:rsidR="00DE201F" w:rsidRDefault="00795E5C" w:rsidP="00DE201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47E64D4E" w14:textId="77777777" w:rsidR="00853A14" w:rsidRDefault="00853A14" w:rsidP="00853A1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b/>
          <w:sz w:val="22"/>
          <w:szCs w:val="22"/>
        </w:rPr>
      </w:pPr>
    </w:p>
    <w:p w14:paraId="45E11988" w14:textId="4AE9AA3E" w:rsidR="00795E5C" w:rsidRPr="00DE201F" w:rsidRDefault="00002951" w:rsidP="00DE201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E201F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219FB564" w14:textId="5E30C785" w:rsidR="00E37019" w:rsidRPr="00F07271" w:rsidRDefault="00AC0E1E" w:rsidP="00F07271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407E5C87" w14:textId="4C3FEE68" w:rsidR="00CB1BC7" w:rsidRDefault="00795E5C" w:rsidP="008916C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Změnit nebo doplnit tuto smlouvu mohou smluvní strany pouze formou písemných dodatků, které budou vzestupně číslovány, výslovně prohlášeny za dodatek této smlouvy a podepsány oprávněnými zástupci </w:t>
      </w:r>
      <w:r w:rsidRPr="00D53E4D">
        <w:rPr>
          <w:rFonts w:ascii="Times New Roman" w:hAnsi="Times New Roman"/>
          <w:sz w:val="22"/>
          <w:szCs w:val="22"/>
        </w:rPr>
        <w:lastRenderedPageBreak/>
        <w:t>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BA9EDB6" w14:textId="77777777" w:rsidR="00853A14" w:rsidRPr="008916CF" w:rsidRDefault="00853A14" w:rsidP="00853A1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761E8440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CF28EE">
        <w:rPr>
          <w:rFonts w:ascii="Times New Roman" w:hAnsi="Times New Roman"/>
          <w:sz w:val="22"/>
          <w:szCs w:val="22"/>
        </w:rPr>
        <w:t>usnesením</w:t>
      </w:r>
      <w:r w:rsidR="000E30B3" w:rsidRPr="00CF28EE">
        <w:rPr>
          <w:rFonts w:ascii="Times New Roman" w:hAnsi="Times New Roman"/>
          <w:sz w:val="22"/>
          <w:szCs w:val="22"/>
        </w:rPr>
        <w:t xml:space="preserve"> </w:t>
      </w:r>
      <w:r w:rsidR="006338B2" w:rsidRPr="00CF28EE">
        <w:rPr>
          <w:rFonts w:ascii="Times New Roman" w:hAnsi="Times New Roman"/>
          <w:sz w:val="22"/>
          <w:szCs w:val="22"/>
        </w:rPr>
        <w:t>č.</w:t>
      </w:r>
      <w:r w:rsidR="00FF58A1" w:rsidRPr="00CF28EE">
        <w:rPr>
          <w:rFonts w:ascii="Times New Roman" w:hAnsi="Times New Roman"/>
          <w:sz w:val="22"/>
          <w:szCs w:val="22"/>
        </w:rPr>
        <w:t xml:space="preserve"> </w:t>
      </w:r>
      <w:r w:rsidR="00CF28EE" w:rsidRPr="00CF28EE">
        <w:rPr>
          <w:rFonts w:ascii="Times New Roman" w:hAnsi="Times New Roman"/>
          <w:sz w:val="22"/>
          <w:szCs w:val="22"/>
        </w:rPr>
        <w:t>2123/ZM1822/35</w:t>
      </w:r>
      <w:r w:rsidR="00630DE2" w:rsidRPr="00CF28EE">
        <w:rPr>
          <w:rFonts w:ascii="Times New Roman" w:hAnsi="Times New Roman"/>
          <w:sz w:val="22"/>
          <w:szCs w:val="22"/>
        </w:rPr>
        <w:t xml:space="preserve"> </w:t>
      </w:r>
      <w:r w:rsidR="006338B2" w:rsidRPr="00CF28EE">
        <w:rPr>
          <w:rFonts w:ascii="Times New Roman" w:hAnsi="Times New Roman"/>
          <w:sz w:val="22"/>
          <w:szCs w:val="22"/>
        </w:rPr>
        <w:t xml:space="preserve">ze dne </w:t>
      </w:r>
      <w:r w:rsidR="00AF5729" w:rsidRPr="00CF28EE">
        <w:rPr>
          <w:rFonts w:ascii="Times New Roman" w:hAnsi="Times New Roman"/>
          <w:sz w:val="22"/>
          <w:szCs w:val="22"/>
        </w:rPr>
        <w:t>22.06.</w:t>
      </w:r>
      <w:r w:rsidR="00AF5729">
        <w:rPr>
          <w:rFonts w:ascii="Times New Roman" w:hAnsi="Times New Roman"/>
          <w:sz w:val="22"/>
          <w:szCs w:val="22"/>
        </w:rPr>
        <w:t>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5A1AE924" w14:textId="77777777" w:rsidR="003842CF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4B08C29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B530043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669E7CC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6FBB00E1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7AEA17" w14:textId="0E570253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Místo:   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0460D826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Andrea Hoffmannová, Ph.D. </w:t>
      </w:r>
      <w:r>
        <w:rPr>
          <w:rFonts w:ascii="Times New Roman" w:hAnsi="Times New Roman"/>
          <w:b/>
          <w:sz w:val="22"/>
          <w:szCs w:val="22"/>
        </w:rPr>
        <w:tab/>
      </w:r>
      <w:r w:rsidR="00DE201F" w:rsidRPr="00DE201F">
        <w:rPr>
          <w:rFonts w:ascii="Times New Roman" w:hAnsi="Times New Roman"/>
          <w:b/>
          <w:bCs/>
          <w:sz w:val="22"/>
          <w:szCs w:val="22"/>
        </w:rPr>
        <w:t>Jiří Šindler</w:t>
      </w:r>
    </w:p>
    <w:p w14:paraId="6E8BBBCF" w14:textId="6D286B21" w:rsidR="00771D89" w:rsidRPr="00E463CE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 xml:space="preserve">náměstkyně primátora </w:t>
      </w:r>
      <w:r>
        <w:rPr>
          <w:rFonts w:ascii="Times New Roman" w:hAnsi="Times New Roman"/>
          <w:sz w:val="22"/>
          <w:szCs w:val="22"/>
        </w:rPr>
        <w:tab/>
      </w:r>
      <w:r w:rsidR="007D5807" w:rsidRPr="00DE201F">
        <w:rPr>
          <w:rFonts w:ascii="Times New Roman" w:hAnsi="Times New Roman"/>
          <w:bCs/>
          <w:sz w:val="22"/>
          <w:szCs w:val="22"/>
        </w:rPr>
        <w:t>předseda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6C117265" w14:textId="650C0BE1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DCCC98C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8916CF">
          <w:type w:val="continuous"/>
          <w:pgSz w:w="11906" w:h="16838" w:code="9"/>
          <w:pgMar w:top="1702" w:right="1106" w:bottom="1276" w:left="1259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4ACF" w14:textId="77777777" w:rsidR="00AD4992" w:rsidRDefault="00AD4992">
      <w:r>
        <w:separator/>
      </w:r>
    </w:p>
  </w:endnote>
  <w:endnote w:type="continuationSeparator" w:id="0">
    <w:p w14:paraId="15A71230" w14:textId="77777777" w:rsidR="00AD4992" w:rsidRDefault="00AD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1D6B5A" w:rsidRDefault="00754216">
    <w:pPr>
      <w:pStyle w:val="Zpat"/>
      <w:jc w:val="right"/>
      <w:rPr>
        <w:rStyle w:val="slostrnky"/>
        <w:rFonts w:cs="Arial"/>
        <w:b/>
        <w:iCs/>
        <w:color w:val="003C69"/>
        <w:sz w:val="18"/>
        <w:szCs w:val="22"/>
      </w:rPr>
    </w:pP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begin"/>
    </w:r>
    <w:r w:rsidRPr="001D6B5A">
      <w:rPr>
        <w:rStyle w:val="slostrnky"/>
        <w:rFonts w:cs="Arial"/>
        <w:b/>
        <w:iCs/>
        <w:color w:val="003C69"/>
        <w:sz w:val="18"/>
        <w:szCs w:val="22"/>
      </w:rPr>
      <w:instrText>PAGE   \* MERGEFORMAT</w:instrTex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separate"/>
    </w:r>
    <w:r w:rsidRPr="001D6B5A">
      <w:rPr>
        <w:rStyle w:val="slostrnky"/>
        <w:rFonts w:cs="Arial"/>
        <w:b/>
        <w:iCs/>
        <w:color w:val="003C69"/>
        <w:sz w:val="18"/>
        <w:szCs w:val="22"/>
      </w:rPr>
      <w:t>2</w: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end"/>
    </w:r>
  </w:p>
  <w:p w14:paraId="24590F1C" w14:textId="7FC8A2E2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3D2414" w:rsidRPr="003D2414">
      <w:rPr>
        <w:rStyle w:val="slostrnky"/>
        <w:rFonts w:cs="Arial"/>
        <w:b/>
        <w:iCs/>
        <w:color w:val="003C69"/>
        <w:sz w:val="18"/>
        <w:szCs w:val="22"/>
      </w:rPr>
      <w:t>ParaTour - Paralympijské školní dny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39C4" w14:textId="77777777" w:rsidR="00AD4992" w:rsidRDefault="00AD4992">
      <w:r>
        <w:separator/>
      </w:r>
    </w:p>
  </w:footnote>
  <w:footnote w:type="continuationSeparator" w:id="0">
    <w:p w14:paraId="0358373E" w14:textId="77777777" w:rsidR="00AD4992" w:rsidRDefault="00AD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6C79891F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CF129E">
      <w:rPr>
        <w:rFonts w:cs="Arial"/>
        <w:b/>
        <w:color w:val="00ADD0"/>
      </w:rPr>
      <w:t>4</w:t>
    </w:r>
    <w:r w:rsidR="00951E00">
      <w:rPr>
        <w:rFonts w:cs="Arial"/>
        <w:b/>
        <w:color w:val="00ADD0"/>
      </w:rPr>
      <w:t>4</w:t>
    </w:r>
    <w:r>
      <w:rPr>
        <w:rFonts w:cs="Arial"/>
        <w:b/>
        <w:color w:val="00ADD0"/>
      </w:rPr>
      <w:t>/2022/ŠaS</w:t>
    </w:r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8258D"/>
    <w:multiLevelType w:val="hybridMultilevel"/>
    <w:tmpl w:val="B6EC31C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378A8"/>
    <w:multiLevelType w:val="hybridMultilevel"/>
    <w:tmpl w:val="51AA5468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0F403F"/>
    <w:multiLevelType w:val="hybridMultilevel"/>
    <w:tmpl w:val="E340D254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10"/>
  </w:num>
  <w:num w:numId="3" w16cid:durableId="2084834153">
    <w:abstractNumId w:val="2"/>
  </w:num>
  <w:num w:numId="4" w16cid:durableId="770392901">
    <w:abstractNumId w:val="11"/>
  </w:num>
  <w:num w:numId="5" w16cid:durableId="768546004">
    <w:abstractNumId w:val="8"/>
  </w:num>
  <w:num w:numId="6" w16cid:durableId="1284385003">
    <w:abstractNumId w:val="12"/>
  </w:num>
  <w:num w:numId="7" w16cid:durableId="671106170">
    <w:abstractNumId w:val="13"/>
  </w:num>
  <w:num w:numId="8" w16cid:durableId="294873808">
    <w:abstractNumId w:val="0"/>
  </w:num>
  <w:num w:numId="9" w16cid:durableId="591741078">
    <w:abstractNumId w:val="3"/>
  </w:num>
  <w:num w:numId="10" w16cid:durableId="1609779192">
    <w:abstractNumId w:val="1"/>
  </w:num>
  <w:num w:numId="11" w16cid:durableId="299531791">
    <w:abstractNumId w:val="5"/>
  </w:num>
  <w:num w:numId="12" w16cid:durableId="74783331">
    <w:abstractNumId w:val="9"/>
  </w:num>
  <w:num w:numId="13" w16cid:durableId="1412314610">
    <w:abstractNumId w:val="4"/>
  </w:num>
  <w:num w:numId="14" w16cid:durableId="66246872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E25"/>
    <w:rsid w:val="000161F5"/>
    <w:rsid w:val="00016330"/>
    <w:rsid w:val="000205E0"/>
    <w:rsid w:val="000236C0"/>
    <w:rsid w:val="00026CF1"/>
    <w:rsid w:val="000311DA"/>
    <w:rsid w:val="00031545"/>
    <w:rsid w:val="0004703C"/>
    <w:rsid w:val="000527CF"/>
    <w:rsid w:val="00053373"/>
    <w:rsid w:val="00054A48"/>
    <w:rsid w:val="00054AF8"/>
    <w:rsid w:val="000564B7"/>
    <w:rsid w:val="000572EA"/>
    <w:rsid w:val="00060A18"/>
    <w:rsid w:val="00066DCB"/>
    <w:rsid w:val="000728AE"/>
    <w:rsid w:val="00072A7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435B"/>
    <w:rsid w:val="000C70A3"/>
    <w:rsid w:val="000D0655"/>
    <w:rsid w:val="000D7D89"/>
    <w:rsid w:val="000E0586"/>
    <w:rsid w:val="000E254D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1B99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4B63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6B5A"/>
    <w:rsid w:val="001D7ACC"/>
    <w:rsid w:val="001E1490"/>
    <w:rsid w:val="001E1552"/>
    <w:rsid w:val="001E6888"/>
    <w:rsid w:val="001E7EE2"/>
    <w:rsid w:val="001F0358"/>
    <w:rsid w:val="001F0787"/>
    <w:rsid w:val="001F6405"/>
    <w:rsid w:val="001F74DA"/>
    <w:rsid w:val="00200883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975A7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0254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414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1482"/>
    <w:rsid w:val="004D42F1"/>
    <w:rsid w:val="004D56D7"/>
    <w:rsid w:val="004D7906"/>
    <w:rsid w:val="004E2B6B"/>
    <w:rsid w:val="004E54EF"/>
    <w:rsid w:val="004E5A46"/>
    <w:rsid w:val="004E6144"/>
    <w:rsid w:val="004F7DD6"/>
    <w:rsid w:val="00504375"/>
    <w:rsid w:val="005058C8"/>
    <w:rsid w:val="005128D7"/>
    <w:rsid w:val="0052255C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36F0"/>
    <w:rsid w:val="0057642B"/>
    <w:rsid w:val="0058370E"/>
    <w:rsid w:val="00591B4E"/>
    <w:rsid w:val="00597663"/>
    <w:rsid w:val="0059769A"/>
    <w:rsid w:val="005A005E"/>
    <w:rsid w:val="005A0252"/>
    <w:rsid w:val="005A3009"/>
    <w:rsid w:val="005A3D73"/>
    <w:rsid w:val="005A56CB"/>
    <w:rsid w:val="005B3867"/>
    <w:rsid w:val="005B7AAD"/>
    <w:rsid w:val="005C2A25"/>
    <w:rsid w:val="005C5DA2"/>
    <w:rsid w:val="005C75B7"/>
    <w:rsid w:val="005D0470"/>
    <w:rsid w:val="005D2422"/>
    <w:rsid w:val="005D4172"/>
    <w:rsid w:val="005D52A0"/>
    <w:rsid w:val="005D6441"/>
    <w:rsid w:val="005D6546"/>
    <w:rsid w:val="005E4677"/>
    <w:rsid w:val="005E4788"/>
    <w:rsid w:val="005E7333"/>
    <w:rsid w:val="005F0DD3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FD"/>
    <w:rsid w:val="006F72FD"/>
    <w:rsid w:val="00701C8F"/>
    <w:rsid w:val="00710E93"/>
    <w:rsid w:val="0071378D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12AD"/>
    <w:rsid w:val="00762B5F"/>
    <w:rsid w:val="00764321"/>
    <w:rsid w:val="00764512"/>
    <w:rsid w:val="0076456D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36E2"/>
    <w:rsid w:val="007B41D5"/>
    <w:rsid w:val="007B5786"/>
    <w:rsid w:val="007C0648"/>
    <w:rsid w:val="007C27DC"/>
    <w:rsid w:val="007C3593"/>
    <w:rsid w:val="007C6AD7"/>
    <w:rsid w:val="007C6D30"/>
    <w:rsid w:val="007D1082"/>
    <w:rsid w:val="007D3227"/>
    <w:rsid w:val="007D3417"/>
    <w:rsid w:val="007D5807"/>
    <w:rsid w:val="007D61D2"/>
    <w:rsid w:val="007E0FDB"/>
    <w:rsid w:val="007E15C4"/>
    <w:rsid w:val="007E21D7"/>
    <w:rsid w:val="007E2466"/>
    <w:rsid w:val="007E283A"/>
    <w:rsid w:val="007E555E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47BC5"/>
    <w:rsid w:val="00850ED4"/>
    <w:rsid w:val="00852789"/>
    <w:rsid w:val="00853A14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68BA"/>
    <w:rsid w:val="00877D74"/>
    <w:rsid w:val="00881385"/>
    <w:rsid w:val="00882E9D"/>
    <w:rsid w:val="0088512C"/>
    <w:rsid w:val="0088601A"/>
    <w:rsid w:val="0088703F"/>
    <w:rsid w:val="008916C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227D"/>
    <w:rsid w:val="00915943"/>
    <w:rsid w:val="0091743B"/>
    <w:rsid w:val="00921EE2"/>
    <w:rsid w:val="009259B7"/>
    <w:rsid w:val="00934734"/>
    <w:rsid w:val="0093695D"/>
    <w:rsid w:val="009454CB"/>
    <w:rsid w:val="009467EE"/>
    <w:rsid w:val="009473A2"/>
    <w:rsid w:val="00947C1B"/>
    <w:rsid w:val="00951E00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4992"/>
    <w:rsid w:val="00AD704B"/>
    <w:rsid w:val="00AD705D"/>
    <w:rsid w:val="00AE0B55"/>
    <w:rsid w:val="00AE0D85"/>
    <w:rsid w:val="00AE3F1E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22461"/>
    <w:rsid w:val="00C2574A"/>
    <w:rsid w:val="00C26B6D"/>
    <w:rsid w:val="00C26CD7"/>
    <w:rsid w:val="00C348CE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E411B"/>
    <w:rsid w:val="00CE5B5C"/>
    <w:rsid w:val="00CE7038"/>
    <w:rsid w:val="00CE7A96"/>
    <w:rsid w:val="00CF129E"/>
    <w:rsid w:val="00CF28EE"/>
    <w:rsid w:val="00CF2D24"/>
    <w:rsid w:val="00CF3C6D"/>
    <w:rsid w:val="00CF401A"/>
    <w:rsid w:val="00CF4899"/>
    <w:rsid w:val="00CF5CD2"/>
    <w:rsid w:val="00CF67E3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43E"/>
    <w:rsid w:val="00D46E9A"/>
    <w:rsid w:val="00D51EF4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85D62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201F"/>
    <w:rsid w:val="00DE5A15"/>
    <w:rsid w:val="00DE6706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1546"/>
    <w:rsid w:val="00EC2726"/>
    <w:rsid w:val="00EC2A56"/>
    <w:rsid w:val="00EC2BFF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6D82"/>
    <w:rsid w:val="00F018C0"/>
    <w:rsid w:val="00F07271"/>
    <w:rsid w:val="00F07E8D"/>
    <w:rsid w:val="00F211A7"/>
    <w:rsid w:val="00F22DDC"/>
    <w:rsid w:val="00F249C1"/>
    <w:rsid w:val="00F3047A"/>
    <w:rsid w:val="00F3088A"/>
    <w:rsid w:val="00F34D36"/>
    <w:rsid w:val="00F428CC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7EEF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3156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76</cp:revision>
  <cp:lastPrinted>2022-05-13T07:44:00Z</cp:lastPrinted>
  <dcterms:created xsi:type="dcterms:W3CDTF">2022-05-26T08:27:00Z</dcterms:created>
  <dcterms:modified xsi:type="dcterms:W3CDTF">2022-08-17T14:01:00Z</dcterms:modified>
</cp:coreProperties>
</file>