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C9A2" w14:textId="77777777" w:rsidR="002F2CFF" w:rsidRPr="00EB7FC4" w:rsidRDefault="00EB7FC4" w:rsidP="002F2CFF">
      <w:pPr>
        <w:autoSpaceDE w:val="0"/>
        <w:autoSpaceDN w:val="0"/>
        <w:adjustRightInd w:val="0"/>
        <w:jc w:val="center"/>
        <w:rPr>
          <w:color w:val="000000"/>
          <w:sz w:val="16"/>
          <w:szCs w:val="16"/>
          <w:highlight w:val="black"/>
          <w:u w:val="single"/>
        </w:rPr>
      </w:pPr>
      <w:r>
        <w:rPr>
          <w:noProof/>
          <w:color w:val="000000"/>
          <w:sz w:val="16"/>
          <w:szCs w:val="16"/>
          <w:highlight w:val="black"/>
          <w:u w:val="single"/>
        </w:rPr>
        <w:t xml:space="preserve">             </w:t>
      </w:r>
    </w:p>
    <w:p w14:paraId="4716113C" w14:textId="77777777" w:rsidR="00432C2B" w:rsidRPr="00EB5C13" w:rsidRDefault="00432C2B" w:rsidP="002F2CFF">
      <w:pPr>
        <w:autoSpaceDE w:val="0"/>
        <w:autoSpaceDN w:val="0"/>
        <w:adjustRightInd w:val="0"/>
        <w:jc w:val="center"/>
        <w:rPr>
          <w:color w:val="000000"/>
          <w:sz w:val="16"/>
          <w:szCs w:val="16"/>
          <w:u w:val="single"/>
        </w:rPr>
      </w:pPr>
    </w:p>
    <w:p w14:paraId="34A00C48" w14:textId="77777777" w:rsidR="002F2CFF" w:rsidRDefault="002F2CFF" w:rsidP="002F2CFF">
      <w:pPr>
        <w:spacing w:line="360" w:lineRule="auto"/>
        <w:ind w:right="-289"/>
        <w:jc w:val="center"/>
        <w:rPr>
          <w:rFonts w:ascii="Times New Roman" w:eastAsia="Times New Roman" w:hAnsi="Times New Roman"/>
          <w:b/>
          <w:sz w:val="28"/>
          <w:szCs w:val="24"/>
        </w:rPr>
      </w:pPr>
      <w:r w:rsidRPr="00E97737">
        <w:rPr>
          <w:rFonts w:ascii="Times New Roman" w:eastAsia="Times New Roman" w:hAnsi="Times New Roman"/>
          <w:b/>
          <w:sz w:val="28"/>
          <w:szCs w:val="24"/>
        </w:rPr>
        <w:t>Smlouva o smlouvě budoucí o zřízení věcného břemene</w:t>
      </w:r>
    </w:p>
    <w:p w14:paraId="7B03E5B1" w14:textId="77777777" w:rsidR="00490727" w:rsidRPr="00BE572D" w:rsidRDefault="00490727" w:rsidP="00490727">
      <w:pPr>
        <w:spacing w:line="360" w:lineRule="auto"/>
        <w:ind w:right="-289"/>
        <w:jc w:val="center"/>
        <w:rPr>
          <w:rFonts w:ascii="Times New Roman" w:eastAsia="Times New Roman" w:hAnsi="Times New Roman"/>
          <w:b/>
          <w:sz w:val="24"/>
          <w:szCs w:val="24"/>
        </w:rPr>
      </w:pPr>
      <w:r w:rsidRPr="00BE572D">
        <w:rPr>
          <w:rFonts w:ascii="Times New Roman" w:eastAsia="Times New Roman" w:hAnsi="Times New Roman"/>
          <w:b/>
          <w:sz w:val="24"/>
          <w:szCs w:val="24"/>
        </w:rPr>
        <w:t>číslo smlouvy PPD:</w:t>
      </w:r>
      <w:r w:rsidR="004C6F97" w:rsidRPr="00BE572D">
        <w:rPr>
          <w:rFonts w:ascii="Times New Roman" w:eastAsia="Times New Roman" w:hAnsi="Times New Roman"/>
          <w:b/>
          <w:sz w:val="24"/>
          <w:szCs w:val="24"/>
        </w:rPr>
        <w:t xml:space="preserve"> 390/2022</w:t>
      </w:r>
      <w:r w:rsidR="008A233F" w:rsidRPr="00BE572D">
        <w:rPr>
          <w:rFonts w:ascii="Times New Roman" w:eastAsia="Times New Roman" w:hAnsi="Times New Roman"/>
          <w:b/>
          <w:sz w:val="24"/>
          <w:szCs w:val="24"/>
        </w:rPr>
        <w:t xml:space="preserve"> </w:t>
      </w:r>
    </w:p>
    <w:p w14:paraId="5F8FB8B3" w14:textId="77777777" w:rsidR="002F2CFF" w:rsidRPr="002F2CFF" w:rsidRDefault="002F2CFF" w:rsidP="002F2CFF">
      <w:pPr>
        <w:ind w:right="-1"/>
        <w:jc w:val="both"/>
        <w:rPr>
          <w:rFonts w:ascii="Times New Roman" w:eastAsia="Times New Roman" w:hAnsi="Times New Roman"/>
          <w:sz w:val="24"/>
          <w:szCs w:val="24"/>
        </w:rPr>
      </w:pPr>
      <w:r w:rsidRPr="002F2CFF">
        <w:rPr>
          <w:rFonts w:ascii="Times New Roman" w:eastAsia="Times New Roman" w:hAnsi="Times New Roman"/>
          <w:sz w:val="24"/>
          <w:szCs w:val="24"/>
        </w:rPr>
        <w:t xml:space="preserve">kterou níže uvedeného dne, měsíce a roku uzavřely podle ustanovení § 1785 a násl. zákona č. 89/2012 Sb., občanského zákoníku, ve znění pozdějších předpisů, zákona č. 458/2000 Sb. o podmínkách podnikání a o výkonu státní správy v energetických odvětvích a o změně některých zákonů (energetický zákon), ve znění pozdějších předpisů, a usnesení </w:t>
      </w:r>
      <w:r w:rsidR="00432C2B">
        <w:rPr>
          <w:rFonts w:ascii="Times New Roman" w:eastAsia="Times New Roman" w:hAnsi="Times New Roman"/>
          <w:sz w:val="24"/>
          <w:szCs w:val="24"/>
        </w:rPr>
        <w:t>Rady městské části Praha 4 č. </w:t>
      </w:r>
      <w:r w:rsidR="00BE572D">
        <w:rPr>
          <w:rFonts w:ascii="Times New Roman" w:eastAsia="Times New Roman" w:hAnsi="Times New Roman"/>
          <w:sz w:val="24"/>
          <w:szCs w:val="24"/>
        </w:rPr>
        <w:t>13</w:t>
      </w:r>
      <w:r w:rsidRPr="002F2CFF">
        <w:rPr>
          <w:rFonts w:ascii="Times New Roman" w:eastAsia="Times New Roman" w:hAnsi="Times New Roman"/>
          <w:sz w:val="24"/>
          <w:szCs w:val="24"/>
        </w:rPr>
        <w:t>R-</w:t>
      </w:r>
      <w:r w:rsidR="00BE572D">
        <w:rPr>
          <w:rFonts w:ascii="Times New Roman" w:eastAsia="Times New Roman" w:hAnsi="Times New Roman"/>
          <w:sz w:val="24"/>
          <w:szCs w:val="24"/>
        </w:rPr>
        <w:t>386</w:t>
      </w:r>
      <w:r w:rsidR="00432C2B">
        <w:rPr>
          <w:rFonts w:ascii="Times New Roman" w:eastAsia="Times New Roman" w:hAnsi="Times New Roman"/>
          <w:sz w:val="24"/>
          <w:szCs w:val="24"/>
        </w:rPr>
        <w:t>/2022</w:t>
      </w:r>
      <w:r w:rsidRPr="002F2CFF">
        <w:rPr>
          <w:rFonts w:ascii="Times New Roman" w:eastAsia="Times New Roman" w:hAnsi="Times New Roman"/>
          <w:sz w:val="24"/>
          <w:szCs w:val="24"/>
        </w:rPr>
        <w:t xml:space="preserve"> ze dne </w:t>
      </w:r>
      <w:r w:rsidR="00BE572D">
        <w:rPr>
          <w:rFonts w:ascii="Times New Roman" w:eastAsia="Times New Roman" w:hAnsi="Times New Roman"/>
          <w:sz w:val="24"/>
          <w:szCs w:val="24"/>
        </w:rPr>
        <w:t>8.6.</w:t>
      </w:r>
      <w:r w:rsidR="002F0EC9" w:rsidRPr="002F2CFF">
        <w:rPr>
          <w:rFonts w:ascii="Times New Roman" w:eastAsia="Times New Roman" w:hAnsi="Times New Roman"/>
          <w:sz w:val="24"/>
          <w:szCs w:val="24"/>
        </w:rPr>
        <w:t>202</w:t>
      </w:r>
      <w:r w:rsidR="002F0EC9">
        <w:rPr>
          <w:rFonts w:ascii="Times New Roman" w:eastAsia="Times New Roman" w:hAnsi="Times New Roman"/>
          <w:sz w:val="24"/>
          <w:szCs w:val="24"/>
        </w:rPr>
        <w:t>2</w:t>
      </w:r>
      <w:r w:rsidR="002F0EC9" w:rsidRPr="002F2CFF">
        <w:rPr>
          <w:rFonts w:ascii="Times New Roman" w:eastAsia="Times New Roman" w:hAnsi="Times New Roman"/>
          <w:sz w:val="24"/>
          <w:szCs w:val="24"/>
        </w:rPr>
        <w:t xml:space="preserve"> </w:t>
      </w:r>
      <w:r w:rsidRPr="002F2CFF">
        <w:rPr>
          <w:rFonts w:ascii="Times New Roman" w:eastAsia="Times New Roman" w:hAnsi="Times New Roman"/>
          <w:sz w:val="24"/>
          <w:szCs w:val="24"/>
        </w:rPr>
        <w:t>tyto smluvní strany:</w:t>
      </w:r>
    </w:p>
    <w:p w14:paraId="27AD9F8B" w14:textId="77777777" w:rsidR="002F2CFF" w:rsidRDefault="002F2CFF" w:rsidP="002F2CFF">
      <w:pPr>
        <w:rPr>
          <w:rFonts w:ascii="Times New Roman" w:eastAsia="Times New Roman" w:hAnsi="Times New Roman"/>
          <w:b/>
          <w:iCs/>
          <w:sz w:val="24"/>
          <w:szCs w:val="24"/>
        </w:rPr>
      </w:pPr>
    </w:p>
    <w:p w14:paraId="4ACE5C48" w14:textId="77777777" w:rsidR="00432C2B" w:rsidRPr="002F2CFF" w:rsidRDefault="00432C2B" w:rsidP="002F2CFF">
      <w:pPr>
        <w:rPr>
          <w:rFonts w:ascii="Times New Roman" w:eastAsia="Times New Roman" w:hAnsi="Times New Roman"/>
          <w:b/>
          <w:iCs/>
          <w:sz w:val="24"/>
          <w:szCs w:val="24"/>
        </w:rPr>
      </w:pPr>
    </w:p>
    <w:p w14:paraId="69B70641" w14:textId="77777777" w:rsidR="002F2CFF" w:rsidRPr="002F2CFF" w:rsidRDefault="002F2CFF" w:rsidP="002F2CFF">
      <w:pPr>
        <w:rPr>
          <w:rFonts w:ascii="Times New Roman" w:eastAsia="Times New Roman" w:hAnsi="Times New Roman"/>
          <w:b/>
          <w:bCs/>
          <w:sz w:val="24"/>
          <w:szCs w:val="24"/>
        </w:rPr>
      </w:pPr>
      <w:r w:rsidRPr="002F2CFF">
        <w:rPr>
          <w:rFonts w:ascii="Times New Roman" w:eastAsia="Times New Roman" w:hAnsi="Times New Roman"/>
          <w:b/>
          <w:bCs/>
          <w:sz w:val="24"/>
          <w:szCs w:val="24"/>
        </w:rPr>
        <w:t>Pražská plynárenská Distribuce, a. s., člen koncernu Pražská plynárenská, a. s.</w:t>
      </w:r>
    </w:p>
    <w:p w14:paraId="2D77CC1F" w14:textId="77777777" w:rsidR="002F2CFF" w:rsidRPr="002F2CFF" w:rsidRDefault="002F2CFF" w:rsidP="002F2CFF">
      <w:pPr>
        <w:jc w:val="both"/>
        <w:rPr>
          <w:rFonts w:ascii="Times New Roman" w:eastAsia="Times New Roman" w:hAnsi="Times New Roman"/>
          <w:iCs/>
          <w:sz w:val="24"/>
          <w:szCs w:val="24"/>
        </w:rPr>
      </w:pPr>
      <w:r w:rsidRPr="002F2CFF">
        <w:rPr>
          <w:rFonts w:ascii="Times New Roman" w:eastAsia="Times New Roman" w:hAnsi="Times New Roman"/>
          <w:bCs/>
          <w:iCs/>
          <w:sz w:val="24"/>
          <w:szCs w:val="24"/>
        </w:rPr>
        <w:t xml:space="preserve">zapsaná v obchodním rejstříku, vedeném Městským soudem v Praze, oddíl B, vložka 10356, </w:t>
      </w:r>
    </w:p>
    <w:p w14:paraId="67DE994D" w14:textId="77777777" w:rsidR="002F2CFF" w:rsidRPr="002F2CFF" w:rsidRDefault="002F2CFF" w:rsidP="002F2CFF">
      <w:pPr>
        <w:jc w:val="both"/>
        <w:rPr>
          <w:rFonts w:ascii="Times New Roman" w:eastAsia="Times New Roman" w:hAnsi="Times New Roman"/>
          <w:bCs/>
          <w:iCs/>
          <w:sz w:val="24"/>
          <w:szCs w:val="24"/>
        </w:rPr>
      </w:pPr>
      <w:r w:rsidRPr="002F2CFF">
        <w:rPr>
          <w:rFonts w:ascii="Times New Roman" w:eastAsia="Times New Roman" w:hAnsi="Times New Roman"/>
          <w:bCs/>
          <w:iCs/>
          <w:sz w:val="24"/>
          <w:szCs w:val="24"/>
        </w:rPr>
        <w:t>se sídlem: Praha 4, U Plynárny 500, PSČ 145 08</w:t>
      </w:r>
    </w:p>
    <w:p w14:paraId="61AC0938" w14:textId="77777777" w:rsidR="002F2CFF" w:rsidRPr="002F2CFF" w:rsidRDefault="002F2CFF" w:rsidP="002F2CFF">
      <w:pPr>
        <w:jc w:val="both"/>
        <w:rPr>
          <w:rFonts w:ascii="Times New Roman" w:eastAsia="Times New Roman" w:hAnsi="Times New Roman"/>
          <w:bCs/>
          <w:iCs/>
          <w:sz w:val="24"/>
          <w:szCs w:val="24"/>
        </w:rPr>
      </w:pPr>
      <w:r w:rsidRPr="002F2CFF">
        <w:rPr>
          <w:rFonts w:ascii="Times New Roman" w:eastAsia="Times New Roman" w:hAnsi="Times New Roman"/>
          <w:bCs/>
          <w:iCs/>
          <w:sz w:val="24"/>
          <w:szCs w:val="24"/>
        </w:rPr>
        <w:t>IČ: 27403505</w:t>
      </w:r>
    </w:p>
    <w:p w14:paraId="1FEA98EA" w14:textId="77777777" w:rsidR="002F2CFF" w:rsidRPr="002F2CFF" w:rsidRDefault="002F2CFF" w:rsidP="002F2CFF">
      <w:pPr>
        <w:jc w:val="both"/>
        <w:rPr>
          <w:rFonts w:ascii="Times New Roman" w:eastAsia="Times New Roman" w:hAnsi="Times New Roman"/>
          <w:bCs/>
          <w:iCs/>
          <w:sz w:val="24"/>
          <w:szCs w:val="24"/>
        </w:rPr>
      </w:pPr>
      <w:r w:rsidRPr="002F2CFF">
        <w:rPr>
          <w:rFonts w:ascii="Times New Roman" w:eastAsia="Times New Roman" w:hAnsi="Times New Roman"/>
          <w:bCs/>
          <w:iCs/>
          <w:sz w:val="24"/>
          <w:szCs w:val="24"/>
        </w:rPr>
        <w:t>DIČ: CZ27403505</w:t>
      </w:r>
    </w:p>
    <w:p w14:paraId="05F90E3F" w14:textId="77777777" w:rsidR="002F2CFF" w:rsidRPr="002F2CFF" w:rsidRDefault="002F2CFF" w:rsidP="002F2CFF">
      <w:pPr>
        <w:jc w:val="both"/>
        <w:rPr>
          <w:rFonts w:ascii="Times New Roman" w:eastAsia="Times New Roman" w:hAnsi="Times New Roman"/>
          <w:bCs/>
          <w:iCs/>
          <w:sz w:val="24"/>
          <w:szCs w:val="24"/>
        </w:rPr>
      </w:pPr>
      <w:r w:rsidRPr="002F2CFF">
        <w:rPr>
          <w:rFonts w:ascii="Times New Roman" w:eastAsia="Times New Roman" w:hAnsi="Times New Roman"/>
          <w:bCs/>
          <w:iCs/>
          <w:sz w:val="24"/>
          <w:szCs w:val="24"/>
        </w:rPr>
        <w:t xml:space="preserve">zastoupená </w:t>
      </w:r>
      <w:r w:rsidR="00EB7FC4">
        <w:rPr>
          <w:rFonts w:ascii="Times New Roman" w:eastAsia="Times New Roman" w:hAnsi="Times New Roman"/>
          <w:bCs/>
          <w:iCs/>
          <w:noProof/>
          <w:color w:val="000000"/>
          <w:sz w:val="24"/>
          <w:szCs w:val="24"/>
          <w:highlight w:val="black"/>
        </w:rPr>
        <w:t>'''''''''' '''''''''''''''''''''''' ''''''''''''''''''''''''</w:t>
      </w:r>
      <w:r w:rsidR="00963C5A">
        <w:rPr>
          <w:rFonts w:ascii="Times New Roman" w:eastAsia="Times New Roman" w:hAnsi="Times New Roman"/>
          <w:bCs/>
          <w:iCs/>
          <w:sz w:val="24"/>
          <w:szCs w:val="24"/>
        </w:rPr>
        <w:t xml:space="preserve"> na základě pověření ze dne </w:t>
      </w:r>
      <w:r w:rsidR="00172500">
        <w:rPr>
          <w:rFonts w:ascii="Times New Roman" w:eastAsia="Times New Roman" w:hAnsi="Times New Roman"/>
          <w:bCs/>
          <w:iCs/>
          <w:sz w:val="24"/>
          <w:szCs w:val="24"/>
        </w:rPr>
        <w:t>1</w:t>
      </w:r>
      <w:r w:rsidR="00963C5A">
        <w:rPr>
          <w:rFonts w:ascii="Times New Roman" w:eastAsia="Times New Roman" w:hAnsi="Times New Roman"/>
          <w:bCs/>
          <w:iCs/>
          <w:sz w:val="24"/>
          <w:szCs w:val="24"/>
        </w:rPr>
        <w:t>. 6</w:t>
      </w:r>
      <w:r w:rsidRPr="002F2CFF">
        <w:rPr>
          <w:rFonts w:ascii="Times New Roman" w:eastAsia="Times New Roman" w:hAnsi="Times New Roman"/>
          <w:bCs/>
          <w:iCs/>
          <w:sz w:val="24"/>
          <w:szCs w:val="24"/>
        </w:rPr>
        <w:t>. 20</w:t>
      </w:r>
      <w:r w:rsidR="00963C5A">
        <w:rPr>
          <w:rFonts w:ascii="Times New Roman" w:eastAsia="Times New Roman" w:hAnsi="Times New Roman"/>
          <w:bCs/>
          <w:iCs/>
          <w:sz w:val="24"/>
          <w:szCs w:val="24"/>
        </w:rPr>
        <w:t>21</w:t>
      </w:r>
    </w:p>
    <w:p w14:paraId="3EA43412" w14:textId="77777777" w:rsidR="002F2CFF" w:rsidRPr="002F2CFF" w:rsidRDefault="002F2CFF" w:rsidP="002F2CFF">
      <w:pPr>
        <w:jc w:val="both"/>
        <w:rPr>
          <w:rFonts w:ascii="Times New Roman" w:eastAsia="Times New Roman" w:hAnsi="Times New Roman"/>
          <w:bCs/>
          <w:iCs/>
          <w:sz w:val="24"/>
          <w:szCs w:val="24"/>
        </w:rPr>
      </w:pPr>
    </w:p>
    <w:p w14:paraId="3C6E5E52" w14:textId="77777777" w:rsidR="002F2CFF" w:rsidRPr="002F2CFF" w:rsidRDefault="002F2CFF" w:rsidP="002F2CFF">
      <w:pPr>
        <w:jc w:val="both"/>
        <w:rPr>
          <w:rFonts w:ascii="Times New Roman" w:hAnsi="Times New Roman"/>
          <w:sz w:val="24"/>
          <w:szCs w:val="24"/>
        </w:rPr>
      </w:pPr>
      <w:r w:rsidRPr="002F2CFF">
        <w:rPr>
          <w:rFonts w:ascii="Times New Roman" w:hAnsi="Times New Roman"/>
          <w:sz w:val="24"/>
          <w:szCs w:val="24"/>
        </w:rPr>
        <w:t>(dále</w:t>
      </w:r>
      <w:r w:rsidRPr="002F2CFF">
        <w:rPr>
          <w:rFonts w:ascii="Times New Roman" w:hAnsi="Times New Roman"/>
          <w:b/>
          <w:bCs/>
          <w:sz w:val="24"/>
          <w:szCs w:val="24"/>
        </w:rPr>
        <w:t xml:space="preserve"> </w:t>
      </w:r>
      <w:r w:rsidRPr="002F2CFF">
        <w:rPr>
          <w:rFonts w:ascii="Times New Roman" w:hAnsi="Times New Roman"/>
          <w:sz w:val="24"/>
          <w:szCs w:val="24"/>
        </w:rPr>
        <w:t>jen „</w:t>
      </w:r>
      <w:r w:rsidRPr="002F2CFF">
        <w:rPr>
          <w:rFonts w:ascii="Times New Roman" w:hAnsi="Times New Roman"/>
          <w:b/>
          <w:bCs/>
          <w:sz w:val="24"/>
          <w:szCs w:val="24"/>
        </w:rPr>
        <w:t>budoucí oprávněná</w:t>
      </w:r>
      <w:r w:rsidRPr="002F2CFF">
        <w:rPr>
          <w:rFonts w:ascii="Times New Roman" w:hAnsi="Times New Roman"/>
          <w:sz w:val="24"/>
          <w:szCs w:val="24"/>
        </w:rPr>
        <w:t>“)</w:t>
      </w:r>
    </w:p>
    <w:p w14:paraId="71254A13" w14:textId="77777777" w:rsidR="002F2CFF" w:rsidRPr="00EB7FC4" w:rsidRDefault="002F2CFF" w:rsidP="002F2CFF">
      <w:pPr>
        <w:tabs>
          <w:tab w:val="center" w:pos="4536"/>
          <w:tab w:val="right" w:pos="9072"/>
        </w:tabs>
        <w:spacing w:before="120" w:after="120"/>
        <w:ind w:right="-289"/>
        <w:rPr>
          <w:rFonts w:ascii="Times New Roman" w:hAnsi="Times New Roman"/>
          <w:sz w:val="24"/>
          <w:szCs w:val="24"/>
        </w:rPr>
      </w:pPr>
      <w:r w:rsidRPr="002F2CFF">
        <w:rPr>
          <w:rFonts w:ascii="Times New Roman" w:hAnsi="Times New Roman"/>
          <w:sz w:val="24"/>
          <w:szCs w:val="24"/>
        </w:rPr>
        <w:t>a</w:t>
      </w:r>
    </w:p>
    <w:p w14:paraId="3E97B662" w14:textId="77777777" w:rsidR="002F2CFF" w:rsidRPr="002F2CFF" w:rsidRDefault="002F2CFF" w:rsidP="002F2CFF">
      <w:pPr>
        <w:ind w:right="-289"/>
        <w:rPr>
          <w:rFonts w:ascii="Times New Roman" w:hAnsi="Times New Roman"/>
          <w:sz w:val="24"/>
          <w:szCs w:val="24"/>
        </w:rPr>
      </w:pPr>
      <w:r w:rsidRPr="002F2CFF">
        <w:rPr>
          <w:rFonts w:ascii="Times New Roman" w:hAnsi="Times New Roman"/>
          <w:b/>
          <w:bCs/>
          <w:color w:val="000000"/>
          <w:sz w:val="24"/>
          <w:szCs w:val="24"/>
        </w:rPr>
        <w:t>městská část Praha 4</w:t>
      </w:r>
    </w:p>
    <w:p w14:paraId="5D3CB4A0" w14:textId="77777777" w:rsidR="002F2CFF" w:rsidRPr="002F2CFF" w:rsidRDefault="002F2CFF" w:rsidP="002F2CFF">
      <w:pPr>
        <w:ind w:right="-289"/>
        <w:rPr>
          <w:rFonts w:ascii="Times New Roman" w:hAnsi="Times New Roman"/>
          <w:sz w:val="24"/>
          <w:szCs w:val="24"/>
        </w:rPr>
      </w:pPr>
      <w:r w:rsidRPr="002F2CFF">
        <w:rPr>
          <w:rFonts w:ascii="Times New Roman" w:hAnsi="Times New Roman"/>
          <w:sz w:val="24"/>
          <w:szCs w:val="24"/>
        </w:rPr>
        <w:t>se sídlem Antala Staška 2059/80b, Praha 4, 140 46</w:t>
      </w:r>
    </w:p>
    <w:p w14:paraId="7CEA54F5" w14:textId="77777777" w:rsidR="002F2CFF" w:rsidRPr="002F2CFF" w:rsidRDefault="002F2CFF" w:rsidP="002F2CFF">
      <w:pPr>
        <w:ind w:right="-289"/>
        <w:rPr>
          <w:rFonts w:ascii="Times New Roman" w:hAnsi="Times New Roman"/>
          <w:sz w:val="24"/>
          <w:szCs w:val="24"/>
        </w:rPr>
      </w:pPr>
      <w:r w:rsidRPr="002F2CFF">
        <w:rPr>
          <w:rFonts w:ascii="Times New Roman" w:hAnsi="Times New Roman"/>
          <w:sz w:val="24"/>
          <w:szCs w:val="24"/>
        </w:rPr>
        <w:t>IČ: 00063584</w:t>
      </w:r>
    </w:p>
    <w:p w14:paraId="44CA3E5A" w14:textId="77777777" w:rsidR="002F2CFF" w:rsidRPr="002F2CFF" w:rsidRDefault="002F2CFF" w:rsidP="002F2CFF">
      <w:pPr>
        <w:ind w:right="-289"/>
        <w:rPr>
          <w:rFonts w:ascii="Times New Roman" w:hAnsi="Times New Roman"/>
          <w:sz w:val="24"/>
          <w:szCs w:val="24"/>
        </w:rPr>
      </w:pPr>
      <w:r w:rsidRPr="002F2CFF">
        <w:rPr>
          <w:rFonts w:ascii="Times New Roman" w:hAnsi="Times New Roman"/>
          <w:sz w:val="24"/>
          <w:szCs w:val="24"/>
        </w:rPr>
        <w:t>DIČ: CZ00063584</w:t>
      </w:r>
    </w:p>
    <w:p w14:paraId="1DC6EC92" w14:textId="77777777" w:rsidR="002F2CFF" w:rsidRPr="002F2CFF" w:rsidRDefault="002F2CFF" w:rsidP="002F2CFF">
      <w:pPr>
        <w:rPr>
          <w:rFonts w:ascii="Times New Roman" w:hAnsi="Times New Roman"/>
          <w:sz w:val="24"/>
          <w:szCs w:val="24"/>
        </w:rPr>
      </w:pPr>
      <w:r w:rsidRPr="002F2CFF">
        <w:rPr>
          <w:rFonts w:ascii="Times New Roman" w:hAnsi="Times New Roman"/>
          <w:sz w:val="24"/>
          <w:szCs w:val="24"/>
        </w:rPr>
        <w:t xml:space="preserve">zastoupená </w:t>
      </w:r>
      <w:r w:rsidR="00EB7FC4">
        <w:rPr>
          <w:rFonts w:ascii="Times New Roman" w:hAnsi="Times New Roman"/>
          <w:noProof/>
          <w:color w:val="000000"/>
          <w:sz w:val="24"/>
          <w:szCs w:val="24"/>
          <w:highlight w:val="black"/>
        </w:rPr>
        <w:t>'''''''' ''''''''''''''''''''''' ''''''''''''''''</w:t>
      </w:r>
      <w:r w:rsidRPr="002F2CFF">
        <w:rPr>
          <w:rFonts w:ascii="Times New Roman" w:hAnsi="Times New Roman"/>
          <w:sz w:val="24"/>
          <w:szCs w:val="24"/>
        </w:rPr>
        <w:t>, místostarostou, na základě plné moci ze dne 15. 5. 2019</w:t>
      </w:r>
    </w:p>
    <w:p w14:paraId="736E69C3" w14:textId="77777777" w:rsidR="002F2CFF" w:rsidRPr="002F2CFF" w:rsidRDefault="002F2CFF" w:rsidP="002F2CFF">
      <w:pPr>
        <w:ind w:right="-289"/>
        <w:rPr>
          <w:rFonts w:ascii="Times New Roman" w:hAnsi="Times New Roman"/>
          <w:sz w:val="24"/>
          <w:szCs w:val="24"/>
        </w:rPr>
      </w:pPr>
    </w:p>
    <w:p w14:paraId="6DDC5E0A" w14:textId="77777777" w:rsidR="002F2CFF" w:rsidRPr="002F2CFF" w:rsidRDefault="002F2CFF" w:rsidP="002F2CFF">
      <w:pPr>
        <w:ind w:right="-289"/>
        <w:rPr>
          <w:rFonts w:ascii="Times New Roman" w:hAnsi="Times New Roman"/>
          <w:sz w:val="24"/>
          <w:szCs w:val="24"/>
        </w:rPr>
      </w:pPr>
      <w:r w:rsidRPr="002F2CFF">
        <w:rPr>
          <w:rFonts w:ascii="Times New Roman" w:hAnsi="Times New Roman"/>
          <w:sz w:val="24"/>
          <w:szCs w:val="24"/>
        </w:rPr>
        <w:t>(dále jen</w:t>
      </w:r>
      <w:r w:rsidRPr="002F2CFF">
        <w:rPr>
          <w:rFonts w:ascii="Times New Roman" w:hAnsi="Times New Roman"/>
          <w:b/>
          <w:bCs/>
          <w:sz w:val="24"/>
          <w:szCs w:val="24"/>
        </w:rPr>
        <w:t xml:space="preserve"> „budoucí povinná</w:t>
      </w:r>
      <w:r w:rsidRPr="002F2CFF">
        <w:rPr>
          <w:rFonts w:ascii="Times New Roman" w:hAnsi="Times New Roman"/>
          <w:sz w:val="24"/>
          <w:szCs w:val="24"/>
        </w:rPr>
        <w:t>“)</w:t>
      </w:r>
    </w:p>
    <w:p w14:paraId="3A109DBE" w14:textId="77777777" w:rsidR="002F2CFF" w:rsidRPr="002F2CFF" w:rsidRDefault="002F2CFF" w:rsidP="002F2CFF">
      <w:pPr>
        <w:ind w:right="-289"/>
        <w:rPr>
          <w:rFonts w:ascii="Times New Roman" w:hAnsi="Times New Roman"/>
          <w:sz w:val="24"/>
          <w:szCs w:val="24"/>
        </w:rPr>
      </w:pPr>
    </w:p>
    <w:p w14:paraId="2A806275" w14:textId="77777777" w:rsidR="002F2CFF" w:rsidRPr="002F2CFF" w:rsidRDefault="002F2CFF" w:rsidP="002F2CFF">
      <w:pPr>
        <w:ind w:right="-289"/>
        <w:rPr>
          <w:rFonts w:ascii="Times New Roman" w:hAnsi="Times New Roman"/>
          <w:sz w:val="24"/>
          <w:szCs w:val="24"/>
        </w:rPr>
      </w:pPr>
      <w:r w:rsidRPr="002F2CFF">
        <w:rPr>
          <w:rFonts w:ascii="Times New Roman" w:hAnsi="Times New Roman"/>
          <w:sz w:val="24"/>
          <w:szCs w:val="24"/>
        </w:rPr>
        <w:t>(obě dále též „</w:t>
      </w:r>
      <w:r w:rsidRPr="002F2CFF">
        <w:rPr>
          <w:rFonts w:ascii="Times New Roman" w:hAnsi="Times New Roman"/>
          <w:b/>
          <w:bCs/>
          <w:sz w:val="24"/>
          <w:szCs w:val="24"/>
        </w:rPr>
        <w:t>smluvní strany</w:t>
      </w:r>
      <w:r w:rsidRPr="002F2CFF">
        <w:rPr>
          <w:rFonts w:ascii="Times New Roman" w:hAnsi="Times New Roman"/>
          <w:sz w:val="24"/>
          <w:szCs w:val="24"/>
        </w:rPr>
        <w:t>“)</w:t>
      </w:r>
    </w:p>
    <w:p w14:paraId="1A4DF394" w14:textId="77777777" w:rsidR="002F2CFF" w:rsidRPr="002F2CFF" w:rsidRDefault="002F2CFF" w:rsidP="002F2CFF">
      <w:pPr>
        <w:spacing w:before="600"/>
        <w:ind w:right="-289"/>
        <w:jc w:val="center"/>
        <w:rPr>
          <w:rFonts w:ascii="Times New Roman" w:hAnsi="Times New Roman"/>
          <w:b/>
          <w:bCs/>
          <w:sz w:val="24"/>
          <w:szCs w:val="24"/>
        </w:rPr>
      </w:pPr>
      <w:r w:rsidRPr="002F2CFF">
        <w:rPr>
          <w:rFonts w:ascii="Times New Roman" w:hAnsi="Times New Roman"/>
          <w:b/>
          <w:bCs/>
          <w:sz w:val="24"/>
          <w:szCs w:val="24"/>
        </w:rPr>
        <w:t>Čl. I</w:t>
      </w:r>
    </w:p>
    <w:p w14:paraId="3B863CC6" w14:textId="77777777" w:rsidR="002F0EC9" w:rsidRDefault="002F2CFF" w:rsidP="002F2CFF">
      <w:pPr>
        <w:spacing w:before="120"/>
        <w:jc w:val="both"/>
        <w:rPr>
          <w:rFonts w:ascii="Times New Roman" w:eastAsia="Times New Roman" w:hAnsi="Times New Roman"/>
          <w:sz w:val="24"/>
          <w:szCs w:val="24"/>
        </w:rPr>
      </w:pPr>
      <w:r w:rsidRPr="002F2CFF">
        <w:rPr>
          <w:rFonts w:ascii="Times New Roman" w:eastAsia="Times New Roman" w:hAnsi="Times New Roman"/>
          <w:sz w:val="24"/>
          <w:szCs w:val="24"/>
        </w:rPr>
        <w:t>1.1. Budoucí povinná prohlašuje, že pozemky parc. </w:t>
      </w:r>
      <w:r w:rsidRPr="00BE572D">
        <w:rPr>
          <w:rFonts w:ascii="Times New Roman" w:eastAsia="Times New Roman" w:hAnsi="Times New Roman"/>
          <w:sz w:val="24"/>
          <w:szCs w:val="24"/>
        </w:rPr>
        <w:t xml:space="preserve">č. </w:t>
      </w:r>
      <w:r w:rsidR="009D5579" w:rsidRPr="00BE572D">
        <w:rPr>
          <w:rFonts w:ascii="Times New Roman" w:eastAsia="Times New Roman" w:hAnsi="Times New Roman"/>
          <w:sz w:val="24"/>
          <w:szCs w:val="24"/>
        </w:rPr>
        <w:t>3077</w:t>
      </w:r>
      <w:r w:rsidRPr="00BE572D">
        <w:rPr>
          <w:rFonts w:ascii="Times New Roman" w:eastAsia="Times New Roman" w:hAnsi="Times New Roman"/>
          <w:sz w:val="24"/>
          <w:szCs w:val="24"/>
        </w:rPr>
        <w:t xml:space="preserve">/1 o výměře </w:t>
      </w:r>
      <w:r w:rsidR="009D5579" w:rsidRPr="00BE572D">
        <w:rPr>
          <w:rFonts w:ascii="Times New Roman" w:eastAsia="Times New Roman" w:hAnsi="Times New Roman"/>
          <w:sz w:val="24"/>
          <w:szCs w:val="24"/>
        </w:rPr>
        <w:t>3820</w:t>
      </w:r>
      <w:r w:rsidRPr="00BE572D">
        <w:rPr>
          <w:rFonts w:ascii="Times New Roman" w:eastAsia="Times New Roman" w:hAnsi="Times New Roman"/>
          <w:sz w:val="24"/>
          <w:szCs w:val="24"/>
        </w:rPr>
        <w:t xml:space="preserve"> m²</w:t>
      </w:r>
      <w:r w:rsidR="002F0EC9" w:rsidRPr="00BE572D">
        <w:rPr>
          <w:rFonts w:ascii="Times New Roman" w:eastAsia="Times New Roman" w:hAnsi="Times New Roman"/>
          <w:sz w:val="24"/>
          <w:szCs w:val="24"/>
        </w:rPr>
        <w:t xml:space="preserve"> </w:t>
      </w:r>
      <w:r w:rsidRPr="00BE572D">
        <w:rPr>
          <w:rFonts w:ascii="Times New Roman" w:eastAsia="Times New Roman" w:hAnsi="Times New Roman"/>
          <w:sz w:val="24"/>
          <w:szCs w:val="24"/>
        </w:rPr>
        <w:t xml:space="preserve">a parc. č. </w:t>
      </w:r>
      <w:r w:rsidR="009D5579" w:rsidRPr="00BE572D">
        <w:rPr>
          <w:rFonts w:ascii="Times New Roman" w:eastAsia="Times New Roman" w:hAnsi="Times New Roman"/>
          <w:sz w:val="24"/>
          <w:szCs w:val="24"/>
        </w:rPr>
        <w:t>3073</w:t>
      </w:r>
      <w:r w:rsidRPr="00BE572D">
        <w:rPr>
          <w:rFonts w:ascii="Times New Roman" w:eastAsia="Times New Roman" w:hAnsi="Times New Roman"/>
          <w:sz w:val="24"/>
          <w:szCs w:val="24"/>
        </w:rPr>
        <w:t xml:space="preserve"> o výměře </w:t>
      </w:r>
      <w:r w:rsidR="009D5579" w:rsidRPr="00BE572D">
        <w:rPr>
          <w:rFonts w:ascii="Times New Roman" w:eastAsia="Times New Roman" w:hAnsi="Times New Roman"/>
          <w:sz w:val="24"/>
          <w:szCs w:val="24"/>
        </w:rPr>
        <w:t>3531</w:t>
      </w:r>
      <w:r w:rsidRPr="00BE572D">
        <w:rPr>
          <w:rFonts w:ascii="Times New Roman" w:eastAsia="Times New Roman" w:hAnsi="Times New Roman"/>
          <w:sz w:val="24"/>
          <w:szCs w:val="24"/>
        </w:rPr>
        <w:t xml:space="preserve"> m²</w:t>
      </w:r>
      <w:r w:rsidRPr="002F2CFF">
        <w:rPr>
          <w:rFonts w:ascii="Times New Roman" w:eastAsia="Times New Roman" w:hAnsi="Times New Roman"/>
          <w:sz w:val="24"/>
          <w:szCs w:val="24"/>
        </w:rPr>
        <w:t xml:space="preserve">, </w:t>
      </w:r>
      <w:r w:rsidR="002F0EC9">
        <w:rPr>
          <w:rFonts w:ascii="Times New Roman" w:eastAsia="Times New Roman" w:hAnsi="Times New Roman"/>
          <w:sz w:val="24"/>
          <w:szCs w:val="24"/>
        </w:rPr>
        <w:t xml:space="preserve">oba </w:t>
      </w:r>
      <w:r w:rsidRPr="002F2CFF">
        <w:rPr>
          <w:rFonts w:ascii="Times New Roman" w:eastAsia="Times New Roman" w:hAnsi="Times New Roman"/>
          <w:sz w:val="24"/>
          <w:szCs w:val="24"/>
        </w:rPr>
        <w:t xml:space="preserve">ostatní plocha, </w:t>
      </w:r>
      <w:r w:rsidR="00181C39" w:rsidRPr="002F2CFF">
        <w:rPr>
          <w:rFonts w:ascii="Times New Roman" w:eastAsia="Times New Roman" w:hAnsi="Times New Roman"/>
          <w:sz w:val="24"/>
          <w:szCs w:val="24"/>
        </w:rPr>
        <w:t>zeleň</w:t>
      </w:r>
      <w:r w:rsidRPr="002F2CFF">
        <w:rPr>
          <w:rFonts w:ascii="Times New Roman" w:eastAsia="Times New Roman" w:hAnsi="Times New Roman"/>
          <w:sz w:val="24"/>
          <w:szCs w:val="24"/>
        </w:rPr>
        <w:t xml:space="preserve">, ochranné pásmo nemovité kulturní památky, památkové zóny, nemovitá národní kulturní památka, </w:t>
      </w:r>
      <w:r w:rsidR="002F0EC9">
        <w:rPr>
          <w:rFonts w:ascii="Times New Roman" w:eastAsia="Times New Roman" w:hAnsi="Times New Roman"/>
          <w:sz w:val="24"/>
          <w:szCs w:val="24"/>
        </w:rPr>
        <w:t>v</w:t>
      </w:r>
      <w:r w:rsidR="002F0EC9" w:rsidRPr="002F2CFF">
        <w:rPr>
          <w:rFonts w:ascii="Times New Roman" w:eastAsia="Times New Roman" w:hAnsi="Times New Roman"/>
          <w:sz w:val="24"/>
          <w:szCs w:val="24"/>
        </w:rPr>
        <w:t xml:space="preserve"> </w:t>
      </w:r>
      <w:r w:rsidRPr="002F2CFF">
        <w:rPr>
          <w:rFonts w:ascii="Times New Roman" w:eastAsia="Times New Roman" w:hAnsi="Times New Roman"/>
          <w:sz w:val="24"/>
          <w:szCs w:val="24"/>
        </w:rPr>
        <w:t>k. ú. </w:t>
      </w:r>
      <w:r w:rsidRPr="00BE572D">
        <w:rPr>
          <w:rFonts w:ascii="Times New Roman" w:eastAsia="Times New Roman" w:hAnsi="Times New Roman"/>
          <w:sz w:val="24"/>
          <w:szCs w:val="24"/>
        </w:rPr>
        <w:t>Nusle, obec Praha</w:t>
      </w:r>
      <w:r w:rsidRPr="002F2CFF">
        <w:rPr>
          <w:rFonts w:ascii="Times New Roman" w:eastAsia="Times New Roman" w:hAnsi="Times New Roman"/>
          <w:sz w:val="24"/>
          <w:szCs w:val="24"/>
        </w:rPr>
        <w:t>, zapsané u</w:t>
      </w:r>
      <w:r w:rsidR="002F0EC9">
        <w:rPr>
          <w:rFonts w:ascii="Times New Roman" w:eastAsia="Times New Roman" w:hAnsi="Times New Roman"/>
          <w:sz w:val="24"/>
          <w:szCs w:val="24"/>
        </w:rPr>
        <w:t> </w:t>
      </w:r>
      <w:r w:rsidRPr="002F2CFF">
        <w:rPr>
          <w:rFonts w:ascii="Times New Roman" w:eastAsia="Times New Roman" w:hAnsi="Times New Roman"/>
          <w:sz w:val="24"/>
          <w:szCs w:val="24"/>
        </w:rPr>
        <w:t xml:space="preserve">Katastrálního úřadu pro hlavní město Prahu, Katastrálního pracoviště Praha na </w:t>
      </w:r>
      <w:r w:rsidRPr="00BE572D">
        <w:rPr>
          <w:rFonts w:ascii="Times New Roman" w:eastAsia="Times New Roman" w:hAnsi="Times New Roman"/>
          <w:sz w:val="24"/>
          <w:szCs w:val="24"/>
        </w:rPr>
        <w:t>LV 1230</w:t>
      </w:r>
      <w:r w:rsidRPr="002F2CFF">
        <w:rPr>
          <w:rFonts w:ascii="Times New Roman" w:eastAsia="Times New Roman" w:hAnsi="Times New Roman"/>
          <w:sz w:val="24"/>
          <w:szCs w:val="24"/>
        </w:rPr>
        <w:t xml:space="preserve"> (dále jen „pozemky“), jsou ve vlastnictví obce hlavní město Praha, se sídlem Mariánské náměstí 2/2, Staré Město, 110 00 Praha 1, IČ: 00064581, a podle ust. § 19 odst. 1</w:t>
      </w:r>
      <w:r w:rsidR="00EF07CE">
        <w:rPr>
          <w:rFonts w:ascii="Times New Roman" w:eastAsia="Times New Roman" w:hAnsi="Times New Roman"/>
          <w:sz w:val="24"/>
          <w:szCs w:val="24"/>
        </w:rPr>
        <w:t> </w:t>
      </w:r>
      <w:r w:rsidRPr="002F2CFF">
        <w:rPr>
          <w:rFonts w:ascii="Times New Roman" w:eastAsia="Times New Roman" w:hAnsi="Times New Roman"/>
          <w:sz w:val="24"/>
          <w:szCs w:val="24"/>
        </w:rPr>
        <w:t>zákona č. 131/2000 Sb., o hlavním městě Praze, ve znění pozdějších předpisů, a na základě vyhlášky č. 55/2000 Sb. hl. m. Prahy, kterou se vydává Statut hlavního města Prahy, ve znění pozdějších předpisů, byly svěřeny do správy městské části Praha 4, která při nakládání s nimi vykonává všechna práva a povinnosti vlastníka a rozhoduje, s výjimkou ust. § 18 vyhlášky č.</w:t>
      </w:r>
      <w:r w:rsidR="00EF07CE">
        <w:rPr>
          <w:rFonts w:ascii="Times New Roman" w:eastAsia="Times New Roman" w:hAnsi="Times New Roman"/>
          <w:sz w:val="24"/>
          <w:szCs w:val="24"/>
        </w:rPr>
        <w:t> </w:t>
      </w:r>
      <w:r w:rsidRPr="002F2CFF">
        <w:rPr>
          <w:rFonts w:ascii="Times New Roman" w:eastAsia="Times New Roman" w:hAnsi="Times New Roman"/>
          <w:sz w:val="24"/>
          <w:szCs w:val="24"/>
        </w:rPr>
        <w:t>55/2000 Sb., o všech majetkoprávních úkonech v plném rozsahu.</w:t>
      </w:r>
    </w:p>
    <w:p w14:paraId="27D640C3" w14:textId="77777777" w:rsidR="002F0EC9" w:rsidRDefault="002F0EC9" w:rsidP="002F2CFF">
      <w:pPr>
        <w:spacing w:before="120"/>
        <w:jc w:val="both"/>
        <w:rPr>
          <w:rFonts w:ascii="Times New Roman" w:eastAsia="Times New Roman" w:hAnsi="Times New Roman"/>
          <w:sz w:val="24"/>
          <w:szCs w:val="24"/>
        </w:rPr>
      </w:pPr>
      <w:r w:rsidRPr="002F0EC9">
        <w:rPr>
          <w:rFonts w:ascii="Times New Roman" w:eastAsia="Times New Roman" w:hAnsi="Times New Roman"/>
          <w:sz w:val="24"/>
          <w:szCs w:val="24"/>
        </w:rPr>
        <w:t xml:space="preserve">1.2. Budoucí povinná prohlašuje a budoucí oprávněná bere na vědomí, že na pozemcích je zřízeno věcné břemeno, které je blíže popsáno na </w:t>
      </w:r>
      <w:r w:rsidRPr="00BE572D">
        <w:rPr>
          <w:rFonts w:ascii="Times New Roman" w:eastAsia="Times New Roman" w:hAnsi="Times New Roman"/>
          <w:sz w:val="24"/>
          <w:szCs w:val="24"/>
        </w:rPr>
        <w:t>LV 1230, k. ú. Nusle</w:t>
      </w:r>
      <w:r w:rsidRPr="002F0EC9">
        <w:rPr>
          <w:rFonts w:ascii="Times New Roman" w:eastAsia="Times New Roman" w:hAnsi="Times New Roman"/>
          <w:sz w:val="24"/>
          <w:szCs w:val="24"/>
        </w:rPr>
        <w:t>, obec Praha. Budoucí oprávněná též bere na vědomí možnosti existence věcných břemen na pozemku, která nejsou zapsána v katastru nemovitostí, a je povinna si existenci případných věcných břemen ověřit.</w:t>
      </w:r>
    </w:p>
    <w:p w14:paraId="617F4198" w14:textId="77777777" w:rsidR="002F2CFF" w:rsidRDefault="002F2CFF" w:rsidP="002F2CFF">
      <w:pPr>
        <w:spacing w:before="120"/>
        <w:jc w:val="both"/>
        <w:rPr>
          <w:rFonts w:ascii="Times New Roman" w:hAnsi="Times New Roman"/>
          <w:sz w:val="24"/>
          <w:szCs w:val="24"/>
        </w:rPr>
      </w:pPr>
      <w:r w:rsidRPr="002F2CFF">
        <w:rPr>
          <w:rFonts w:ascii="Times New Roman" w:hAnsi="Times New Roman"/>
          <w:sz w:val="24"/>
          <w:szCs w:val="24"/>
        </w:rPr>
        <w:lastRenderedPageBreak/>
        <w:t>1.</w:t>
      </w:r>
      <w:r w:rsidR="002F0EC9">
        <w:rPr>
          <w:rFonts w:ascii="Times New Roman" w:hAnsi="Times New Roman"/>
          <w:sz w:val="24"/>
          <w:szCs w:val="24"/>
        </w:rPr>
        <w:t>3</w:t>
      </w:r>
      <w:r w:rsidRPr="002F2CFF">
        <w:rPr>
          <w:rFonts w:ascii="Times New Roman" w:hAnsi="Times New Roman"/>
          <w:sz w:val="24"/>
          <w:szCs w:val="24"/>
        </w:rPr>
        <w:t>. Budoucí oprávněná je v souladu se zák. č. 458/2000 Sb., v platném znění, o podmínkách podnikání a o výkonu státní správy v energetických odvětvích a o změně některých zákonů (energetický zákon) držitelem licence Energetického regulačního úřadu č. 220604881, která ji opravňuje k distribuci plynu na území hlavního města Prahy.</w:t>
      </w:r>
    </w:p>
    <w:p w14:paraId="6A044C5E" w14:textId="77777777" w:rsidR="002F2CFF" w:rsidRPr="002F2CFF" w:rsidRDefault="002F2CFF" w:rsidP="002F2CFF">
      <w:pPr>
        <w:spacing w:before="300"/>
        <w:ind w:right="-289"/>
        <w:jc w:val="center"/>
        <w:rPr>
          <w:rFonts w:ascii="Times New Roman" w:hAnsi="Times New Roman"/>
          <w:b/>
          <w:bCs/>
          <w:sz w:val="24"/>
          <w:szCs w:val="24"/>
        </w:rPr>
      </w:pPr>
      <w:r w:rsidRPr="002F2CFF">
        <w:rPr>
          <w:rFonts w:ascii="Times New Roman" w:hAnsi="Times New Roman"/>
          <w:b/>
          <w:bCs/>
          <w:sz w:val="24"/>
          <w:szCs w:val="24"/>
        </w:rPr>
        <w:t>Čl. II</w:t>
      </w:r>
    </w:p>
    <w:p w14:paraId="41F29E6C"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2.1. </w:t>
      </w:r>
      <w:r w:rsidR="00F647C6">
        <w:rPr>
          <w:rFonts w:ascii="Times New Roman" w:hAnsi="Times New Roman"/>
          <w:sz w:val="24"/>
          <w:szCs w:val="24"/>
        </w:rPr>
        <w:t>Budoucí oprávněná je investorem</w:t>
      </w:r>
      <w:r w:rsidRPr="002F2CFF">
        <w:rPr>
          <w:rFonts w:ascii="Times New Roman" w:hAnsi="Times New Roman"/>
          <w:sz w:val="24"/>
          <w:szCs w:val="24"/>
        </w:rPr>
        <w:t xml:space="preserve"> stavby „</w:t>
      </w:r>
      <w:r w:rsidRPr="00BE572D">
        <w:rPr>
          <w:rFonts w:ascii="Times New Roman" w:hAnsi="Times New Roman"/>
          <w:sz w:val="24"/>
          <w:szCs w:val="24"/>
        </w:rPr>
        <w:t xml:space="preserve">Stavební úpravy </w:t>
      </w:r>
      <w:r w:rsidR="00EB7FC4">
        <w:rPr>
          <w:rFonts w:ascii="Times New Roman" w:hAnsi="Times New Roman"/>
          <w:noProof/>
          <w:color w:val="000000"/>
          <w:sz w:val="24"/>
          <w:szCs w:val="24"/>
          <w:highlight w:val="black"/>
        </w:rPr>
        <w:t xml:space="preserve">'''''''''''' ''' '''''''''' ''''''''''''''''' '' '''''''''''''' </w:t>
      </w:r>
      <w:r w:rsidR="00181C39" w:rsidRPr="00BE572D">
        <w:rPr>
          <w:rFonts w:ascii="Times New Roman" w:hAnsi="Times New Roman"/>
          <w:sz w:val="24"/>
          <w:szCs w:val="24"/>
        </w:rPr>
        <w:t>Praha 2, 4</w:t>
      </w:r>
      <w:r w:rsidRPr="00BE572D">
        <w:rPr>
          <w:rFonts w:ascii="Times New Roman" w:hAnsi="Times New Roman"/>
          <w:sz w:val="24"/>
          <w:szCs w:val="24"/>
        </w:rPr>
        <w:t>“ (dále jen „stavba“)</w:t>
      </w:r>
      <w:r w:rsidRPr="002F2CFF">
        <w:rPr>
          <w:rFonts w:ascii="Times New Roman" w:hAnsi="Times New Roman"/>
          <w:sz w:val="24"/>
          <w:szCs w:val="24"/>
        </w:rPr>
        <w:t>. Účelem této stavby je umístění nové trasy STL</w:t>
      </w:r>
      <w:r w:rsidR="002F0EC9">
        <w:rPr>
          <w:rFonts w:ascii="Times New Roman" w:hAnsi="Times New Roman"/>
          <w:sz w:val="24"/>
          <w:szCs w:val="24"/>
        </w:rPr>
        <w:t xml:space="preserve"> a NTL</w:t>
      </w:r>
      <w:r w:rsidRPr="002F2CFF">
        <w:rPr>
          <w:rFonts w:ascii="Times New Roman" w:hAnsi="Times New Roman"/>
          <w:sz w:val="24"/>
          <w:szCs w:val="24"/>
        </w:rPr>
        <w:t xml:space="preserve"> plynovodu mezi stavebně upravenými stávajícími plynovody. Stavbou budou dotčeny mimo jiné i pozemky uvedené v odstavci 1.1. Čl. I této smlouvy (dále jen také „služebné pozemky“).</w:t>
      </w:r>
    </w:p>
    <w:p w14:paraId="13B45AC5"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2.2. Návrh řešení a přesné umístění stavby zobrazuje situační plán, který je nedílnou součástí této smlouvy jako její příloha č. 1. Předpokládaná délka úložné trasy na touto smlouvou dotčených pozemcích je cca </w:t>
      </w:r>
      <w:r w:rsidR="00302DDD">
        <w:rPr>
          <w:rFonts w:ascii="Times New Roman" w:hAnsi="Times New Roman"/>
          <w:sz w:val="24"/>
          <w:szCs w:val="24"/>
        </w:rPr>
        <w:t>270</w:t>
      </w:r>
      <w:r w:rsidRPr="002F2CFF">
        <w:rPr>
          <w:rFonts w:ascii="Times New Roman" w:hAnsi="Times New Roman"/>
          <w:sz w:val="24"/>
          <w:szCs w:val="24"/>
        </w:rPr>
        <w:t xml:space="preserve"> m. Budoucí oprávněná je povinna provést stavbu pouze v souladu se zakresleným umístěním stavby v příloze č. 1 této smlouvy. Odchylně od</w:t>
      </w:r>
      <w:r w:rsidR="00EF07CE">
        <w:rPr>
          <w:rFonts w:ascii="Times New Roman" w:hAnsi="Times New Roman"/>
          <w:sz w:val="24"/>
          <w:szCs w:val="24"/>
        </w:rPr>
        <w:t> </w:t>
      </w:r>
      <w:r w:rsidRPr="002F2CFF">
        <w:rPr>
          <w:rFonts w:ascii="Times New Roman" w:hAnsi="Times New Roman"/>
          <w:sz w:val="24"/>
          <w:szCs w:val="24"/>
        </w:rPr>
        <w:t xml:space="preserve">zakresleného umístění stavby lze stavbu provést pouze po dohodě smluvních stran ve formě dodatku k této smlouvě. </w:t>
      </w:r>
    </w:p>
    <w:p w14:paraId="090B00A0"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2.3. Stavba bude zahájena podle harmonogramu stavby stanoveného budoucí oprávněnou. Tento harmonogram je budoucí oprávněná povinna doručit Odboru obecního majetku budoucí povinné k písemnému schválení minimálně třicet dnů před zahájením stavby. Pokud budoucí oprávněné nebudou doručeny připomínky budoucí povinné k tomuto harmonogramu do 15 dnů před zahájením stavby, bude harmonogram považován za schválený. Pro případ nezaslání harmonogramu nebo nedodržení termínu dokončení stavby v tomto harmonogramu stanoveném smluvní strany sjednávají, že budoucí povinné vzniká právo na zaplacení smluvní pokuty ve výši 5.000 Kč za každý i započatý den prodlení. Pokuta bude splatná do 30 dnů ode dne doručení výzvy budoucí povinné budoucí oprávněné k zaplacení. Smluvní strany dále sjednávají, že smluvní pokuta nebude uplatněna v případě, že k nedodržení harmonogramu stavby dojde z důvodů zapříčiněných vyšší mocí, jejichž vznik nebylo možné předvídat. Každou změnu harmonogramu je budoucí oprávněná povinna písemně oznámit budoucí povinné. Budoucí oprávněná je povinna zaslat shora uvedený harmonogram v jednom vyhotovení též k rukám vedoucího odboru životního prostředí a dopravy Úřadu městské části Praha 4 (dále jen „OŽPAD“). </w:t>
      </w:r>
    </w:p>
    <w:p w14:paraId="0623B16D"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2.4. Budoucí povinná prohlašuje, že touto smlouvou dává budoucí oprávněné souhlas vlastníka dotčených nemovitých věcí s umístěním a provozováním výše uvedené stavby za podmínky, že toto umístění a provozování bude v souladu s příslušným územním rozhodnutím. Současně budoucí povinná uděluje budoucí oprávněné i osobám, které budoucí oprávněná zmocnila, souhlas ke vstupu na předmětné pozemky za účelem realizace stavby, a to za podmínek uvedených v čl. IV. odst. 4. 4. této smlouvy. Budoucí povinná souhlasí, aby tato smlouva byla podkladem pro správní řízení jako vyjádření účastníka. </w:t>
      </w:r>
    </w:p>
    <w:p w14:paraId="225A5806" w14:textId="77777777" w:rsidR="002F2CFF" w:rsidRPr="002F2CFF" w:rsidRDefault="002F2CFF" w:rsidP="002F2CFF">
      <w:pPr>
        <w:spacing w:before="360"/>
        <w:ind w:right="-289"/>
        <w:jc w:val="center"/>
        <w:rPr>
          <w:rFonts w:ascii="Times New Roman" w:hAnsi="Times New Roman"/>
          <w:b/>
          <w:bCs/>
          <w:sz w:val="24"/>
          <w:szCs w:val="24"/>
        </w:rPr>
      </w:pPr>
      <w:r w:rsidRPr="002F2CFF">
        <w:rPr>
          <w:rFonts w:ascii="Times New Roman" w:hAnsi="Times New Roman"/>
          <w:b/>
          <w:bCs/>
          <w:sz w:val="24"/>
          <w:szCs w:val="24"/>
        </w:rPr>
        <w:t>Čl. III</w:t>
      </w:r>
    </w:p>
    <w:p w14:paraId="7EEFA535"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3.1</w:t>
      </w:r>
      <w:r w:rsidRPr="002F2CFF">
        <w:rPr>
          <w:rFonts w:ascii="Times New Roman" w:hAnsi="Times New Roman"/>
          <w:i/>
          <w:sz w:val="24"/>
          <w:szCs w:val="24"/>
        </w:rPr>
        <w:t xml:space="preserve">. </w:t>
      </w:r>
      <w:r w:rsidRPr="002F2CFF">
        <w:rPr>
          <w:rFonts w:ascii="Times New Roman" w:hAnsi="Times New Roman"/>
          <w:sz w:val="24"/>
          <w:szCs w:val="24"/>
        </w:rPr>
        <w:t>Smluvní strany se dohodly, že za účelem provedení stavby uvedené v odstavci 2.1. Čl. II této smlouvy a zajištění jejího provozu, údržby a oprav uzavřou</w:t>
      </w:r>
      <w:r w:rsidRPr="002F2CFF">
        <w:rPr>
          <w:rFonts w:ascii="Times New Roman" w:hAnsi="Times New Roman"/>
          <w:i/>
          <w:sz w:val="24"/>
          <w:szCs w:val="24"/>
        </w:rPr>
        <w:t xml:space="preserve"> </w:t>
      </w:r>
      <w:r w:rsidRPr="002F2CFF">
        <w:rPr>
          <w:rFonts w:ascii="Times New Roman" w:hAnsi="Times New Roman"/>
          <w:sz w:val="24"/>
          <w:szCs w:val="24"/>
        </w:rPr>
        <w:t>podle ust.</w:t>
      </w:r>
      <w:r w:rsidRPr="002F2CFF">
        <w:rPr>
          <w:rFonts w:ascii="Times New Roman" w:hAnsi="Times New Roman"/>
          <w:i/>
          <w:sz w:val="24"/>
          <w:szCs w:val="24"/>
        </w:rPr>
        <w:t xml:space="preserve"> </w:t>
      </w:r>
      <w:r w:rsidRPr="002F2CFF">
        <w:rPr>
          <w:rFonts w:ascii="Times New Roman" w:hAnsi="Times New Roman"/>
          <w:sz w:val="24"/>
          <w:szCs w:val="24"/>
        </w:rPr>
        <w:t>§ 59 odst. 2 zákona č. 458/2000 Sb.</w:t>
      </w:r>
      <w:r w:rsidRPr="002F2CFF">
        <w:rPr>
          <w:rFonts w:ascii="Times New Roman" w:hAnsi="Times New Roman"/>
          <w:i/>
          <w:sz w:val="24"/>
          <w:szCs w:val="24"/>
        </w:rPr>
        <w:t xml:space="preserve">, </w:t>
      </w:r>
      <w:r w:rsidRPr="002F2CFF">
        <w:rPr>
          <w:rFonts w:ascii="Times New Roman" w:hAnsi="Times New Roman"/>
          <w:sz w:val="24"/>
          <w:szCs w:val="24"/>
        </w:rPr>
        <w:t>v platném znění</w:t>
      </w:r>
      <w:r w:rsidRPr="002F2CFF">
        <w:rPr>
          <w:rFonts w:ascii="Times New Roman" w:hAnsi="Times New Roman"/>
          <w:i/>
          <w:sz w:val="24"/>
          <w:szCs w:val="24"/>
        </w:rPr>
        <w:t xml:space="preserve">, </w:t>
      </w:r>
      <w:r w:rsidRPr="002F2CFF">
        <w:rPr>
          <w:rFonts w:ascii="Times New Roman" w:hAnsi="Times New Roman"/>
          <w:sz w:val="24"/>
          <w:szCs w:val="24"/>
        </w:rPr>
        <w:t>smlouvu o zřízení věcného břemene, kterou budoucí povinná zatíží část pozemků uvedených v Čl. I této smlouvy ve prospěch budoucí oprávněné věcným břemenem, jehož obsahem bude právo zřídit a provozovat stavbu STL plynovodu na zatížených částech pozemků, a to včetně práva vstupu a vjezdu na tyto pozemky za tímto účelem.</w:t>
      </w:r>
    </w:p>
    <w:p w14:paraId="4AA1E9F3"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3.2. Skutečný rozsah věcného břemene vymezí geometrický plán, který bude vyhotoven po dokončení stavby, provedené v souladu se zakresleným umístěním stavby v situačním </w:t>
      </w:r>
      <w:r w:rsidRPr="002F2CFF">
        <w:rPr>
          <w:rFonts w:ascii="Times New Roman" w:hAnsi="Times New Roman"/>
          <w:sz w:val="24"/>
          <w:szCs w:val="24"/>
        </w:rPr>
        <w:lastRenderedPageBreak/>
        <w:t xml:space="preserve">plánku, který je přílohou této smlouvy, a stane se nedílnou součástí smlouvy o zřízení věcného břemene. Vyhotovení tohoto geometrického plánu zajistí budoucí oprávněná, která rovněž ponese náklady s tím spojené. </w:t>
      </w:r>
    </w:p>
    <w:p w14:paraId="4098E752"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3.3. Budoucí oprávněná se zavazuje práva odpovídající shora vymezenému budoucímu věcnému břemeni přijmout a budoucí povinná se zavazuje toto omezení svého vlastnického práva strpět.</w:t>
      </w:r>
    </w:p>
    <w:p w14:paraId="44EEF8AD"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3.4. Věcné břemeno bude zřízeno na dobu neurčitou.</w:t>
      </w:r>
    </w:p>
    <w:p w14:paraId="1EC6CE0E" w14:textId="77777777" w:rsidR="002F2CFF" w:rsidRPr="002F2CFF" w:rsidRDefault="002F2CFF" w:rsidP="002F2CFF">
      <w:pPr>
        <w:spacing w:before="360"/>
        <w:ind w:right="-289"/>
        <w:jc w:val="center"/>
        <w:rPr>
          <w:rFonts w:ascii="Times New Roman" w:hAnsi="Times New Roman"/>
          <w:b/>
          <w:bCs/>
          <w:sz w:val="24"/>
          <w:szCs w:val="24"/>
        </w:rPr>
      </w:pPr>
      <w:r w:rsidRPr="002F2CFF">
        <w:rPr>
          <w:rFonts w:ascii="Times New Roman" w:hAnsi="Times New Roman"/>
          <w:b/>
          <w:bCs/>
          <w:sz w:val="24"/>
          <w:szCs w:val="24"/>
        </w:rPr>
        <w:t>Čl. IV</w:t>
      </w:r>
    </w:p>
    <w:p w14:paraId="4BDBB452" w14:textId="77777777" w:rsidR="002F2CFF" w:rsidRPr="002F2CFF" w:rsidRDefault="002F2CFF" w:rsidP="002F2CFF">
      <w:pPr>
        <w:spacing w:before="100"/>
        <w:jc w:val="both"/>
        <w:rPr>
          <w:rFonts w:ascii="Times New Roman" w:hAnsi="Times New Roman"/>
          <w:color w:val="000000"/>
          <w:sz w:val="24"/>
          <w:szCs w:val="24"/>
        </w:rPr>
      </w:pPr>
      <w:r w:rsidRPr="002F2CFF">
        <w:rPr>
          <w:rFonts w:ascii="Times New Roman" w:hAnsi="Times New Roman"/>
          <w:sz w:val="24"/>
          <w:szCs w:val="24"/>
        </w:rPr>
        <w:t xml:space="preserve">4.1. </w:t>
      </w:r>
      <w:r w:rsidRPr="002F2CFF">
        <w:rPr>
          <w:rFonts w:ascii="Times New Roman" w:hAnsi="Times New Roman"/>
          <w:color w:val="000000"/>
          <w:sz w:val="24"/>
          <w:szCs w:val="24"/>
        </w:rPr>
        <w:t>Budoucí oprávněná zajistí a uhradí vybudování nového povrchu částí pozemků dotčených stavbou. Obnovení krytů chodníků a vozovek provede oprávněná v souladu s ustanoveními „Zásad a technických podmínek pro zásahy do povrchů komunikací a pro provádění výkopů a zásypů rýh inženýrských sítí“, schválených usnesením Rady hl. m. Prahy č. 95 ze dne 31. 1. 2012 ve znění usnesení Rady hl. m. Prahy č. 127/2014 ze dne 28. 1. 2014, a to nejpozději do protokolárního předání opraveného krytu pozemků dotčených stavbou vlastníkovi nebo správci tohoto pozemku, případně do vydání kolaudačního souhlasu příslušným stavebním úřadem, nebo do podání oznámení záměru započít s užíváním stavby příslušnému stavebnímu úřadu, jinak je budoucí povinná oprávněna zajistit obnovení krytů chodníků a vozovek dotčených předmětnou stavbou v souladu s uvedenými zásadami a budoucí oprávněná je povinna uhradit budoucí povinné náklady, které jí z této činnosti vzniknou. Budoucí oprávněná je povinna písemně vyzvat OŽPAD k účasti jeho zástupce na předání obnovených krytů chodníků a vozovek dotčených stavbou jejich vlastníkovi nebo správci, a to nejméně 5 dnů před tímto předáním.</w:t>
      </w:r>
    </w:p>
    <w:p w14:paraId="46A18156"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4.2. Při provádění stavby zajistí budoucí oprávněná ochranu stávajících dřevin a jiné zeleně v souladu s ČSN 839061 - Technologie vegetačních úprav v krajině - Ochrana stromů, porostů a vegetačních ploch při stavebních pracích. V případě, že se stavba dotkne stávajících dřevin a zeleně, budou budoucí oprávněnou na její náklady nahrazeny novými dřevinami a zelení, a to bez zbytečného odkladu po dokončení stavby. </w:t>
      </w:r>
    </w:p>
    <w:p w14:paraId="3CEB8806"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4.3. Budoucí oprávněná zajistí, aby výkopy prováděné v rámci stavby byly ohrazeny plůtkovými zábranami a v noci řádně osvětleny. Dále je povinna zajistit umístění dopravního značení TP 66 (zásady pro přechodné dopravní značení) a opatřit přechody k bytovým domům ocelovými mobilními lávkami pro pěší. Okolí stavby bude po celou dobu stavby udržováno v přiměřeném pořádku a čistotě. Stavební práce budou prováděny v době od 7.00 do 21.00 hod. tak, aby v souvislosti s nimi nebyl překročen hygienický limit pro stavební hluk ve venkovním chráněném prostoru staveb.</w:t>
      </w:r>
    </w:p>
    <w:p w14:paraId="32CE2878"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4.4. Budoucí oprávněná je povinna si při vstupu a vjezdu na pozemky počínat tak, aby nedocházelo ke škodě na majetku budoucí povinné. V případě, že ke škodě dojde v důsledku činnosti budoucí oprávněné, jejích zaměstnanců či spolupracovníků, je budoucí oprávněná takto způsobenou škodu povinna uhradit budoucí povinné v plné výši, a to neprodleně na základě písemného požadavku budoucí povinné na zaplacení, a to ve lhůtě 30 dnů ode dne doručení tohoto požadavku.  </w:t>
      </w:r>
    </w:p>
    <w:p w14:paraId="29F358B7"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4.5. Případné stavební úpravy, plánované opravy či rekonstrukce předmětné stavby na </w:t>
      </w:r>
      <w:r w:rsidR="00172500">
        <w:rPr>
          <w:rFonts w:ascii="Times New Roman" w:hAnsi="Times New Roman"/>
          <w:sz w:val="24"/>
          <w:szCs w:val="24"/>
        </w:rPr>
        <w:t xml:space="preserve">služebných </w:t>
      </w:r>
      <w:r w:rsidRPr="002F2CFF">
        <w:rPr>
          <w:rFonts w:ascii="Times New Roman" w:hAnsi="Times New Roman"/>
          <w:sz w:val="24"/>
          <w:szCs w:val="24"/>
        </w:rPr>
        <w:t>pozemcích je budoucí oprávněná povinna ohlásit budoucí povinné a předat jí předem do 15 dnů před zahájením prací závazný harmonogram provedení prací. Budoucí oprávněná je povinna zajistit, aby při provádění prací byly dodržovány pořádek a čistota a nebyly pracemi zatěžovány sousední pozemky nebo komunikace. Bez předchozího oznámení bude moci budoucí oprávněná vstupovat a vjíždět na</w:t>
      </w:r>
      <w:r w:rsidR="00EF07CE">
        <w:rPr>
          <w:rFonts w:ascii="Times New Roman" w:hAnsi="Times New Roman"/>
          <w:sz w:val="24"/>
          <w:szCs w:val="24"/>
        </w:rPr>
        <w:t> </w:t>
      </w:r>
      <w:r w:rsidRPr="002F2CFF">
        <w:rPr>
          <w:rFonts w:ascii="Times New Roman" w:hAnsi="Times New Roman"/>
          <w:sz w:val="24"/>
          <w:szCs w:val="24"/>
        </w:rPr>
        <w:t>pozemky za účelem odstranění havárie zařízení, přičemž takovou skutečnost je budoucí oprávněná povinna budoucí povinné neprodleně oznámit</w:t>
      </w:r>
    </w:p>
    <w:p w14:paraId="779F2524"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4.6. Budoucí oprávněná bude povinna zaplatit budoucí povinné za každé porušení kterékoliv povinnosti sjednané v odst. 2.2. Čl. II. a v odst. 4.1., 4.2., 4.3., 4.4. a 4.5. Čl. IV. této smlouvy smluvní pokutu ve výši 10.000 Kč, která bude splatná do 10 dnů od doručení výzvy budoucí povinné k zaplacení budoucí oprávněné. Tímto ujednáním není dotčen nárok budoucí povinné nebo třetích osob na náhradu škody vzniklé v souvislosti s umístěním stavby, případnými stavebními úpravami, opravami či rekonstrukcí, kterou uhradí budoucí oprávněná budoucí povinné, nebo třetím osobám neprodleně po prokázání škody na základě písemného požadavku poškozeného. </w:t>
      </w:r>
    </w:p>
    <w:p w14:paraId="2F60CCEA" w14:textId="77777777" w:rsidR="002F2CFF" w:rsidRPr="002F2CFF" w:rsidRDefault="002F2CFF" w:rsidP="002F2CFF">
      <w:pPr>
        <w:spacing w:before="360"/>
        <w:ind w:right="-289"/>
        <w:jc w:val="center"/>
        <w:rPr>
          <w:rFonts w:ascii="Times New Roman" w:hAnsi="Times New Roman"/>
          <w:b/>
          <w:bCs/>
          <w:sz w:val="24"/>
          <w:szCs w:val="24"/>
        </w:rPr>
      </w:pPr>
      <w:r w:rsidRPr="002F2CFF">
        <w:rPr>
          <w:rFonts w:ascii="Times New Roman" w:hAnsi="Times New Roman"/>
          <w:b/>
          <w:bCs/>
          <w:sz w:val="24"/>
          <w:szCs w:val="24"/>
        </w:rPr>
        <w:t>Čl. V</w:t>
      </w:r>
    </w:p>
    <w:p w14:paraId="2FA20A25"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5.1. Smluvní strany se dohodly, že věcné břemeno bude zřízeno za jednorázovou úplatu, jejíž výše bude stanovena na základě znaleckého posudku, který nechá vypracovat budoucí povinná na náklady budoucí oprávněné, a to v závislosti na skutečném rozsahu věcného břemene, vymezeného geometrickým plánem. Takto stanovená výše úplaty bude navýšena o daň z přidané hodnoty v aktuální zákonné výši. Tuto částku se budoucí oprávněná z věcného břemene zavazuje uhradit budoucí povinné z věcného břemene do 30 dnů ode dne účinnosti smlouvy o zřízení věcného břemene. Den účinnosti smlouvy se považuje za den uskutečnění zdanitelného plnění, ke kterému vystaví budoucí povinná fakturu - daňový doklad. Faktura - daňový doklad bude obsahovat předepsané náležitosti podle ust. § 29 zákona </w:t>
      </w:r>
      <w:r w:rsidRPr="002F2CFF">
        <w:rPr>
          <w:rFonts w:ascii="Times New Roman" w:hAnsi="Times New Roman"/>
          <w:spacing w:val="-4"/>
          <w:sz w:val="24"/>
          <w:szCs w:val="24"/>
        </w:rPr>
        <w:t xml:space="preserve">č. 235/2004 Sb., o dani z přidané hodnoty, ve znění pozdějších předpisů, a jako číslo objednávky </w:t>
      </w:r>
      <w:r w:rsidRPr="002F2CFF">
        <w:rPr>
          <w:rFonts w:ascii="Times New Roman" w:hAnsi="Times New Roman"/>
          <w:spacing w:val="-2"/>
          <w:sz w:val="24"/>
          <w:szCs w:val="24"/>
        </w:rPr>
        <w:t xml:space="preserve">bude mít uvedeno číslo smlouvy o zřízení věcného břemene. Úhradou platby se pro účely této </w:t>
      </w:r>
      <w:r w:rsidRPr="002F2CFF">
        <w:rPr>
          <w:rFonts w:ascii="Times New Roman" w:hAnsi="Times New Roman"/>
          <w:sz w:val="24"/>
          <w:szCs w:val="24"/>
        </w:rPr>
        <w:t>smlouvy rozumí den připsání výše uvedené jednorázové úplaty na účet budoucí povinné.</w:t>
      </w:r>
    </w:p>
    <w:p w14:paraId="766BFECF" w14:textId="77777777" w:rsid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5.2. Návrh na vklad věcného břemene do katastru nemovitostí nesmí být podán budoucí oprávněnou dříve, než bude uhrazena jednorázová úplata za zřízení věcného břemene podle odst. 5. 1. tohoto článku. Pokud by smlouva o zřízení věcného břemene obsahovala nesprávnost nebo nejasnost nebo formální nedostatek nebo byla shledána příslušným katastrálním úřadem za nezpůsobilý podklad pro vklad věcného břemene k pozemkům do katastru nemovitostí, budoucí povinná a budoucí oprávněná v součinnosti bez zbytečného odkladu odstraní vady podání nebo uzavřou novou smlouvu ve znění, které nebude obsahovat namítané nesprávnosti nebo nepřesnosti nebo skutečnosti, které způsobily, že na základě smlouvy nebylo možno provést vklad věcného břemene k pozemkům do katastru nemovitostí. Za tímto účelem budoucí povinná a budoucí oprávněná předcházejí zamítnutí návrhu na vklad především zpětvzetím návrhu na vklad a souhlasem druhého účastníka vkladového řízení se zpětvzetím návrhu na vklad.</w:t>
      </w:r>
    </w:p>
    <w:p w14:paraId="281B5572" w14:textId="77777777" w:rsidR="00E9463B" w:rsidRPr="002F2CFF" w:rsidRDefault="00E9463B" w:rsidP="002F2CFF">
      <w:pPr>
        <w:spacing w:before="100"/>
        <w:jc w:val="both"/>
        <w:rPr>
          <w:rFonts w:ascii="Times New Roman" w:hAnsi="Times New Roman"/>
          <w:sz w:val="24"/>
          <w:szCs w:val="24"/>
        </w:rPr>
      </w:pPr>
      <w:r>
        <w:rPr>
          <w:rFonts w:ascii="Times New Roman" w:hAnsi="Times New Roman"/>
          <w:sz w:val="24"/>
          <w:szCs w:val="24"/>
        </w:rPr>
        <w:t>5.3. Budoucí p</w:t>
      </w:r>
      <w:r w:rsidRPr="00E9463B">
        <w:rPr>
          <w:rFonts w:ascii="Times New Roman" w:hAnsi="Times New Roman"/>
          <w:sz w:val="24"/>
          <w:szCs w:val="24"/>
        </w:rPr>
        <w:t xml:space="preserve">ovinný, který je plátcem DPH, se jako poskytovatel zdanitelného plnění zavazuje, že povinnosti plynoucí mu ze ZDPH, bude plnit řádně a včas. Zejména se zavazuje, že nebude úmyslně vystavovat </w:t>
      </w:r>
      <w:r>
        <w:rPr>
          <w:rFonts w:ascii="Times New Roman" w:hAnsi="Times New Roman"/>
          <w:sz w:val="24"/>
          <w:szCs w:val="24"/>
        </w:rPr>
        <w:t>budoucí</w:t>
      </w:r>
      <w:r w:rsidR="00E01202">
        <w:rPr>
          <w:rFonts w:ascii="Times New Roman" w:hAnsi="Times New Roman"/>
          <w:sz w:val="24"/>
          <w:szCs w:val="24"/>
        </w:rPr>
        <w:t xml:space="preserve">ho </w:t>
      </w:r>
      <w:r w:rsidRPr="00E9463B">
        <w:rPr>
          <w:rFonts w:ascii="Times New Roman" w:hAnsi="Times New Roman"/>
          <w:sz w:val="24"/>
          <w:szCs w:val="24"/>
        </w:rPr>
        <w:t xml:space="preserve">oprávněného riziku plnění z titulu ručení za nezaplacenou daň dle § 109 ZDPH. Pokud okolnosti budou nasvědčovat tomu, že by mohla </w:t>
      </w:r>
      <w:r w:rsidR="00E01202">
        <w:rPr>
          <w:rFonts w:ascii="Times New Roman" w:hAnsi="Times New Roman"/>
          <w:sz w:val="24"/>
          <w:szCs w:val="24"/>
        </w:rPr>
        <w:t xml:space="preserve">budoucímu </w:t>
      </w:r>
      <w:r w:rsidRPr="00E9463B">
        <w:rPr>
          <w:rFonts w:ascii="Times New Roman" w:hAnsi="Times New Roman"/>
          <w:sz w:val="24"/>
          <w:szCs w:val="24"/>
        </w:rPr>
        <w:t xml:space="preserve">oprávněnému ve vztahu ke zdanitelným plněním poskytnutým </w:t>
      </w:r>
      <w:r w:rsidR="00E01202">
        <w:rPr>
          <w:rFonts w:ascii="Times New Roman" w:hAnsi="Times New Roman"/>
          <w:sz w:val="24"/>
          <w:szCs w:val="24"/>
        </w:rPr>
        <w:t xml:space="preserve">budoucím </w:t>
      </w:r>
      <w:r w:rsidRPr="00E9463B">
        <w:rPr>
          <w:rFonts w:ascii="Times New Roman" w:hAnsi="Times New Roman"/>
          <w:sz w:val="24"/>
          <w:szCs w:val="24"/>
        </w:rPr>
        <w:t xml:space="preserve">povinným na základě této Smlouvy vzniknout ručitelská povinnost ve smyslu § 109 ZDPH, vyhrazuje si </w:t>
      </w:r>
      <w:r w:rsidR="00E01202">
        <w:rPr>
          <w:rFonts w:ascii="Times New Roman" w:hAnsi="Times New Roman"/>
          <w:sz w:val="24"/>
          <w:szCs w:val="24"/>
        </w:rPr>
        <w:t xml:space="preserve">budoucí </w:t>
      </w:r>
      <w:r w:rsidRPr="00E9463B">
        <w:rPr>
          <w:rFonts w:ascii="Times New Roman" w:hAnsi="Times New Roman"/>
          <w:sz w:val="24"/>
          <w:szCs w:val="24"/>
        </w:rPr>
        <w:t xml:space="preserve">oprávněný právo uhradit daň z těchto zdanitelných plnění místně příslušnému správci daně </w:t>
      </w:r>
      <w:r w:rsidR="00E01202">
        <w:rPr>
          <w:rFonts w:ascii="Times New Roman" w:hAnsi="Times New Roman"/>
          <w:sz w:val="24"/>
          <w:szCs w:val="24"/>
        </w:rPr>
        <w:t xml:space="preserve">budoucího </w:t>
      </w:r>
      <w:r w:rsidRPr="00E9463B">
        <w:rPr>
          <w:rFonts w:ascii="Times New Roman" w:hAnsi="Times New Roman"/>
          <w:sz w:val="24"/>
          <w:szCs w:val="24"/>
        </w:rPr>
        <w:t xml:space="preserve">povinného postupem podle § 109a ZDPH. Výše uvedené právo platí i v případě, že </w:t>
      </w:r>
      <w:r w:rsidR="00215AFB">
        <w:rPr>
          <w:rFonts w:ascii="Times New Roman" w:hAnsi="Times New Roman"/>
          <w:sz w:val="24"/>
          <w:szCs w:val="24"/>
        </w:rPr>
        <w:t xml:space="preserve">budoucí </w:t>
      </w:r>
      <w:r w:rsidRPr="00E9463B">
        <w:rPr>
          <w:rFonts w:ascii="Times New Roman" w:hAnsi="Times New Roman"/>
          <w:sz w:val="24"/>
          <w:szCs w:val="24"/>
        </w:rPr>
        <w:t xml:space="preserve">povinný bude vyžadovat úhradu na bankovní účet nezveřejněný správcem daně způsobem umožňující dálkový přístup, a to i když úplata nebude dosahovat výše stanovené v § 109 odst. 2 písm. c) ZDPH. </w:t>
      </w:r>
      <w:r w:rsidR="00215AFB">
        <w:rPr>
          <w:rFonts w:ascii="Times New Roman" w:hAnsi="Times New Roman"/>
          <w:sz w:val="24"/>
          <w:szCs w:val="24"/>
        </w:rPr>
        <w:t>Budoucímu p</w:t>
      </w:r>
      <w:r w:rsidRPr="00E9463B">
        <w:rPr>
          <w:rFonts w:ascii="Times New Roman" w:hAnsi="Times New Roman"/>
          <w:sz w:val="24"/>
          <w:szCs w:val="24"/>
        </w:rPr>
        <w:t xml:space="preserve">ovinnému bude o tuto daň snížena úhrada, resp. aplikací výše uvedeného postupu zaniká závazek </w:t>
      </w:r>
      <w:r w:rsidR="00215AFB">
        <w:rPr>
          <w:rFonts w:ascii="Times New Roman" w:hAnsi="Times New Roman"/>
          <w:sz w:val="24"/>
          <w:szCs w:val="24"/>
        </w:rPr>
        <w:t xml:space="preserve">budoucího </w:t>
      </w:r>
      <w:r w:rsidRPr="00E9463B">
        <w:rPr>
          <w:rFonts w:ascii="Times New Roman" w:hAnsi="Times New Roman"/>
          <w:sz w:val="24"/>
          <w:szCs w:val="24"/>
        </w:rPr>
        <w:t xml:space="preserve">oprávněného k úhradě úplaty ve výši odpovídající DPH uhrazené za </w:t>
      </w:r>
      <w:r w:rsidR="00215AFB">
        <w:rPr>
          <w:rFonts w:ascii="Times New Roman" w:hAnsi="Times New Roman"/>
          <w:sz w:val="24"/>
          <w:szCs w:val="24"/>
        </w:rPr>
        <w:t xml:space="preserve">budoucího </w:t>
      </w:r>
      <w:r w:rsidRPr="00E9463B">
        <w:rPr>
          <w:rFonts w:ascii="Times New Roman" w:hAnsi="Times New Roman"/>
          <w:sz w:val="24"/>
          <w:szCs w:val="24"/>
        </w:rPr>
        <w:t xml:space="preserve">povinného. Uplatnění tohoto postupu úhrady daně se </w:t>
      </w:r>
      <w:r w:rsidR="00BD66F5">
        <w:rPr>
          <w:rFonts w:ascii="Times New Roman" w:hAnsi="Times New Roman"/>
          <w:sz w:val="24"/>
          <w:szCs w:val="24"/>
        </w:rPr>
        <w:t xml:space="preserve">budoucí </w:t>
      </w:r>
      <w:r w:rsidRPr="00E9463B">
        <w:rPr>
          <w:rFonts w:ascii="Times New Roman" w:hAnsi="Times New Roman"/>
          <w:sz w:val="24"/>
          <w:szCs w:val="24"/>
        </w:rPr>
        <w:t xml:space="preserve">oprávněný zavazuje </w:t>
      </w:r>
      <w:r w:rsidR="00BD66F5">
        <w:rPr>
          <w:rFonts w:ascii="Times New Roman" w:hAnsi="Times New Roman"/>
          <w:sz w:val="24"/>
          <w:szCs w:val="24"/>
        </w:rPr>
        <w:t xml:space="preserve">budoucímu </w:t>
      </w:r>
      <w:r w:rsidRPr="00E9463B">
        <w:rPr>
          <w:rFonts w:ascii="Times New Roman" w:hAnsi="Times New Roman"/>
          <w:sz w:val="24"/>
          <w:szCs w:val="24"/>
        </w:rPr>
        <w:t>povinnému neprodleně oznámit.</w:t>
      </w:r>
    </w:p>
    <w:p w14:paraId="3BA9AED6" w14:textId="77777777" w:rsidR="002F2CFF" w:rsidRPr="002F2CFF" w:rsidRDefault="002F2CFF" w:rsidP="002F2CFF">
      <w:pPr>
        <w:spacing w:before="360"/>
        <w:ind w:right="-289"/>
        <w:jc w:val="center"/>
        <w:rPr>
          <w:rFonts w:ascii="Times New Roman" w:hAnsi="Times New Roman"/>
          <w:b/>
          <w:bCs/>
          <w:sz w:val="24"/>
          <w:szCs w:val="24"/>
        </w:rPr>
      </w:pPr>
      <w:r w:rsidRPr="002F2CFF">
        <w:rPr>
          <w:rFonts w:ascii="Times New Roman" w:hAnsi="Times New Roman"/>
          <w:b/>
          <w:bCs/>
          <w:sz w:val="24"/>
          <w:szCs w:val="24"/>
        </w:rPr>
        <w:t>Čl. VI</w:t>
      </w:r>
    </w:p>
    <w:p w14:paraId="77A518F6"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6.1. Budoucí oprávněná je povinna zaslat budoucí povinné kopii souhlasu příslušného stavebního úřadu s užíváním dokončené stavby nebo kopii jiného dokladu opravňujícího k užívání předmětné stavby, a to do jednoho měsíce od udělení tohoto souhlasu nebo vydání jiného dokladu; dále je budoucí oprávněná povinna zaslat budoucí povinné vyhotovený geometrický plán s vyznačením věcného břemene, a to v počtu čtyř originálů bez zbytečného odkladu po jeho vyhotovení.</w:t>
      </w:r>
    </w:p>
    <w:p w14:paraId="13BB91AD"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6.2. Smluvní strany se dohodly, že budoucí povinná předloží budoucí oprávněné návrh smlouvy o zřízení věcného břemene opatřený geometrickým plánem nejpozději do šesti měsíců od</w:t>
      </w:r>
      <w:r w:rsidR="00EF07CE">
        <w:rPr>
          <w:rFonts w:ascii="Times New Roman" w:hAnsi="Times New Roman"/>
          <w:sz w:val="24"/>
          <w:szCs w:val="24"/>
        </w:rPr>
        <w:t> </w:t>
      </w:r>
      <w:r w:rsidRPr="002F2CFF">
        <w:rPr>
          <w:rFonts w:ascii="Times New Roman" w:hAnsi="Times New Roman"/>
          <w:sz w:val="24"/>
          <w:szCs w:val="24"/>
        </w:rPr>
        <w:t xml:space="preserve">udělení souhlasu s užíváním stavby či jiného dokladu k užívání stavby resp. do šesti měsíců ode dne, ve kterém budoucí povinná obdrží od budoucí oprávněné vyhotovený geometrický plán, podle toho, která skutečnost nastane později. </w:t>
      </w:r>
    </w:p>
    <w:p w14:paraId="1DD05A83"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 xml:space="preserve">6.3. Smluvní strany se zavazují uzavřít smlouvu o zřízení věcného břemene, jejíž obsah stanoví tato smlouva o smlouvě budoucí, ve lhůtě 90 dnů ode dne, kdy budoucí povinná předloží budoucí oprávněné spolu s geometrickým plánem návrh smlouvy o zřízení věcného břemene. </w:t>
      </w:r>
    </w:p>
    <w:p w14:paraId="5D2D2410"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6.4. Právo odpovídající věcnému břemeni nabude budoucí oprávněná ke dni podání návrhu na vklad tohoto práva do katastru nemovitostí, přičemž do vydání pravomocného rozhodnutí katastrálního úřadu jsou smluvní strany svými projevy vázány.</w:t>
      </w:r>
    </w:p>
    <w:p w14:paraId="27CD56CD"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6.5. Návrh na vklad práva odpovídajícího věcnému břemeni do katastru nemovitostí podává budoucí oprávněná, která rovněž hradí náklady s tímto vkladem spojené. Budoucí oprávněná je povinna též hradit náklady spojené s vyhotovením znaleckého posudku k ocenění věcného břemene dle Čl. V odst. 5.1.</w:t>
      </w:r>
    </w:p>
    <w:p w14:paraId="0B87B9E9"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6.6. Budoucí povinná uděluje budoucí oprávněné podle § 441 zákona č. 89/2012 Sb., občanského zákoníku, plnou moc k podání návrhu na vklad práva odpovídajícího věcnému břemeni do katastru nemovitostí, a to v souladu se zněním smlouvy o věcném břemeni.</w:t>
      </w:r>
    </w:p>
    <w:p w14:paraId="70F3E566" w14:textId="77777777" w:rsidR="002F2CFF" w:rsidRPr="002F2CFF" w:rsidRDefault="002F2CFF" w:rsidP="002F2CFF">
      <w:pPr>
        <w:spacing w:before="360"/>
        <w:ind w:right="-289"/>
        <w:jc w:val="center"/>
        <w:rPr>
          <w:rFonts w:ascii="Times New Roman" w:hAnsi="Times New Roman"/>
          <w:b/>
          <w:bCs/>
          <w:sz w:val="24"/>
          <w:szCs w:val="24"/>
        </w:rPr>
      </w:pPr>
      <w:r w:rsidRPr="002F2CFF">
        <w:rPr>
          <w:rFonts w:ascii="Times New Roman" w:hAnsi="Times New Roman"/>
          <w:b/>
          <w:bCs/>
          <w:sz w:val="24"/>
          <w:szCs w:val="24"/>
        </w:rPr>
        <w:t>Čl. VII</w:t>
      </w:r>
    </w:p>
    <w:p w14:paraId="57B47E60"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7.1.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i tehdy, jakmile pošta písemnost smluvní straně vrátí jako nedoručitelnou, přičemž adresát svým jednáním doručení písemnosti zmařil nebo její přijetí odmítl.</w:t>
      </w:r>
    </w:p>
    <w:p w14:paraId="426120AF"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7.2. Tato smlouva je vyhotovena ve čtyřech stejnopisech, z nichž každá smluvní strana obdrží po dvou vyhotoveních.</w:t>
      </w:r>
    </w:p>
    <w:p w14:paraId="232FC46D"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7.3. Tuto smlouvu je možno měnit pouze vzestupně číslovanými písemnými dodatky, podepsanými zástupci obou smluvních stran.</w:t>
      </w:r>
    </w:p>
    <w:p w14:paraId="7A8F3DD2"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7.4. Tato smlouva nabývá platnosti dnem podpisu oběma smluvními stranami a účinnosti dnem uveřejnění v registru smluv. Uveřejnění v registru zajistí budoucí oprávněná.</w:t>
      </w:r>
    </w:p>
    <w:p w14:paraId="64439247" w14:textId="77777777" w:rsidR="002F2CFF" w:rsidRPr="002F2CFF" w:rsidRDefault="002F2CFF" w:rsidP="002F2CFF">
      <w:pPr>
        <w:spacing w:before="100"/>
        <w:jc w:val="both"/>
        <w:rPr>
          <w:rFonts w:ascii="Times New Roman" w:hAnsi="Times New Roman"/>
          <w:sz w:val="24"/>
          <w:szCs w:val="24"/>
        </w:rPr>
      </w:pPr>
      <w:r w:rsidRPr="002F2CFF">
        <w:rPr>
          <w:rFonts w:ascii="Times New Roman" w:hAnsi="Times New Roman"/>
          <w:sz w:val="24"/>
          <w:szCs w:val="24"/>
        </w:rPr>
        <w:t>7.5. Strany této smlouvy shodně prohlašují, že byla sepsána podle jejich skutečné a svobodné vůle. Smlouvu si před jejím podpisem přečetly a s jejím obsahem souhlasí, což stvrzují vlastnoručními podpisy.</w:t>
      </w:r>
    </w:p>
    <w:p w14:paraId="0F4FAAB4" w14:textId="77777777" w:rsidR="002F2CFF" w:rsidRPr="002F2CFF" w:rsidRDefault="002F2CFF" w:rsidP="002F2CFF">
      <w:pPr>
        <w:jc w:val="both"/>
        <w:rPr>
          <w:rFonts w:ascii="Times New Roman" w:hAnsi="Times New Roman"/>
          <w:sz w:val="24"/>
          <w:szCs w:val="24"/>
        </w:rPr>
      </w:pPr>
    </w:p>
    <w:p w14:paraId="7E5466FF" w14:textId="77777777" w:rsidR="002F2CFF" w:rsidRPr="002F2CFF" w:rsidRDefault="002F2CFF" w:rsidP="002F2CFF">
      <w:pPr>
        <w:rPr>
          <w:rFonts w:ascii="Times New Roman" w:hAnsi="Times New Roman"/>
          <w:sz w:val="24"/>
          <w:szCs w:val="24"/>
        </w:rPr>
      </w:pPr>
      <w:r w:rsidRPr="002F2CFF">
        <w:rPr>
          <w:rFonts w:ascii="Times New Roman" w:hAnsi="Times New Roman"/>
          <w:sz w:val="24"/>
          <w:szCs w:val="24"/>
        </w:rPr>
        <w:t>Přílohy: č. 1 – situační plán</w:t>
      </w:r>
    </w:p>
    <w:p w14:paraId="070039E7" w14:textId="77777777" w:rsidR="002F2CFF" w:rsidRPr="002F2CFF" w:rsidRDefault="002F2CFF" w:rsidP="002F2CFF">
      <w:pPr>
        <w:jc w:val="both"/>
        <w:rPr>
          <w:rFonts w:ascii="Times New Roman" w:hAnsi="Times New Roman"/>
          <w:sz w:val="24"/>
          <w:szCs w:val="24"/>
        </w:rPr>
      </w:pPr>
      <w:r w:rsidRPr="002F2CFF">
        <w:rPr>
          <w:rFonts w:ascii="Times New Roman" w:hAnsi="Times New Roman"/>
          <w:sz w:val="24"/>
          <w:szCs w:val="24"/>
        </w:rPr>
        <w:t xml:space="preserve">              č. 2 – pověření </w:t>
      </w:r>
      <w:r w:rsidR="00EB7FC4">
        <w:rPr>
          <w:rFonts w:ascii="Times New Roman" w:hAnsi="Times New Roman"/>
          <w:noProof/>
          <w:color w:val="000000"/>
          <w:sz w:val="24"/>
          <w:szCs w:val="24"/>
          <w:highlight w:val="black"/>
        </w:rPr>
        <w:t>'''''''''' ''''''''''''''''''' ''''''''''''''''''''''</w:t>
      </w:r>
    </w:p>
    <w:p w14:paraId="2EBA10BC" w14:textId="77777777" w:rsidR="002F2CFF" w:rsidRPr="002F2CFF" w:rsidRDefault="002F2CFF" w:rsidP="002F2CFF">
      <w:pPr>
        <w:jc w:val="both"/>
        <w:rPr>
          <w:rFonts w:ascii="Times New Roman" w:hAnsi="Times New Roman"/>
          <w:sz w:val="24"/>
          <w:szCs w:val="24"/>
        </w:rPr>
      </w:pPr>
      <w:r w:rsidRPr="002F2CFF">
        <w:rPr>
          <w:rFonts w:ascii="Times New Roman" w:hAnsi="Times New Roman"/>
          <w:sz w:val="24"/>
          <w:szCs w:val="24"/>
        </w:rPr>
        <w:t xml:space="preserve">              č. 3 – plná moc </w:t>
      </w:r>
      <w:r w:rsidR="00EB7FC4">
        <w:rPr>
          <w:rFonts w:ascii="Times New Roman" w:hAnsi="Times New Roman"/>
          <w:noProof/>
          <w:color w:val="000000"/>
          <w:sz w:val="24"/>
          <w:szCs w:val="24"/>
          <w:highlight w:val="black"/>
        </w:rPr>
        <w:t>'''''''' ''''''''''''''''''' ''''''''''''''</w:t>
      </w:r>
    </w:p>
    <w:p w14:paraId="3320D084" w14:textId="77777777" w:rsidR="002F2CFF" w:rsidRPr="002F2CFF" w:rsidRDefault="002F2CFF" w:rsidP="002F2CFF">
      <w:pPr>
        <w:jc w:val="both"/>
        <w:rPr>
          <w:rFonts w:ascii="Times New Roman" w:hAnsi="Times New Roman"/>
          <w:sz w:val="24"/>
          <w:szCs w:val="24"/>
        </w:rPr>
      </w:pPr>
    </w:p>
    <w:p w14:paraId="0CEC3817" w14:textId="77777777" w:rsidR="002F2CFF" w:rsidRPr="002F2CFF" w:rsidRDefault="002F2CFF" w:rsidP="002F2CFF">
      <w:pPr>
        <w:tabs>
          <w:tab w:val="left" w:pos="5245"/>
        </w:tabs>
        <w:jc w:val="both"/>
        <w:rPr>
          <w:rFonts w:ascii="Times New Roman" w:hAnsi="Times New Roman"/>
          <w:sz w:val="24"/>
          <w:szCs w:val="24"/>
        </w:rPr>
      </w:pPr>
      <w:r w:rsidRPr="002F2CFF">
        <w:rPr>
          <w:rFonts w:ascii="Times New Roman" w:hAnsi="Times New Roman"/>
          <w:sz w:val="24"/>
          <w:szCs w:val="24"/>
        </w:rPr>
        <w:t xml:space="preserve">     V Praze dne:</w:t>
      </w:r>
      <w:r w:rsidRPr="002F2CFF">
        <w:rPr>
          <w:rFonts w:ascii="Times New Roman" w:hAnsi="Times New Roman"/>
          <w:sz w:val="24"/>
          <w:szCs w:val="24"/>
        </w:rPr>
        <w:tab/>
        <w:t xml:space="preserve">       V Praze dne: </w:t>
      </w:r>
    </w:p>
    <w:p w14:paraId="5D307F8E" w14:textId="77777777" w:rsidR="002F2CFF" w:rsidRPr="002F2CFF" w:rsidRDefault="002F2CFF" w:rsidP="002F2CFF">
      <w:pPr>
        <w:jc w:val="both"/>
        <w:rPr>
          <w:rFonts w:ascii="Times New Roman" w:hAnsi="Times New Roman"/>
          <w:sz w:val="24"/>
          <w:szCs w:val="24"/>
        </w:rPr>
      </w:pPr>
    </w:p>
    <w:p w14:paraId="289A4314" w14:textId="77777777" w:rsidR="002F2CFF" w:rsidRPr="002F2CFF" w:rsidRDefault="002F2CFF" w:rsidP="002F2CFF">
      <w:pPr>
        <w:tabs>
          <w:tab w:val="left" w:pos="5245"/>
        </w:tabs>
        <w:jc w:val="both"/>
        <w:rPr>
          <w:rFonts w:ascii="Times New Roman" w:hAnsi="Times New Roman"/>
          <w:sz w:val="24"/>
          <w:szCs w:val="24"/>
        </w:rPr>
      </w:pPr>
      <w:r w:rsidRPr="002F2CFF">
        <w:rPr>
          <w:rFonts w:ascii="Times New Roman" w:hAnsi="Times New Roman"/>
          <w:sz w:val="24"/>
          <w:szCs w:val="24"/>
        </w:rPr>
        <w:t>za budoucí oprávněnou:</w:t>
      </w:r>
      <w:r w:rsidRPr="002F2CFF">
        <w:rPr>
          <w:rFonts w:ascii="Times New Roman" w:hAnsi="Times New Roman"/>
          <w:sz w:val="24"/>
          <w:szCs w:val="24"/>
        </w:rPr>
        <w:tab/>
        <w:t xml:space="preserve">za budoucí povinnou:  </w:t>
      </w:r>
    </w:p>
    <w:p w14:paraId="410C1D99" w14:textId="77777777" w:rsidR="002F2CFF" w:rsidRPr="002F2CFF" w:rsidRDefault="002F2CFF" w:rsidP="002F2CFF">
      <w:pPr>
        <w:tabs>
          <w:tab w:val="left" w:pos="5245"/>
        </w:tabs>
        <w:rPr>
          <w:rFonts w:ascii="Times New Roman" w:hAnsi="Times New Roman"/>
          <w:sz w:val="24"/>
          <w:szCs w:val="24"/>
        </w:rPr>
      </w:pPr>
    </w:p>
    <w:p w14:paraId="08D84D6D" w14:textId="77777777" w:rsidR="002F2CFF" w:rsidRPr="002F2CFF" w:rsidRDefault="002F2CFF" w:rsidP="002F2CFF">
      <w:pPr>
        <w:tabs>
          <w:tab w:val="left" w:pos="5245"/>
        </w:tabs>
        <w:rPr>
          <w:rFonts w:ascii="Times New Roman" w:hAnsi="Times New Roman"/>
          <w:sz w:val="24"/>
          <w:szCs w:val="24"/>
        </w:rPr>
      </w:pPr>
    </w:p>
    <w:p w14:paraId="6D1F1614" w14:textId="77777777" w:rsidR="002F2CFF" w:rsidRPr="002F2CFF" w:rsidRDefault="002F2CFF" w:rsidP="002F2CFF">
      <w:pPr>
        <w:tabs>
          <w:tab w:val="left" w:pos="5245"/>
        </w:tabs>
        <w:jc w:val="both"/>
        <w:rPr>
          <w:rFonts w:ascii="Times New Roman" w:hAnsi="Times New Roman"/>
          <w:sz w:val="24"/>
          <w:szCs w:val="24"/>
        </w:rPr>
      </w:pPr>
      <w:r w:rsidRPr="002F2CFF">
        <w:rPr>
          <w:rFonts w:ascii="Times New Roman" w:hAnsi="Times New Roman"/>
          <w:sz w:val="24"/>
          <w:szCs w:val="24"/>
        </w:rPr>
        <w:t>.............................................</w:t>
      </w:r>
      <w:r w:rsidRPr="002F2CFF">
        <w:rPr>
          <w:rFonts w:ascii="Times New Roman" w:hAnsi="Times New Roman"/>
          <w:sz w:val="24"/>
          <w:szCs w:val="24"/>
        </w:rPr>
        <w:tab/>
        <w:t>.............................................</w:t>
      </w:r>
    </w:p>
    <w:p w14:paraId="5C9EE20B" w14:textId="77777777" w:rsidR="002F2CFF" w:rsidRPr="002F2CFF" w:rsidRDefault="00EB7FC4" w:rsidP="002F2CFF">
      <w:pPr>
        <w:tabs>
          <w:tab w:val="left" w:pos="5245"/>
        </w:tabs>
        <w:jc w:val="both"/>
        <w:rPr>
          <w:rFonts w:ascii="Times New Roman" w:hAnsi="Times New Roman"/>
          <w:sz w:val="24"/>
          <w:szCs w:val="24"/>
        </w:rPr>
      </w:pPr>
      <w:r>
        <w:rPr>
          <w:rFonts w:ascii="Times New Roman" w:hAnsi="Times New Roman"/>
          <w:noProof/>
          <w:color w:val="000000"/>
          <w:sz w:val="24"/>
          <w:szCs w:val="24"/>
          <w:highlight w:val="black"/>
        </w:rPr>
        <w:t xml:space="preserve">    ''''''''' ''''''''''''''' ''''''''''''''''''</w:t>
      </w:r>
      <w:r w:rsidR="002F2CFF" w:rsidRPr="002F2CFF">
        <w:rPr>
          <w:rFonts w:ascii="Times New Roman" w:hAnsi="Times New Roman"/>
          <w:sz w:val="24"/>
          <w:szCs w:val="24"/>
        </w:rPr>
        <w:tab/>
        <w:t xml:space="preserve">       </w:t>
      </w:r>
      <w:r>
        <w:rPr>
          <w:rFonts w:ascii="Times New Roman" w:eastAsia="Times New Roman" w:hAnsi="Times New Roman"/>
          <w:noProof/>
          <w:color w:val="000000"/>
          <w:sz w:val="24"/>
          <w:szCs w:val="24"/>
          <w:highlight w:val="black"/>
        </w:rPr>
        <w:t>''''''''' ''''''''''''''' '''''''''''''</w:t>
      </w:r>
    </w:p>
    <w:p w14:paraId="5652A5AC" w14:textId="77777777" w:rsidR="002F2CFF" w:rsidRPr="002F2CFF" w:rsidRDefault="002F2CFF" w:rsidP="002F2CFF">
      <w:pPr>
        <w:tabs>
          <w:tab w:val="left" w:pos="5245"/>
        </w:tabs>
        <w:jc w:val="both"/>
        <w:rPr>
          <w:rFonts w:ascii="Times New Roman" w:hAnsi="Times New Roman"/>
          <w:sz w:val="24"/>
          <w:szCs w:val="24"/>
        </w:rPr>
      </w:pPr>
      <w:r w:rsidRPr="002F2CFF">
        <w:rPr>
          <w:rFonts w:ascii="Times New Roman" w:hAnsi="Times New Roman"/>
          <w:sz w:val="24"/>
          <w:szCs w:val="24"/>
        </w:rPr>
        <w:t xml:space="preserve">         v pověření</w:t>
      </w:r>
      <w:r w:rsidRPr="002F2CFF">
        <w:rPr>
          <w:rFonts w:ascii="Times New Roman" w:hAnsi="Times New Roman"/>
          <w:sz w:val="24"/>
          <w:szCs w:val="24"/>
        </w:rPr>
        <w:tab/>
        <w:t xml:space="preserve">            </w:t>
      </w:r>
      <w:r w:rsidRPr="002F2CFF">
        <w:rPr>
          <w:rFonts w:ascii="Times New Roman" w:eastAsia="Times New Roman" w:hAnsi="Times New Roman"/>
          <w:sz w:val="24"/>
          <w:szCs w:val="24"/>
        </w:rPr>
        <w:t>místostarosta</w:t>
      </w:r>
    </w:p>
    <w:p w14:paraId="3BAAA3FB" w14:textId="77777777" w:rsidR="002F2CFF" w:rsidRPr="002F2CFF" w:rsidRDefault="002F2CFF" w:rsidP="002F2CFF">
      <w:pPr>
        <w:tabs>
          <w:tab w:val="left" w:pos="5245"/>
        </w:tabs>
        <w:jc w:val="both"/>
        <w:rPr>
          <w:rFonts w:ascii="Times New Roman" w:hAnsi="Times New Roman"/>
          <w:sz w:val="24"/>
          <w:szCs w:val="24"/>
        </w:rPr>
      </w:pPr>
      <w:r w:rsidRPr="002F2CFF">
        <w:rPr>
          <w:rFonts w:ascii="Times New Roman" w:hAnsi="Times New Roman"/>
          <w:sz w:val="24"/>
          <w:szCs w:val="24"/>
        </w:rPr>
        <w:tab/>
        <w:t xml:space="preserve">             v plné moci</w:t>
      </w:r>
    </w:p>
    <w:p w14:paraId="1C61AEA0" w14:textId="77777777" w:rsidR="00E97737" w:rsidRDefault="00E97737" w:rsidP="002F2CFF">
      <w:pPr>
        <w:ind w:right="-289"/>
        <w:jc w:val="center"/>
        <w:rPr>
          <w:rFonts w:ascii="Times New Roman" w:hAnsi="Times New Roman"/>
          <w:b/>
          <w:sz w:val="24"/>
          <w:szCs w:val="24"/>
        </w:rPr>
      </w:pPr>
    </w:p>
    <w:p w14:paraId="6A74ECD1" w14:textId="77777777" w:rsidR="00CD399A" w:rsidRPr="002F2CFF" w:rsidRDefault="00CD399A" w:rsidP="00CD399A">
      <w:pPr>
        <w:ind w:right="-289"/>
        <w:jc w:val="center"/>
        <w:rPr>
          <w:rFonts w:ascii="Times New Roman" w:hAnsi="Times New Roman"/>
          <w:b/>
          <w:sz w:val="24"/>
          <w:szCs w:val="24"/>
        </w:rPr>
      </w:pPr>
      <w:r w:rsidRPr="002F2CFF">
        <w:rPr>
          <w:rFonts w:ascii="Times New Roman" w:hAnsi="Times New Roman"/>
          <w:b/>
          <w:sz w:val="24"/>
          <w:szCs w:val="24"/>
        </w:rPr>
        <w:t>Příloha č. 1 – situační plán</w:t>
      </w:r>
    </w:p>
    <w:p w14:paraId="22ADECB6" w14:textId="77777777" w:rsidR="00CD399A" w:rsidRDefault="00CD399A" w:rsidP="002F2CFF">
      <w:pPr>
        <w:ind w:right="-289"/>
        <w:jc w:val="center"/>
        <w:rPr>
          <w:rFonts w:ascii="Times New Roman" w:hAnsi="Times New Roman"/>
          <w:b/>
          <w:sz w:val="24"/>
          <w:szCs w:val="24"/>
        </w:rPr>
      </w:pPr>
    </w:p>
    <w:p w14:paraId="055ED358" w14:textId="77777777" w:rsidR="002F2CFF" w:rsidRPr="00CD399A" w:rsidRDefault="002F2CFF" w:rsidP="00CD399A">
      <w:pPr>
        <w:ind w:right="-289"/>
        <w:jc w:val="center"/>
        <w:rPr>
          <w:rFonts w:ascii="Times New Roman" w:hAnsi="Times New Roman"/>
          <w:b/>
          <w:sz w:val="24"/>
          <w:szCs w:val="24"/>
        </w:rPr>
      </w:pPr>
    </w:p>
    <w:p w14:paraId="21DE868D" w14:textId="77777777" w:rsidR="002F2CFF" w:rsidRPr="00E97737" w:rsidRDefault="002F2CFF" w:rsidP="002F2CFF">
      <w:pPr>
        <w:ind w:right="-289"/>
        <w:jc w:val="center"/>
        <w:rPr>
          <w:rFonts w:ascii="Times New Roman" w:hAnsi="Times New Roman"/>
          <w:b/>
          <w:sz w:val="22"/>
        </w:rPr>
      </w:pPr>
      <w:r w:rsidRPr="00E97737">
        <w:rPr>
          <w:rFonts w:ascii="Times New Roman" w:hAnsi="Times New Roman"/>
          <w:b/>
          <w:sz w:val="22"/>
        </w:rPr>
        <w:t xml:space="preserve">Příloha č. 2 – pověření </w:t>
      </w:r>
      <w:r w:rsidR="00EB7FC4">
        <w:rPr>
          <w:rFonts w:ascii="Times New Roman" w:hAnsi="Times New Roman"/>
          <w:b/>
          <w:noProof/>
          <w:color w:val="000000"/>
          <w:sz w:val="22"/>
          <w:highlight w:val="black"/>
        </w:rPr>
        <w:t>''''''' ''''''''''''' '''''''''''''''</w:t>
      </w:r>
    </w:p>
    <w:p w14:paraId="70DC8FCF" w14:textId="77777777" w:rsidR="002F2CFF" w:rsidRDefault="002F2CFF" w:rsidP="002F2CFF">
      <w:pPr>
        <w:ind w:right="-289"/>
        <w:jc w:val="both"/>
      </w:pPr>
    </w:p>
    <w:p w14:paraId="5885E811" w14:textId="77777777" w:rsidR="002F2CFF" w:rsidRDefault="002F2CFF" w:rsidP="002F2CFF">
      <w:pPr>
        <w:ind w:right="-289"/>
        <w:jc w:val="both"/>
      </w:pPr>
    </w:p>
    <w:p w14:paraId="2424B55C" w14:textId="77777777" w:rsidR="002F2CFF" w:rsidRDefault="002F2CFF" w:rsidP="00CF18ED">
      <w:pPr>
        <w:ind w:right="-289"/>
        <w:jc w:val="center"/>
      </w:pPr>
    </w:p>
    <w:p w14:paraId="2F4E5474" w14:textId="77777777" w:rsidR="00172500" w:rsidRDefault="00172500" w:rsidP="00CF18ED">
      <w:pPr>
        <w:ind w:right="-289"/>
        <w:jc w:val="center"/>
      </w:pPr>
    </w:p>
    <w:p w14:paraId="6B0AAB4C" w14:textId="77777777" w:rsidR="00172500" w:rsidRDefault="00172500" w:rsidP="00CF18ED">
      <w:pPr>
        <w:ind w:right="-289"/>
        <w:jc w:val="center"/>
      </w:pPr>
    </w:p>
    <w:p w14:paraId="135A758D" w14:textId="77777777" w:rsidR="00172500" w:rsidRDefault="00172500" w:rsidP="00CF18ED">
      <w:pPr>
        <w:ind w:right="-289"/>
        <w:jc w:val="center"/>
      </w:pPr>
    </w:p>
    <w:p w14:paraId="105C6E47" w14:textId="77777777" w:rsidR="002F2CFF" w:rsidRDefault="002F2CFF" w:rsidP="002F2CFF">
      <w:pPr>
        <w:ind w:right="-289"/>
        <w:jc w:val="center"/>
        <w:rPr>
          <w:b/>
          <w:u w:val="single"/>
        </w:rPr>
      </w:pPr>
    </w:p>
    <w:p w14:paraId="44FF5B48" w14:textId="77777777" w:rsidR="002F2CFF" w:rsidRDefault="002F2CFF" w:rsidP="002F2CFF">
      <w:pPr>
        <w:rPr>
          <w:b/>
          <w:u w:val="single"/>
        </w:rPr>
      </w:pPr>
    </w:p>
    <w:p w14:paraId="135DA98F" w14:textId="77777777" w:rsidR="002F2CFF" w:rsidRDefault="002F2CFF" w:rsidP="002F2CFF">
      <w:pPr>
        <w:rPr>
          <w:b/>
          <w:u w:val="single"/>
        </w:rPr>
      </w:pPr>
    </w:p>
    <w:p w14:paraId="0B3E829B" w14:textId="77777777" w:rsidR="002F2CFF" w:rsidRDefault="002F2CFF" w:rsidP="002F2CFF">
      <w:pPr>
        <w:rPr>
          <w:b/>
          <w:u w:val="single"/>
        </w:rPr>
      </w:pPr>
    </w:p>
    <w:p w14:paraId="78253BDD" w14:textId="77777777" w:rsidR="002F2CFF" w:rsidRDefault="002F2CFF" w:rsidP="002F2CFF">
      <w:pPr>
        <w:rPr>
          <w:b/>
          <w:u w:val="single"/>
        </w:rPr>
      </w:pPr>
    </w:p>
    <w:p w14:paraId="47767908" w14:textId="77777777" w:rsidR="002F2CFF" w:rsidRDefault="002F2CFF" w:rsidP="002F2CFF">
      <w:pPr>
        <w:rPr>
          <w:b/>
          <w:u w:val="single"/>
        </w:rPr>
      </w:pPr>
    </w:p>
    <w:p w14:paraId="270E098A" w14:textId="77777777" w:rsidR="00E97737" w:rsidRDefault="00E97737" w:rsidP="002F2CFF">
      <w:pPr>
        <w:jc w:val="center"/>
        <w:rPr>
          <w:b/>
          <w:noProof/>
        </w:rPr>
      </w:pPr>
    </w:p>
    <w:p w14:paraId="6090C09B" w14:textId="77777777" w:rsidR="002F2CFF" w:rsidRPr="00EB7FC4" w:rsidRDefault="002F2CFF" w:rsidP="002F2CFF">
      <w:pPr>
        <w:jc w:val="center"/>
        <w:rPr>
          <w:rFonts w:ascii="Times New Roman" w:hAnsi="Times New Roman"/>
          <w:b/>
          <w:noProof/>
          <w:sz w:val="22"/>
        </w:rPr>
      </w:pPr>
      <w:r w:rsidRPr="00E97737">
        <w:rPr>
          <w:rFonts w:ascii="Times New Roman" w:hAnsi="Times New Roman"/>
          <w:b/>
          <w:noProof/>
          <w:sz w:val="22"/>
        </w:rPr>
        <w:t xml:space="preserve">Příloha č. 3: plná moc </w:t>
      </w:r>
      <w:r w:rsidR="00EB7FC4">
        <w:rPr>
          <w:rFonts w:ascii="Times New Roman" w:hAnsi="Times New Roman"/>
          <w:b/>
          <w:noProof/>
          <w:color w:val="000000"/>
          <w:sz w:val="22"/>
          <w:highlight w:val="black"/>
        </w:rPr>
        <w:t>'''''' '''''''''''''' '''''''''''</w:t>
      </w:r>
    </w:p>
    <w:p w14:paraId="2C39F378" w14:textId="77777777" w:rsidR="002F2CFF" w:rsidRPr="00086404" w:rsidRDefault="002F2CFF" w:rsidP="002F2CFF">
      <w:pPr>
        <w:jc w:val="center"/>
      </w:pPr>
    </w:p>
    <w:p w14:paraId="463E116B" w14:textId="77777777" w:rsidR="00BD4EE6" w:rsidRDefault="00BD4EE6" w:rsidP="00BD4EE6">
      <w:pPr>
        <w:jc w:val="both"/>
        <w:rPr>
          <w:rFonts w:ascii="Times New Roman" w:hAnsi="Times New Roman"/>
          <w:sz w:val="24"/>
        </w:rPr>
      </w:pPr>
    </w:p>
    <w:sectPr w:rsidR="00BD4EE6" w:rsidSect="00534DEA">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D7C3" w14:textId="77777777" w:rsidR="00EB7FC4" w:rsidRDefault="00EB7FC4">
      <w:r>
        <w:separator/>
      </w:r>
    </w:p>
  </w:endnote>
  <w:endnote w:type="continuationSeparator" w:id="0">
    <w:p w14:paraId="7A16412C" w14:textId="77777777" w:rsidR="00EB7FC4" w:rsidRDefault="00EB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altName w:val="Wide Latin"/>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D8B2" w14:textId="77777777" w:rsidR="00EB7FC4" w:rsidRDefault="00EB7F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B82D" w14:textId="77777777" w:rsidR="00960C0E" w:rsidRDefault="00960C0E" w:rsidP="00F647C6">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C8D9" w14:textId="77777777" w:rsidR="00960C0E" w:rsidRDefault="00960C0E">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88C5" w14:textId="77777777" w:rsidR="00EB7FC4" w:rsidRDefault="00EB7FC4">
      <w:r>
        <w:separator/>
      </w:r>
    </w:p>
  </w:footnote>
  <w:footnote w:type="continuationSeparator" w:id="0">
    <w:p w14:paraId="19FF797F" w14:textId="77777777" w:rsidR="00EB7FC4" w:rsidRDefault="00EB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B931" w14:textId="77777777" w:rsidR="00EB7FC4" w:rsidRDefault="00EB7F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B47E" w14:textId="67C8D2B2" w:rsidR="00353872" w:rsidRDefault="00EB7FC4">
    <w:pPr>
      <w:pStyle w:val="Zhlav"/>
    </w:pPr>
    <w:r>
      <w:rPr>
        <w:noProof/>
      </w:rPr>
      <mc:AlternateContent>
        <mc:Choice Requires="wps">
          <w:drawing>
            <wp:anchor distT="0" distB="0" distL="114300" distR="114300" simplePos="0" relativeHeight="251659264" behindDoc="0" locked="0" layoutInCell="0" allowOverlap="1" wp14:anchorId="1E47F585" wp14:editId="62B6AC03">
              <wp:simplePos x="0" y="0"/>
              <wp:positionH relativeFrom="page">
                <wp:posOffset>0</wp:posOffset>
              </wp:positionH>
              <wp:positionV relativeFrom="page">
                <wp:posOffset>190500</wp:posOffset>
              </wp:positionV>
              <wp:extent cx="7560945" cy="273050"/>
              <wp:effectExtent l="0" t="0" r="0" b="12700"/>
              <wp:wrapNone/>
              <wp:docPr id="3" name="MSIPCMec00460f96738f18c79c5820" descr="{&quot;HashCode&quot;:55174455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45D527" w14:textId="5299E513" w:rsidR="00EB7FC4" w:rsidRPr="00EB7FC4" w:rsidRDefault="00EB7FC4" w:rsidP="00EB7FC4">
                          <w:pPr>
                            <w:jc w:val="right"/>
                            <w:rPr>
                              <w:rFonts w:ascii="Calibri" w:hAnsi="Calibri" w:cs="Calibri"/>
                              <w:color w:val="000000"/>
                            </w:rPr>
                          </w:pPr>
                          <w:r w:rsidRPr="00EB7FC4">
                            <w:rPr>
                              <w:rFonts w:ascii="Calibri" w:hAnsi="Calibri" w:cs="Calibri"/>
                              <w:color w:val="000000"/>
                            </w:rPr>
                            <w:t>Interní</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E47F585" id="_x0000_t202" coordsize="21600,21600" o:spt="202" path="m,l,21600r21600,l21600,xe">
              <v:stroke joinstyle="miter"/>
              <v:path gradientshapeok="t" o:connecttype="rect"/>
            </v:shapetype>
            <v:shape id="MSIPCMec00460f96738f18c79c5820" o:spid="_x0000_s1026" type="#_x0000_t202" alt="{&quot;HashCode&quot;:551744559,&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Y0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" o:allowincell="f" filled="f" stroked="f" strokeweight=".5pt">
              <v:fill o:detectmouseclick="t"/>
              <v:textbox inset=",0,20pt,0">
                <w:txbxContent>
                  <w:p w14:paraId="0245D527" w14:textId="5299E513" w:rsidR="00EB7FC4" w:rsidRPr="00EB7FC4" w:rsidRDefault="00EB7FC4" w:rsidP="00EB7FC4">
                    <w:pPr>
                      <w:jc w:val="right"/>
                      <w:rPr>
                        <w:rFonts w:ascii="Calibri" w:hAnsi="Calibri" w:cs="Calibri"/>
                        <w:color w:val="000000"/>
                      </w:rPr>
                    </w:pPr>
                    <w:r w:rsidRPr="00EB7FC4">
                      <w:rPr>
                        <w:rFonts w:ascii="Calibri" w:hAnsi="Calibri" w:cs="Calibri"/>
                        <w:color w:val="000000"/>
                      </w:rPr>
                      <w:t>Interní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C9DF" w14:textId="1D5F657C" w:rsidR="00960C0E" w:rsidRPr="00EB7FC4" w:rsidRDefault="00EB7FC4" w:rsidP="00EB7FC4">
    <w:pPr>
      <w:pStyle w:val="Zhlav"/>
    </w:pPr>
    <w:r>
      <w:rPr>
        <w:noProof/>
      </w:rPr>
      <mc:AlternateContent>
        <mc:Choice Requires="wps">
          <w:drawing>
            <wp:anchor distT="0" distB="0" distL="114300" distR="114300" simplePos="0" relativeHeight="251660288" behindDoc="0" locked="0" layoutInCell="0" allowOverlap="1" wp14:anchorId="6FC50DD3" wp14:editId="44B69242">
              <wp:simplePos x="0" y="0"/>
              <wp:positionH relativeFrom="page">
                <wp:posOffset>0</wp:posOffset>
              </wp:positionH>
              <wp:positionV relativeFrom="page">
                <wp:posOffset>190500</wp:posOffset>
              </wp:positionV>
              <wp:extent cx="7560945" cy="273050"/>
              <wp:effectExtent l="0" t="0" r="0" b="12700"/>
              <wp:wrapNone/>
              <wp:docPr id="4" name="MSIPCM64de4be79f24ce22b9514a1f" descr="{&quot;HashCode&quot;:55174455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87D88" w14:textId="24879D05" w:rsidR="00EB7FC4" w:rsidRPr="00EB7FC4" w:rsidRDefault="00EB7FC4" w:rsidP="00EB7FC4">
                          <w:pPr>
                            <w:jc w:val="right"/>
                            <w:rPr>
                              <w:rFonts w:ascii="Calibri" w:hAnsi="Calibri" w:cs="Calibri"/>
                              <w:color w:val="000000"/>
                            </w:rPr>
                          </w:pPr>
                          <w:r w:rsidRPr="00EB7FC4">
                            <w:rPr>
                              <w:rFonts w:ascii="Calibri" w:hAnsi="Calibri" w:cs="Calibri"/>
                              <w:color w:val="000000"/>
                            </w:rPr>
                            <w:t>Interní</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FC50DD3" id="_x0000_t202" coordsize="21600,21600" o:spt="202" path="m,l,21600r21600,l21600,xe">
              <v:stroke joinstyle="miter"/>
              <v:path gradientshapeok="t" o:connecttype="rect"/>
            </v:shapetype>
            <v:shape id="MSIPCM64de4be79f24ce22b9514a1f" o:spid="_x0000_s1027" type="#_x0000_t202" alt="{&quot;HashCode&quot;:551744559,&quot;Height&quot;:842.0,&quot;Width&quot;:595.0,&quot;Placement&quot;:&quot;Header&quot;,&quot;Index&quot;:&quot;FirstPage&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6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" o:allowincell="f" filled="f" stroked="f" strokeweight=".5pt">
              <v:fill o:detectmouseclick="t"/>
              <v:textbox inset=",0,20pt,0">
                <w:txbxContent>
                  <w:p w14:paraId="09387D88" w14:textId="24879D05" w:rsidR="00EB7FC4" w:rsidRPr="00EB7FC4" w:rsidRDefault="00EB7FC4" w:rsidP="00EB7FC4">
                    <w:pPr>
                      <w:jc w:val="right"/>
                      <w:rPr>
                        <w:rFonts w:ascii="Calibri" w:hAnsi="Calibri" w:cs="Calibri"/>
                        <w:color w:val="000000"/>
                      </w:rPr>
                    </w:pPr>
                    <w:r w:rsidRPr="00EB7FC4">
                      <w:rPr>
                        <w:rFonts w:ascii="Calibri" w:hAnsi="Calibri" w:cs="Calibri"/>
                        <w:color w:val="00000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1D15175"/>
    <w:multiLevelType w:val="hybridMultilevel"/>
    <w:tmpl w:val="7E760146"/>
    <w:lvl w:ilvl="0" w:tplc="8AB6F74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1"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9021695">
    <w:abstractNumId w:val="10"/>
  </w:num>
  <w:num w:numId="2" w16cid:durableId="1037197348">
    <w:abstractNumId w:val="0"/>
  </w:num>
  <w:num w:numId="3" w16cid:durableId="963389458">
    <w:abstractNumId w:val="12"/>
  </w:num>
  <w:num w:numId="4" w16cid:durableId="1461339536">
    <w:abstractNumId w:val="6"/>
  </w:num>
  <w:num w:numId="5" w16cid:durableId="1147085780">
    <w:abstractNumId w:val="8"/>
  </w:num>
  <w:num w:numId="6" w16cid:durableId="935941401">
    <w:abstractNumId w:val="4"/>
  </w:num>
  <w:num w:numId="7" w16cid:durableId="1029337910">
    <w:abstractNumId w:val="1"/>
  </w:num>
  <w:num w:numId="8" w16cid:durableId="1514569349">
    <w:abstractNumId w:val="2"/>
  </w:num>
  <w:num w:numId="9" w16cid:durableId="1631939968">
    <w:abstractNumId w:val="3"/>
  </w:num>
  <w:num w:numId="10" w16cid:durableId="1371026460">
    <w:abstractNumId w:val="9"/>
  </w:num>
  <w:num w:numId="11" w16cid:durableId="1091851895">
    <w:abstractNumId w:val="11"/>
  </w:num>
  <w:num w:numId="12" w16cid:durableId="1833065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81989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625B"/>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66CD1"/>
    <w:rsid w:val="00172500"/>
    <w:rsid w:val="001732ED"/>
    <w:rsid w:val="00174C6F"/>
    <w:rsid w:val="001800E1"/>
    <w:rsid w:val="0018079E"/>
    <w:rsid w:val="00181C39"/>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5AFB"/>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5017"/>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0EC9"/>
    <w:rsid w:val="002F2CFF"/>
    <w:rsid w:val="002F6144"/>
    <w:rsid w:val="002F6607"/>
    <w:rsid w:val="00300872"/>
    <w:rsid w:val="00302DDD"/>
    <w:rsid w:val="0030681C"/>
    <w:rsid w:val="00311D5D"/>
    <w:rsid w:val="003132FF"/>
    <w:rsid w:val="00320B2A"/>
    <w:rsid w:val="003241F9"/>
    <w:rsid w:val="0032596D"/>
    <w:rsid w:val="003432C5"/>
    <w:rsid w:val="0034381F"/>
    <w:rsid w:val="00345311"/>
    <w:rsid w:val="00352372"/>
    <w:rsid w:val="00353603"/>
    <w:rsid w:val="00353872"/>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2C2B"/>
    <w:rsid w:val="0043322E"/>
    <w:rsid w:val="0043641E"/>
    <w:rsid w:val="00441934"/>
    <w:rsid w:val="00442190"/>
    <w:rsid w:val="004435B7"/>
    <w:rsid w:val="0044494C"/>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6003"/>
    <w:rsid w:val="004872B5"/>
    <w:rsid w:val="00487B9B"/>
    <w:rsid w:val="00490727"/>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C6F97"/>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36DD"/>
    <w:rsid w:val="005750EB"/>
    <w:rsid w:val="00576078"/>
    <w:rsid w:val="005801A1"/>
    <w:rsid w:val="00581B18"/>
    <w:rsid w:val="00581E07"/>
    <w:rsid w:val="00582894"/>
    <w:rsid w:val="00582E80"/>
    <w:rsid w:val="00583A59"/>
    <w:rsid w:val="00585E68"/>
    <w:rsid w:val="00586526"/>
    <w:rsid w:val="00587668"/>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146B8"/>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EF3"/>
    <w:rsid w:val="006B1FE9"/>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1645"/>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262CC"/>
    <w:rsid w:val="00826AC0"/>
    <w:rsid w:val="00830B67"/>
    <w:rsid w:val="00831342"/>
    <w:rsid w:val="00832A68"/>
    <w:rsid w:val="00833BC7"/>
    <w:rsid w:val="00834454"/>
    <w:rsid w:val="00836C45"/>
    <w:rsid w:val="00842A13"/>
    <w:rsid w:val="008443AD"/>
    <w:rsid w:val="0084657B"/>
    <w:rsid w:val="008512EE"/>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233F"/>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C5A"/>
    <w:rsid w:val="00963FE2"/>
    <w:rsid w:val="00964351"/>
    <w:rsid w:val="00964782"/>
    <w:rsid w:val="0096493D"/>
    <w:rsid w:val="00964A83"/>
    <w:rsid w:val="00971541"/>
    <w:rsid w:val="0097304F"/>
    <w:rsid w:val="00973515"/>
    <w:rsid w:val="00977490"/>
    <w:rsid w:val="00981658"/>
    <w:rsid w:val="009816A0"/>
    <w:rsid w:val="00983781"/>
    <w:rsid w:val="0098764E"/>
    <w:rsid w:val="009953AA"/>
    <w:rsid w:val="009953B9"/>
    <w:rsid w:val="00996454"/>
    <w:rsid w:val="00997790"/>
    <w:rsid w:val="009A040B"/>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6C6"/>
    <w:rsid w:val="009D0DC2"/>
    <w:rsid w:val="009D551E"/>
    <w:rsid w:val="009D5579"/>
    <w:rsid w:val="009D626F"/>
    <w:rsid w:val="009D739B"/>
    <w:rsid w:val="009E1795"/>
    <w:rsid w:val="009E1D1F"/>
    <w:rsid w:val="009E28F3"/>
    <w:rsid w:val="009E4AAD"/>
    <w:rsid w:val="009E4FB1"/>
    <w:rsid w:val="009E7F17"/>
    <w:rsid w:val="009F36B8"/>
    <w:rsid w:val="009F7D5D"/>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3C47"/>
    <w:rsid w:val="00A57851"/>
    <w:rsid w:val="00A57C3E"/>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D033C"/>
    <w:rsid w:val="00AD250B"/>
    <w:rsid w:val="00AD30A0"/>
    <w:rsid w:val="00AD3366"/>
    <w:rsid w:val="00AD6B43"/>
    <w:rsid w:val="00AE2CE4"/>
    <w:rsid w:val="00AE7C5F"/>
    <w:rsid w:val="00AF148A"/>
    <w:rsid w:val="00AF1836"/>
    <w:rsid w:val="00AF2423"/>
    <w:rsid w:val="00AF5C4B"/>
    <w:rsid w:val="00AF66AB"/>
    <w:rsid w:val="00B02167"/>
    <w:rsid w:val="00B065B5"/>
    <w:rsid w:val="00B07DDD"/>
    <w:rsid w:val="00B111D4"/>
    <w:rsid w:val="00B11B6B"/>
    <w:rsid w:val="00B12FA4"/>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D66F5"/>
    <w:rsid w:val="00BE008D"/>
    <w:rsid w:val="00BE0BE9"/>
    <w:rsid w:val="00BE1D0E"/>
    <w:rsid w:val="00BE282F"/>
    <w:rsid w:val="00BE37ED"/>
    <w:rsid w:val="00BE3B9A"/>
    <w:rsid w:val="00BE572D"/>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2E0"/>
    <w:rsid w:val="00C41A91"/>
    <w:rsid w:val="00C41D15"/>
    <w:rsid w:val="00C41D61"/>
    <w:rsid w:val="00C42DC5"/>
    <w:rsid w:val="00C44712"/>
    <w:rsid w:val="00C45AE4"/>
    <w:rsid w:val="00C4719F"/>
    <w:rsid w:val="00C5037A"/>
    <w:rsid w:val="00C51C73"/>
    <w:rsid w:val="00C52A4F"/>
    <w:rsid w:val="00C52C26"/>
    <w:rsid w:val="00C53E0F"/>
    <w:rsid w:val="00C564D7"/>
    <w:rsid w:val="00C577B1"/>
    <w:rsid w:val="00C625BD"/>
    <w:rsid w:val="00C711AC"/>
    <w:rsid w:val="00C721D4"/>
    <w:rsid w:val="00C72791"/>
    <w:rsid w:val="00C74BB7"/>
    <w:rsid w:val="00C75948"/>
    <w:rsid w:val="00C86BE8"/>
    <w:rsid w:val="00C87B91"/>
    <w:rsid w:val="00C87EBD"/>
    <w:rsid w:val="00C919AE"/>
    <w:rsid w:val="00C938DE"/>
    <w:rsid w:val="00C93A71"/>
    <w:rsid w:val="00CA241C"/>
    <w:rsid w:val="00CA37D0"/>
    <w:rsid w:val="00CA5242"/>
    <w:rsid w:val="00CA5481"/>
    <w:rsid w:val="00CB0390"/>
    <w:rsid w:val="00CB706E"/>
    <w:rsid w:val="00CB7E3B"/>
    <w:rsid w:val="00CC1715"/>
    <w:rsid w:val="00CC2A71"/>
    <w:rsid w:val="00CD1D0E"/>
    <w:rsid w:val="00CD399A"/>
    <w:rsid w:val="00CD3D69"/>
    <w:rsid w:val="00CD427F"/>
    <w:rsid w:val="00CD547A"/>
    <w:rsid w:val="00CD56A3"/>
    <w:rsid w:val="00CD67C2"/>
    <w:rsid w:val="00CD7FDE"/>
    <w:rsid w:val="00CE0755"/>
    <w:rsid w:val="00CE2541"/>
    <w:rsid w:val="00CE495D"/>
    <w:rsid w:val="00CE5EB0"/>
    <w:rsid w:val="00CE6302"/>
    <w:rsid w:val="00CE76A8"/>
    <w:rsid w:val="00CF09A0"/>
    <w:rsid w:val="00CF18ED"/>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202"/>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63F"/>
    <w:rsid w:val="00E7078A"/>
    <w:rsid w:val="00E70C7E"/>
    <w:rsid w:val="00E745C2"/>
    <w:rsid w:val="00E819EA"/>
    <w:rsid w:val="00E82AAF"/>
    <w:rsid w:val="00E87A78"/>
    <w:rsid w:val="00E90E78"/>
    <w:rsid w:val="00E9463B"/>
    <w:rsid w:val="00E97737"/>
    <w:rsid w:val="00EA3690"/>
    <w:rsid w:val="00EA5904"/>
    <w:rsid w:val="00EA78F2"/>
    <w:rsid w:val="00EB03A6"/>
    <w:rsid w:val="00EB101E"/>
    <w:rsid w:val="00EB3395"/>
    <w:rsid w:val="00EB3AFE"/>
    <w:rsid w:val="00EB7CAD"/>
    <w:rsid w:val="00EB7EFD"/>
    <w:rsid w:val="00EB7FC4"/>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7C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2B15"/>
    <w:rsid w:val="00F43E6C"/>
    <w:rsid w:val="00F442AE"/>
    <w:rsid w:val="00F4472D"/>
    <w:rsid w:val="00F460CB"/>
    <w:rsid w:val="00F51272"/>
    <w:rsid w:val="00F55B9F"/>
    <w:rsid w:val="00F647C6"/>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C589C"/>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F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nadpis">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2546</Words>
  <Characters>14977</Characters>
  <Application>Microsoft Office Word</Application>
  <DocSecurity>0</DocSecurity>
  <Lines>124</Lines>
  <Paragraphs>34</Paragraphs>
  <ScaleCrop>false</ScaleCrop>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2022-08-17T07:26:00Z</dcterms:created>
  <dcterms:modified xsi:type="dcterms:W3CDTF">2022-08-17T07:26:00Z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558d49-7e86-46d4-87a9-ebd6250b5c20_Enabled">
    <vt:lpwstr>true</vt:lpwstr>
  </property>
  <property fmtid="{D5CDD505-2E9C-101B-9397-08002B2CF9AE}" pid="3" name="MSIP_Label_92558d49-7e86-46d4-87a9-ebd6250b5c20_SetDate">
    <vt:lpwstr>2022-08-17T07:26:26Z</vt:lpwstr>
  </property>
  <property fmtid="{D5CDD505-2E9C-101B-9397-08002B2CF9AE}" pid="4" name="MSIP_Label_92558d49-7e86-46d4-87a9-ebd6250b5c20_Method">
    <vt:lpwstr>Standard</vt:lpwstr>
  </property>
  <property fmtid="{D5CDD505-2E9C-101B-9397-08002B2CF9AE}" pid="5" name="MSIP_Label_92558d49-7e86-46d4-87a9-ebd6250b5c20_Name">
    <vt:lpwstr>Interní - se značkou</vt:lpwstr>
  </property>
  <property fmtid="{D5CDD505-2E9C-101B-9397-08002B2CF9AE}" pid="6" name="MSIP_Label_92558d49-7e86-46d4-87a9-ebd6250b5c20_SiteId">
    <vt:lpwstr>5cdffe46-631e-482d-9990-1d2119b3418b</vt:lpwstr>
  </property>
  <property fmtid="{D5CDD505-2E9C-101B-9397-08002B2CF9AE}" pid="7" name="MSIP_Label_92558d49-7e86-46d4-87a9-ebd6250b5c20_ActionId">
    <vt:lpwstr>22a5d3fe-9d91-4bc0-8758-68dddbc38159</vt:lpwstr>
  </property>
  <property fmtid="{D5CDD505-2E9C-101B-9397-08002B2CF9AE}" pid="8" name="MSIP_Label_92558d49-7e86-46d4-87a9-ebd6250b5c20_ContentBits">
    <vt:lpwstr>1</vt:lpwstr>
  </property>
</Properties>
</file>