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8554A9" w:rsidRDefault="00C6498D" w:rsidP="004F37CB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7026D"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4F37CB">
      <w:pPr>
        <w:tabs>
          <w:tab w:val="left" w:pos="8928"/>
        </w:tabs>
        <w:spacing w:beforeLines="50" w:before="120" w:after="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</w:t>
      </w:r>
      <w:r w:rsidR="00A604F5" w:rsidRPr="008554A9">
        <w:rPr>
          <w:rFonts w:cs="Arial"/>
          <w:b/>
        </w:rPr>
        <w:t>/</w:t>
      </w:r>
      <w:r w:rsidR="00330459">
        <w:rPr>
          <w:rFonts w:cs="Arial"/>
          <w:b/>
        </w:rPr>
        <w:t>1922</w:t>
      </w:r>
      <w:r w:rsidR="00A604F5"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2D5B42">
        <w:rPr>
          <w:rFonts w:cs="Arial"/>
          <w:b/>
        </w:rPr>
        <w:t>2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4F37CB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4F37CB" w:rsidRDefault="002827BA" w:rsidP="004F37CB">
            <w:pPr>
              <w:pStyle w:val="Bezmezer"/>
              <w:rPr>
                <w:b/>
              </w:rPr>
            </w:pPr>
            <w:r w:rsidRPr="004F37CB">
              <w:rPr>
                <w:b/>
              </w:rPr>
              <w:t>Zlínský kraj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p w:rsidR="006547C3" w:rsidRPr="008554A9" w:rsidRDefault="006547C3" w:rsidP="008554A9">
      <w:pPr>
        <w:pStyle w:val="Bezmezer"/>
        <w:spacing w:line="276" w:lineRule="auto"/>
      </w:pPr>
    </w:p>
    <w:p w:rsidR="006547C3" w:rsidRPr="004F37CB" w:rsidRDefault="006547C3" w:rsidP="008554A9">
      <w:pPr>
        <w:pStyle w:val="Bezmezer"/>
        <w:spacing w:line="276" w:lineRule="auto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DD2539">
            <w:pPr>
              <w:pStyle w:val="Bezmezer"/>
              <w:spacing w:line="276" w:lineRule="auto"/>
            </w:pPr>
            <w:r w:rsidRPr="008554A9">
              <w:t>Příjemce dotace</w:t>
            </w:r>
            <w:r w:rsidR="00DD2539">
              <w:t>:</w:t>
            </w:r>
          </w:p>
        </w:tc>
        <w:tc>
          <w:tcPr>
            <w:tcW w:w="6940" w:type="dxa"/>
          </w:tcPr>
          <w:p w:rsidR="002F49FA" w:rsidRDefault="00441300" w:rsidP="002F49FA">
            <w:pPr>
              <w:pStyle w:val="Bezmezer"/>
              <w:rPr>
                <w:b/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 xml:space="preserve">Letní škola barokní </w:t>
            </w:r>
            <w:proofErr w:type="gramStart"/>
            <w:r>
              <w:rPr>
                <w:b/>
              </w:rPr>
              <w:t>hudby</w:t>
            </w:r>
            <w:r w:rsidR="00591990">
              <w:rPr>
                <w:b/>
              </w:rPr>
              <w:t>, z. s.</w:t>
            </w:r>
            <w:proofErr w:type="gramEnd"/>
          </w:p>
          <w:p w:rsidR="002F49FA" w:rsidRDefault="002F49FA" w:rsidP="002F49FA">
            <w:pPr>
              <w:pStyle w:val="Bezmezer"/>
            </w:pPr>
            <w:r>
              <w:t>sídlo: </w:t>
            </w:r>
            <w:r w:rsidR="00591990">
              <w:t>Lázy 14, Loučka u Valašského Meziříčí, 756 44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právnická osoba - spolek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441300">
              <w:t>09560459</w:t>
            </w:r>
          </w:p>
          <w:p w:rsidR="002F49FA" w:rsidRDefault="002F49FA" w:rsidP="002F49FA">
            <w:pPr>
              <w:pStyle w:val="Bezmezer"/>
            </w:pPr>
            <w:r>
              <w:t>bankovní spojení: </w:t>
            </w:r>
            <w:r w:rsidR="00591990">
              <w:t>Komerční</w:t>
            </w:r>
            <w:r>
              <w:t xml:space="preserve"> banka, a. s., č. </w:t>
            </w:r>
            <w:proofErr w:type="spellStart"/>
            <w:r>
              <w:t>ú.</w:t>
            </w:r>
            <w:proofErr w:type="spellEnd"/>
            <w:r>
              <w:t xml:space="preserve"> </w:t>
            </w:r>
            <w:r w:rsidR="00441300">
              <w:t>123-2760050237</w:t>
            </w:r>
            <w:r w:rsidR="00591990">
              <w:t>/0100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>zapsaný u KS v </w:t>
            </w:r>
            <w:r w:rsidR="00441300">
              <w:t>Ostrav</w:t>
            </w:r>
            <w:r>
              <w:t>ě, oddíl L, vložka </w:t>
            </w:r>
            <w:r w:rsidR="00441300">
              <w:t>19436</w:t>
            </w:r>
          </w:p>
          <w:p w:rsidR="002F49FA" w:rsidRDefault="002F49FA" w:rsidP="002F49FA">
            <w:pPr>
              <w:pStyle w:val="Bezmezer"/>
            </w:pPr>
            <w:r>
              <w:t>zastoupen: </w:t>
            </w:r>
            <w:proofErr w:type="spellStart"/>
            <w:r>
              <w:t>Mg</w:t>
            </w:r>
            <w:r w:rsidR="00591990">
              <w:t>A</w:t>
            </w:r>
            <w:proofErr w:type="spellEnd"/>
            <w:r>
              <w:t xml:space="preserve">. </w:t>
            </w:r>
            <w:r w:rsidR="00591990">
              <w:t xml:space="preserve">Tereza Válková, </w:t>
            </w:r>
            <w:r>
              <w:t>předsedkyně spolku</w:t>
            </w:r>
          </w:p>
          <w:p w:rsidR="00441300" w:rsidRPr="008554A9" w:rsidRDefault="002F49FA" w:rsidP="0096684D">
            <w:pPr>
              <w:pStyle w:val="Bezmezer"/>
            </w:pPr>
            <w:r>
              <w:t>(dále 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:rsidR="0011008B" w:rsidRPr="0011008B" w:rsidRDefault="0077026D">
      <w:pPr>
        <w:pStyle w:val="Nadpis1"/>
      </w:pPr>
      <w:r w:rsidRPr="008554A9">
        <w:t>Předmět smlouvy</w:t>
      </w:r>
    </w:p>
    <w:p w:rsidR="0077026D" w:rsidRPr="008554A9" w:rsidRDefault="0077026D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330459">
        <w:t xml:space="preserve"> </w:t>
      </w:r>
      <w:r w:rsidR="00330459" w:rsidRPr="00A449FB">
        <w:rPr>
          <w:b/>
        </w:rPr>
        <w:t>56.700</w:t>
      </w:r>
      <w:r w:rsidR="002B2608" w:rsidRPr="00B875DE">
        <w:rPr>
          <w:b/>
        </w:rPr>
        <w:t>,-</w:t>
      </w:r>
      <w:r w:rsidRPr="00B875DE">
        <w:rPr>
          <w:b/>
        </w:rPr>
        <w:t>Kč</w:t>
      </w:r>
      <w:r w:rsidRPr="008554A9">
        <w:t>, (slovy:</w:t>
      </w:r>
      <w:r w:rsidR="006E3B58" w:rsidRPr="008554A9">
        <w:t> </w:t>
      </w:r>
      <w:r w:rsidR="0011008B" w:rsidDel="0011008B">
        <w:t xml:space="preserve"> </w:t>
      </w:r>
      <w:proofErr w:type="spellStart"/>
      <w:r w:rsidR="00330459">
        <w:t>padesátšesttisícsedmset</w:t>
      </w:r>
      <w:r w:rsidR="002B2608">
        <w:t>korunčeských</w:t>
      </w:r>
      <w:proofErr w:type="spellEnd"/>
      <w:r w:rsidR="002B2608" w:rsidRPr="008554A9">
        <w:t xml:space="preserve">), </w:t>
      </w:r>
      <w:r w:rsidRPr="008554A9">
        <w:t xml:space="preserve">současně však </w:t>
      </w:r>
      <w:r w:rsidRPr="008554A9">
        <w:rPr>
          <w:b/>
        </w:rPr>
        <w:t>maximálně</w:t>
      </w:r>
      <w:r w:rsidR="006E3B58" w:rsidRPr="008554A9">
        <w:rPr>
          <w:b/>
        </w:rPr>
        <w:t> </w:t>
      </w:r>
      <w:r w:rsidR="00330459">
        <w:rPr>
          <w:b/>
        </w:rPr>
        <w:t>28,35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441300">
        <w:rPr>
          <w:b/>
        </w:rPr>
        <w:t>„Triumf času a pravdy“ oratorium G. F. Händela</w:t>
      </w:r>
      <w:r w:rsidR="00D84110">
        <w:rPr>
          <w:b/>
        </w:rPr>
        <w:t xml:space="preserve"> </w:t>
      </w:r>
      <w:r w:rsidR="002B2608">
        <w:t>(</w:t>
      </w:r>
      <w:r w:rsidRPr="008554A9">
        <w:t>dále jen „</w:t>
      </w:r>
      <w:r w:rsidRPr="00B875DE">
        <w:t>projekt</w:t>
      </w:r>
      <w:r w:rsidRPr="008554A9">
        <w:t>“), evidovaného pod registračním číslem žádosti o poskytnutí</w:t>
      </w:r>
      <w:r w:rsidR="002F49FA">
        <w:t xml:space="preserve"> </w:t>
      </w:r>
      <w:r w:rsidRPr="008554A9">
        <w:t>dotace</w:t>
      </w:r>
      <w:r w:rsidR="002B2608">
        <w:t xml:space="preserve"> KUL01-22/</w:t>
      </w:r>
      <w:r w:rsidR="0011008B">
        <w:t>1</w:t>
      </w:r>
      <w:r w:rsidR="00591990">
        <w:t>3</w:t>
      </w:r>
      <w:r w:rsidR="00441300">
        <w:t>5</w:t>
      </w:r>
      <w:r w:rsidR="002B2608">
        <w:t xml:space="preserve">, </w:t>
      </w:r>
      <w:r w:rsidRPr="008554A9">
        <w:t xml:space="preserve">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>který se bude konat ve dnech</w:t>
      </w:r>
      <w:r w:rsidR="002B2608">
        <w:t xml:space="preserve"> </w:t>
      </w:r>
      <w:r w:rsidR="00441300">
        <w:t>10</w:t>
      </w:r>
      <w:r w:rsidR="002F49FA">
        <w:t xml:space="preserve">. </w:t>
      </w:r>
      <w:r w:rsidR="00441300">
        <w:t>– 13. 8</w:t>
      </w:r>
      <w:r w:rsidR="003A1285">
        <w:t>.</w:t>
      </w:r>
      <w:r w:rsidR="002F49FA">
        <w:t xml:space="preserve"> 2022</w:t>
      </w:r>
      <w:r w:rsidR="00743512">
        <w:t xml:space="preserve">.    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6547C3" w:rsidRPr="008554A9">
        <w:t>2</w:t>
      </w:r>
      <w:r w:rsidR="002D5B42">
        <w:t>0</w:t>
      </w:r>
      <w:r w:rsidR="006547C3" w:rsidRPr="008554A9">
        <w:t>. 12. 202</w:t>
      </w:r>
      <w:r w:rsidR="002D5B42">
        <w:t>1</w:t>
      </w:r>
      <w:r w:rsidRPr="008554A9">
        <w:t xml:space="preserve"> usnesením č.</w:t>
      </w:r>
      <w:r w:rsidR="006E3B58" w:rsidRPr="008554A9">
        <w:t> </w:t>
      </w:r>
      <w:r w:rsidR="002D5B42">
        <w:t>1032</w:t>
      </w:r>
      <w:r w:rsidR="002E3306" w:rsidRPr="008554A9">
        <w:t>/R3</w:t>
      </w:r>
      <w:r w:rsidR="002D5B42">
        <w:t>1</w:t>
      </w:r>
      <w:r w:rsidR="002E3306" w:rsidRPr="008554A9">
        <w:t>/</w:t>
      </w:r>
      <w:r w:rsidR="002D5B42">
        <w:t>21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11008B">
        <w:t>6</w:t>
      </w:r>
      <w:r w:rsidR="006547C3" w:rsidRPr="008554A9">
        <w:t>. 202</w:t>
      </w:r>
      <w:r w:rsidR="002D5B42">
        <w:t>2</w:t>
      </w:r>
    </w:p>
    <w:p w:rsidR="00D143CD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11008B">
        <w:t>31</w:t>
      </w:r>
      <w:r w:rsidR="006547C3" w:rsidRPr="008554A9">
        <w:t xml:space="preserve">. </w:t>
      </w:r>
      <w:r w:rsidR="002E3306" w:rsidRPr="008554A9">
        <w:t>1</w:t>
      </w:r>
      <w:r w:rsidR="006547C3" w:rsidRPr="008554A9">
        <w:t xml:space="preserve">. </w:t>
      </w:r>
      <w:r w:rsidR="0011008B" w:rsidRPr="008554A9">
        <w:t>202</w:t>
      </w:r>
      <w:r w:rsidR="0011008B">
        <w:t>3</w:t>
      </w:r>
    </w:p>
    <w:p w:rsidR="00444289" w:rsidRPr="008554A9" w:rsidRDefault="002B4723" w:rsidP="004F37CB">
      <w:pPr>
        <w:pStyle w:val="2rove"/>
        <w:spacing w:before="0" w:after="0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4F37CB">
      <w:pPr>
        <w:pStyle w:val="2rove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2B7AB9" w:rsidRPr="008554A9" w:rsidRDefault="00CB78A2" w:rsidP="004F37CB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591990">
        <w:rPr>
          <w:b/>
        </w:rPr>
        <w:t>2</w:t>
      </w:r>
      <w:r w:rsidR="00441300">
        <w:rPr>
          <w:b/>
        </w:rPr>
        <w:t>0</w:t>
      </w:r>
      <w:r w:rsidR="00591990">
        <w:rPr>
          <w:b/>
        </w:rPr>
        <w:t>0</w:t>
      </w:r>
      <w:r w:rsidR="00865F01">
        <w:rPr>
          <w:b/>
        </w:rPr>
        <w:t>.000</w:t>
      </w:r>
      <w:r w:rsidR="002B2608" w:rsidRPr="00B875DE">
        <w:rPr>
          <w:b/>
        </w:rPr>
        <w:t>,-</w:t>
      </w:r>
      <w:r w:rsidR="002C00E2" w:rsidRPr="00B875DE">
        <w:rPr>
          <w:b/>
        </w:rPr>
        <w:t>Kč</w:t>
      </w:r>
      <w:r w:rsidR="002C00E2" w:rsidRPr="008554A9">
        <w:t>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</w:t>
      </w:r>
      <w:r w:rsidR="00865F01">
        <w:br/>
      </w:r>
      <w:r w:rsidRPr="008554A9">
        <w:t>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2B7AB9" w:rsidRPr="008554A9">
        <w:t>.</w:t>
      </w:r>
    </w:p>
    <w:p w:rsidR="00CB78A2" w:rsidRPr="008554A9" w:rsidRDefault="00CB78A2" w:rsidP="004F37CB">
      <w:pPr>
        <w:pStyle w:val="2rove"/>
      </w:pPr>
      <w:r w:rsidRPr="008554A9">
        <w:lastRenderedPageBreak/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CB78A2" w:rsidRPr="008554A9" w:rsidRDefault="00CB78A2" w:rsidP="004F37CB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3444E6">
        <w:rPr>
          <w:b/>
        </w:rPr>
        <w:t>3</w:t>
      </w:r>
      <w:r w:rsidR="003C1568" w:rsidRPr="008554A9">
        <w:rPr>
          <w:b/>
        </w:rPr>
        <w:t xml:space="preserve">. </w:t>
      </w:r>
      <w:r w:rsidR="003444E6">
        <w:rPr>
          <w:b/>
        </w:rPr>
        <w:t>2</w:t>
      </w:r>
      <w:r w:rsidR="003C1568" w:rsidRPr="008554A9">
        <w:rPr>
          <w:b/>
        </w:rPr>
        <w:t xml:space="preserve">. </w:t>
      </w:r>
      <w:r w:rsidR="003444E6" w:rsidRPr="008554A9">
        <w:rPr>
          <w:b/>
        </w:rPr>
        <w:t>202</w:t>
      </w:r>
      <w:r w:rsidR="003444E6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F37CB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F37CB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4F37CB">
      <w:pPr>
        <w:pStyle w:val="2rove"/>
      </w:pPr>
      <w:r w:rsidRPr="008554A9">
        <w:t>Příjemce je oprávněn použít dotaci pouze k účelu uvedenému v čl. 1.</w:t>
      </w:r>
    </w:p>
    <w:p w:rsidR="00FE6248" w:rsidRPr="008554A9" w:rsidRDefault="00D64AB1" w:rsidP="004F37CB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FE6248" w:rsidRPr="004F37CB" w:rsidRDefault="00FE6248" w:rsidP="008554A9">
      <w:pPr>
        <w:pStyle w:val="2rove"/>
        <w:numPr>
          <w:ilvl w:val="0"/>
          <w:numId w:val="0"/>
        </w:numPr>
        <w:spacing w:line="276" w:lineRule="auto"/>
        <w:ind w:left="567"/>
        <w:rPr>
          <w:sz w:val="2"/>
        </w:rPr>
      </w:pP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  <w:r w:rsidR="004F068F" w:rsidRPr="008554A9">
        <w:rPr>
          <w:i/>
          <w:color w:val="5B9BD5" w:themeColor="accent1"/>
          <w:sz w:val="16"/>
          <w:szCs w:val="16"/>
        </w:rPr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 nebo jiné přípravné činnosti včetně zpracování Žádosti o poskytnutí dotace,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</w:t>
      </w:r>
      <w:r w:rsidR="00E23810" w:rsidRPr="008554A9">
        <w:rPr>
          <w:rFonts w:ascii="Arial" w:hAnsi="Arial" w:cs="Arial"/>
          <w:sz w:val="20"/>
          <w:szCs w:val="20"/>
        </w:rPr>
        <w:t>8</w:t>
      </w:r>
      <w:r w:rsidRPr="008554A9">
        <w:rPr>
          <w:rFonts w:ascii="Arial" w:hAnsi="Arial" w:cs="Arial"/>
          <w:sz w:val="20"/>
          <w:szCs w:val="20"/>
        </w:rPr>
        <w:t>0 tis. Kč/kus; dlouhodobým nehmotným majetkem se rozumí majetek, jehož doba použitelnosti je delší než jeden rok a vstupní cena vyšší než 60 tis Kč/kus),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lastRenderedPageBreak/>
        <w:t>nákup květin, květinové výzdoby aj. dekorací,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CD, DVD záznamu a fotodokumentace z projektu/akce, tisk výstavních </w:t>
      </w:r>
      <w:proofErr w:type="spellStart"/>
      <w:r w:rsidRPr="008554A9">
        <w:rPr>
          <w:rFonts w:ascii="Arial" w:hAnsi="Arial" w:cs="Arial"/>
          <w:sz w:val="20"/>
          <w:szCs w:val="20"/>
        </w:rPr>
        <w:t>fotograií</w:t>
      </w:r>
      <w:proofErr w:type="spellEnd"/>
      <w:r w:rsidRPr="008554A9">
        <w:rPr>
          <w:rFonts w:ascii="Arial" w:hAnsi="Arial" w:cs="Arial"/>
          <w:sz w:val="20"/>
          <w:szCs w:val="20"/>
        </w:rPr>
        <w:t>, rádio a TV spoty,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8554A9">
        <w:rPr>
          <w:rFonts w:ascii="Arial" w:hAnsi="Arial" w:cs="Arial"/>
          <w:sz w:val="20"/>
          <w:szCs w:val="20"/>
        </w:rPr>
        <w:t>streamování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8554A9">
        <w:rPr>
          <w:rFonts w:ascii="Arial" w:hAnsi="Arial" w:cs="Arial"/>
          <w:sz w:val="20"/>
          <w:szCs w:val="20"/>
        </w:rPr>
        <w:t>projetku</w:t>
      </w:r>
      <w:proofErr w:type="spellEnd"/>
      <w:r w:rsidRPr="008554A9">
        <w:rPr>
          <w:rFonts w:ascii="Arial" w:hAnsi="Arial" w:cs="Arial"/>
          <w:sz w:val="20"/>
          <w:szCs w:val="20"/>
        </w:rPr>
        <w:t>/akce,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pronájem hygienického zařízení (TOI, TOI),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  <w:proofErr w:type="spellStart"/>
      <w:r w:rsidRPr="008554A9">
        <w:rPr>
          <w:rFonts w:ascii="Arial" w:hAnsi="Arial" w:cs="Arial"/>
          <w:sz w:val="20"/>
          <w:szCs w:val="20"/>
        </w:rPr>
        <w:t>facebook</w:t>
      </w:r>
      <w:proofErr w:type="spellEnd"/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4F37CB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4F37CB">
      <w:pPr>
        <w:pStyle w:val="2rove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4268FB" w:rsidRDefault="00CD2C76" w:rsidP="004F37CB">
      <w:pPr>
        <w:pStyle w:val="2rove"/>
      </w:pPr>
      <w:r w:rsidRPr="008554A9">
        <w:t xml:space="preserve"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</w:t>
      </w:r>
    </w:p>
    <w:p w:rsidR="00B64E1E" w:rsidRPr="008554A9" w:rsidRDefault="00CD2C76" w:rsidP="0096684D">
      <w:pPr>
        <w:pStyle w:val="2rove"/>
        <w:numPr>
          <w:ilvl w:val="0"/>
          <w:numId w:val="0"/>
        </w:numPr>
        <w:ind w:left="567"/>
      </w:pPr>
      <w:r w:rsidRPr="008554A9">
        <w:t>U veřejné zakázky, která zákonu č. 134/2016 Sb. nepodléhá, je příjemce povinen poskytnout na výzvu poskytovatele relevantní informace o způsobu zadání zakázky a výběru nejvhodnější nabídky.</w:t>
      </w:r>
    </w:p>
    <w:p w:rsidR="000B3164" w:rsidRDefault="000B3164" w:rsidP="004F37CB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0B3164" w:rsidRDefault="000B3164" w:rsidP="00B875DE">
      <w:pPr>
        <w:pStyle w:val="2rove"/>
        <w:numPr>
          <w:ilvl w:val="0"/>
          <w:numId w:val="0"/>
        </w:numPr>
        <w:ind w:left="567"/>
      </w:pPr>
    </w:p>
    <w:p w:rsidR="00FC2E44" w:rsidRDefault="00FC2E44" w:rsidP="00B875DE">
      <w:pPr>
        <w:pStyle w:val="2rove"/>
        <w:numPr>
          <w:ilvl w:val="0"/>
          <w:numId w:val="0"/>
        </w:numPr>
      </w:pPr>
      <w:r w:rsidRPr="008554A9">
        <w:lastRenderedPageBreak/>
        <w:t xml:space="preserve">Příjemce je povinen informovat poskytovatele o přeměně právnické osoby a předat mu projekt přeměny alespoň </w:t>
      </w:r>
      <w:r w:rsidR="00586C8E" w:rsidRPr="008554A9">
        <w:t>30 dnů</w:t>
      </w:r>
      <w:r w:rsidRPr="008554A9">
        <w:t xml:space="preserve"> přede dnem, kdy má být přeměna schválena příslušným orgánem. Příjemce je povinen oznámit poskytovateli přeměnu právnické osoby do 15 dnů ode dne rozhodnutí příslušného orgánu. </w:t>
      </w:r>
    </w:p>
    <w:p w:rsidR="00554446" w:rsidRPr="008554A9" w:rsidRDefault="00554446" w:rsidP="00B875DE">
      <w:pPr>
        <w:pStyle w:val="2rove"/>
        <w:numPr>
          <w:ilvl w:val="0"/>
          <w:numId w:val="0"/>
        </w:numPr>
        <w:ind w:left="-142"/>
      </w:pPr>
    </w:p>
    <w:p w:rsidR="00FC2E44" w:rsidRPr="008554A9" w:rsidRDefault="00FC2E44" w:rsidP="00B875DE">
      <w:pPr>
        <w:pStyle w:val="2rove"/>
        <w:spacing w:before="0"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B875DE">
      <w:pPr>
        <w:pStyle w:val="3rove-trval"/>
        <w:spacing w:after="0"/>
      </w:pPr>
      <w:r w:rsidRPr="008554A9">
        <w:t>zajistit, aby všechny údaje, které uvádí poskytovateli, byly vždy úplné a pravdivé,</w:t>
      </w:r>
    </w:p>
    <w:p w:rsidR="00A233FD" w:rsidRPr="008554A9" w:rsidRDefault="00A233FD" w:rsidP="00B875DE">
      <w:pPr>
        <w:pStyle w:val="3rove-trval"/>
        <w:spacing w:after="0"/>
      </w:pPr>
      <w:r w:rsidRPr="008554A9">
        <w:t>zabezpečit archivaci veškeré dokumentace k projektu včetně účetnictví o projektu po dobu 10 let ode dne skončení realizace programu,</w:t>
      </w:r>
    </w:p>
    <w:p w:rsidR="00A233FD" w:rsidRDefault="00A233FD" w:rsidP="00B875DE">
      <w:pPr>
        <w:pStyle w:val="3rove-trval"/>
        <w:spacing w:after="0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777BD8" w:rsidRDefault="00777BD8" w:rsidP="00777BD8">
      <w:pPr>
        <w:pStyle w:val="3rove-trval"/>
        <w:numPr>
          <w:ilvl w:val="0"/>
          <w:numId w:val="0"/>
        </w:numPr>
        <w:ind w:left="567"/>
        <w:rPr>
          <w:i/>
          <w:color w:val="5B9BD5" w:themeColor="accent1"/>
          <w:sz w:val="16"/>
          <w:szCs w:val="16"/>
        </w:rPr>
      </w:pPr>
    </w:p>
    <w:p w:rsidR="00A233FD" w:rsidRPr="008554A9" w:rsidRDefault="00A233FD" w:rsidP="004F37CB">
      <w:pPr>
        <w:pStyle w:val="2rove"/>
      </w:pPr>
      <w:r w:rsidRPr="008554A9">
        <w:t>Příjemce bere na vědomí, že dotace poskytnutá dle této smlouvy je</w:t>
      </w:r>
      <w:r w:rsidR="00E23810" w:rsidRPr="008554A9">
        <w:t xml:space="preserve"> </w:t>
      </w:r>
      <w:r w:rsidR="005269E1" w:rsidRPr="008554A9">
        <w:rPr>
          <w:b/>
        </w:rPr>
        <w:t>p</w:t>
      </w:r>
      <w:r w:rsidRPr="008554A9">
        <w:rPr>
          <w:b/>
        </w:rPr>
        <w:t xml:space="preserve">odporou de </w:t>
      </w:r>
      <w:proofErr w:type="spellStart"/>
      <w:r w:rsidRPr="008554A9">
        <w:rPr>
          <w:b/>
        </w:rPr>
        <w:t>minimis</w:t>
      </w:r>
      <w:proofErr w:type="spellEnd"/>
      <w:r w:rsidRPr="008554A9">
        <w:t xml:space="preserve"> ve smyslu Nařízení Komise (EU) č. 1407/2013 ze dne 18. 12. 2013, o použití článků 107 a 108 Smlouvy o fungování Evropské unie na podporu de </w:t>
      </w:r>
      <w:proofErr w:type="spellStart"/>
      <w:r w:rsidRPr="008554A9">
        <w:t>minimis</w:t>
      </w:r>
      <w:proofErr w:type="spellEnd"/>
      <w:r w:rsidRPr="008554A9">
        <w:t xml:space="preserve"> (zveřejněno v Úředním věstníku L 352/1 dne 24. 12. 2013).</w:t>
      </w:r>
      <w:r w:rsidR="00D87383" w:rsidRPr="008554A9">
        <w:t xml:space="preserve"> V souvislosti s</w:t>
      </w:r>
      <w:r w:rsidR="006E3B58" w:rsidRPr="008554A9">
        <w:t> </w:t>
      </w:r>
      <w:r w:rsidR="00D87383" w:rsidRPr="008554A9">
        <w:t xml:space="preserve">podporou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se příjemce zavazuje, že v případě, že v období tří účetních let od nabytí účinnosti této smlouvy dojde k jeho rozdělení na dva či více samostatné podniky, respektive v případě</w:t>
      </w:r>
      <w:r w:rsidR="00747C54" w:rsidRPr="008554A9">
        <w:t xml:space="preserve"> jeho sloučení s jiným podnikem nebo </w:t>
      </w:r>
      <w:r w:rsidR="00D87383" w:rsidRPr="008554A9">
        <w:t xml:space="preserve">převodu jmění podniku na společníka, je povinen </w:t>
      </w:r>
      <w:r w:rsidR="00506961" w:rsidRPr="008554A9">
        <w:t>do 15 dnů</w:t>
      </w:r>
      <w:r w:rsidR="00D87383" w:rsidRPr="008554A9">
        <w:t xml:space="preserve"> písemně informovat poskytovatele o této skutečnosti a</w:t>
      </w:r>
      <w:r w:rsidR="006E3B58" w:rsidRPr="008554A9">
        <w:t> </w:t>
      </w:r>
      <w:r w:rsidR="00D87383" w:rsidRPr="008554A9">
        <w:t xml:space="preserve">poskytnout mu informace nezbytné pro úpravu záznamu podpory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poskytnuté dle této smlouvy v centrálním registru podpor malého rozsahu. </w:t>
      </w:r>
    </w:p>
    <w:p w:rsidR="00CB78A2" w:rsidRPr="008554A9" w:rsidRDefault="00703656" w:rsidP="008554A9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4F37CB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4F37CB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Pr="008554A9" w:rsidRDefault="00703656" w:rsidP="004F37CB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kraje. </w:t>
      </w:r>
    </w:p>
    <w:p w:rsidR="00703656" w:rsidRPr="008554A9" w:rsidRDefault="00C92705" w:rsidP="004F37CB">
      <w:pPr>
        <w:pStyle w:val="2rove"/>
        <w:spacing w:before="0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59400B" w:rsidRDefault="0059400B" w:rsidP="00A449FB">
      <w:pPr>
        <w:pStyle w:val="2rove"/>
      </w:pPr>
      <w:r>
        <w:t>Příjemce je dále povinen prezentovat poskytovatele s využitím alespoň 1 prostředku komunikace, který doloží v Závěrečné zprávě: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billboard (doloží se fotografií a informací o období vyvěšení),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informační tabule (nástěnky, apod.), (doloží se kopií informace, která byla uveřejněna s uvedením doby uveřejnění),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obecní zpravodaj (doloží se originálem nebo kopií příslušného článku a informací, kdy byl publikován),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regionální tisk (doloží se originálem či kopií příslušného článku a informací, kdy byl publikován),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úřední deska (doloží se kopií informace, která byla uveřejněna, s uvedením doby uveřejnění),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webové stránky (doloží se odkazem na příslušné stránky s uvedením, kdy byla informace uveřejněna),</w:t>
      </w:r>
    </w:p>
    <w:p w:rsidR="0059400B" w:rsidRDefault="0059400B" w:rsidP="0096684D">
      <w:pPr>
        <w:pStyle w:val="3rove-trval"/>
        <w:numPr>
          <w:ilvl w:val="3"/>
          <w:numId w:val="7"/>
        </w:numPr>
        <w:spacing w:after="0"/>
      </w:pPr>
      <w:r>
        <w:t>plakát, pozvánka (doloží se originálem nebo kopií)</w:t>
      </w:r>
    </w:p>
    <w:p w:rsidR="00CB78A2" w:rsidRPr="008554A9" w:rsidRDefault="00357941" w:rsidP="008554A9">
      <w:pPr>
        <w:pStyle w:val="Nadpis1"/>
        <w:spacing w:line="276" w:lineRule="auto"/>
      </w:pPr>
      <w:r w:rsidRPr="008554A9">
        <w:t>Sankce</w:t>
      </w:r>
    </w:p>
    <w:p w:rsidR="00D64AB1" w:rsidRPr="008554A9" w:rsidRDefault="00D64AB1" w:rsidP="004F37CB">
      <w:pPr>
        <w:pStyle w:val="2rove"/>
        <w:spacing w:before="0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F37CB">
      <w:pPr>
        <w:pStyle w:val="2rove"/>
        <w:spacing w:before="0"/>
      </w:pPr>
      <w:r w:rsidRPr="008554A9">
        <w:lastRenderedPageBreak/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B875DE">
      <w:pPr>
        <w:pStyle w:val="3rove-trval"/>
        <w:spacing w:after="0"/>
      </w:pPr>
      <w:r w:rsidRPr="008554A9">
        <w:t>příjemce nedodrží účel dotace,</w:t>
      </w:r>
    </w:p>
    <w:p w:rsidR="002D215A" w:rsidRPr="008554A9" w:rsidRDefault="002D215A" w:rsidP="00B875DE">
      <w:pPr>
        <w:pStyle w:val="3rove-trval"/>
        <w:spacing w:after="0"/>
      </w:pPr>
      <w:r w:rsidRPr="008554A9">
        <w:t>příjemce vůbec nedoloží úhrady výdajů,</w:t>
      </w:r>
    </w:p>
    <w:p w:rsidR="002D215A" w:rsidRPr="008554A9" w:rsidRDefault="002D215A" w:rsidP="00B875DE">
      <w:pPr>
        <w:pStyle w:val="3rove-trval"/>
        <w:spacing w:after="0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B875DE">
      <w:pPr>
        <w:pStyle w:val="3rove-trval"/>
        <w:spacing w:after="0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467521" w:rsidRDefault="002D215A" w:rsidP="00B875DE">
      <w:pPr>
        <w:pStyle w:val="3rove-trval"/>
        <w:spacing w:after="0"/>
      </w:pPr>
      <w:r w:rsidRPr="008554A9">
        <w:t xml:space="preserve"> příjemce poruší pravidla veřejné podpory dle </w:t>
      </w:r>
      <w:r w:rsidR="00FB3C09" w:rsidRPr="008554A9">
        <w:t>odst.</w:t>
      </w:r>
      <w:r w:rsidRPr="008554A9">
        <w:t xml:space="preserve"> </w:t>
      </w:r>
      <w:r w:rsidR="00FB3C09" w:rsidRPr="008554A9">
        <w:t>4</w:t>
      </w:r>
      <w:r w:rsidR="006363EC" w:rsidRPr="008554A9">
        <w:t>.9</w:t>
      </w:r>
    </w:p>
    <w:p w:rsidR="002D215A" w:rsidRPr="008554A9" w:rsidRDefault="002D215A" w:rsidP="004F37CB">
      <w:pPr>
        <w:pStyle w:val="3rove-trval"/>
        <w:numPr>
          <w:ilvl w:val="0"/>
          <w:numId w:val="0"/>
        </w:numPr>
        <w:ind w:left="1304"/>
      </w:pPr>
    </w:p>
    <w:p w:rsidR="00B60582" w:rsidRPr="008554A9" w:rsidRDefault="00B60582" w:rsidP="004F37CB">
      <w:pPr>
        <w:pStyle w:val="2rove"/>
        <w:spacing w:before="0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F37CB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F37CB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F37CB">
      <w:pPr>
        <w:pStyle w:val="2rove"/>
        <w:spacing w:before="0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D0B91" w:rsidRPr="008554A9" w:rsidRDefault="00485683" w:rsidP="004F37CB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F37CB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F37CB">
      <w:pPr>
        <w:pStyle w:val="2rove"/>
        <w:spacing w:before="0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F37CB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F37CB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Pr="008554A9" w:rsidRDefault="005B3156" w:rsidP="004F37CB">
      <w:pPr>
        <w:pStyle w:val="2rove"/>
        <w:spacing w:before="0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4E4E47" w:rsidRPr="008554A9" w:rsidRDefault="004E4E47" w:rsidP="008554A9">
      <w:pPr>
        <w:pStyle w:val="Nadpis1"/>
        <w:spacing w:line="276" w:lineRule="auto"/>
      </w:pPr>
      <w:r w:rsidRPr="008554A9">
        <w:t>Změny podmínek smlouvy</w:t>
      </w:r>
    </w:p>
    <w:p w:rsidR="004E4E47" w:rsidRPr="008554A9" w:rsidRDefault="00D9597D" w:rsidP="008554A9">
      <w:pPr>
        <w:pStyle w:val="2rove"/>
        <w:spacing w:line="276" w:lineRule="auto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8554A9">
      <w:pPr>
        <w:pStyle w:val="3rove-trval"/>
      </w:pPr>
      <w:r w:rsidRPr="008554A9">
        <w:t xml:space="preserve">změna adresy nebo </w:t>
      </w:r>
      <w:r w:rsidR="00D9597D" w:rsidRPr="008554A9">
        <w:t>sídla příjemce</w:t>
      </w:r>
      <w:r w:rsidR="00554446">
        <w:t>,</w:t>
      </w:r>
    </w:p>
    <w:p w:rsidR="00D9597D" w:rsidRPr="008554A9" w:rsidRDefault="00747C54" w:rsidP="008554A9">
      <w:pPr>
        <w:pStyle w:val="3rove-trval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8554A9">
      <w:pPr>
        <w:pStyle w:val="3rove-trval"/>
      </w:pPr>
      <w:r w:rsidRPr="008554A9">
        <w:t>změna názvu příjemce</w:t>
      </w:r>
      <w:r w:rsidR="00554446">
        <w:t>,</w:t>
      </w:r>
    </w:p>
    <w:p w:rsidR="00747C54" w:rsidRPr="008554A9" w:rsidRDefault="00747C54" w:rsidP="008554A9">
      <w:pPr>
        <w:pStyle w:val="3rove-trval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8554A9">
      <w:pPr>
        <w:pStyle w:val="3rove-trval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8554A9">
      <w:pPr>
        <w:pStyle w:val="3rove-trval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F37CB">
      <w:pPr>
        <w:pStyle w:val="2rove"/>
      </w:pPr>
      <w:r w:rsidRPr="008554A9">
        <w:lastRenderedPageBreak/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F37CB">
      <w:pPr>
        <w:pStyle w:val="2rove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8554A9">
      <w:pPr>
        <w:pStyle w:val="Nadpis1"/>
        <w:spacing w:line="276" w:lineRule="auto"/>
      </w:pPr>
      <w:r w:rsidRPr="008554A9">
        <w:t>Ukončení smlouvy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F37CB">
      <w:pPr>
        <w:pStyle w:val="2rove"/>
        <w:spacing w:before="0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>
      <w:pPr>
        <w:pStyle w:val="3rove-trval"/>
      </w:pPr>
      <w:r w:rsidRPr="008554A9">
        <w:t>nedodrží účel dotace,</w:t>
      </w:r>
    </w:p>
    <w:p w:rsidR="00504796" w:rsidRPr="008554A9" w:rsidRDefault="00504796">
      <w:pPr>
        <w:pStyle w:val="3rove-trval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504796" w:rsidRPr="00C6498D" w:rsidRDefault="00504796">
      <w:pPr>
        <w:pStyle w:val="3rove-trval"/>
        <w:rPr>
          <w:color w:val="5B9BD5" w:themeColor="accent1"/>
          <w:sz w:val="16"/>
          <w:szCs w:val="16"/>
        </w:rPr>
      </w:pPr>
      <w:r w:rsidRPr="008554A9">
        <w:t>poruší pravidla veřejné podpory</w:t>
      </w:r>
      <w:r w:rsidR="00506961" w:rsidRPr="008554A9">
        <w:t xml:space="preserve"> zejména dle </w:t>
      </w:r>
      <w:r w:rsidR="00537FB1" w:rsidRPr="008554A9">
        <w:t>odst</w:t>
      </w:r>
      <w:r w:rsidR="00506961" w:rsidRPr="008554A9">
        <w:t xml:space="preserve">. </w:t>
      </w:r>
      <w:r w:rsidR="00537FB1" w:rsidRPr="008554A9">
        <w:t>4</w:t>
      </w:r>
      <w:r w:rsidR="00506961" w:rsidRPr="008554A9">
        <w:t>.9</w:t>
      </w:r>
      <w:r w:rsidRPr="00D3354D">
        <w:rPr>
          <w:szCs w:val="20"/>
        </w:rPr>
        <w:t>,</w:t>
      </w:r>
      <w:r w:rsidR="00D3354D" w:rsidRPr="00C6498D">
        <w:rPr>
          <w:i/>
          <w:color w:val="5B9BD5" w:themeColor="accent1"/>
          <w:sz w:val="16"/>
          <w:szCs w:val="16"/>
        </w:rPr>
        <w:t xml:space="preserve"> </w:t>
      </w:r>
    </w:p>
    <w:p w:rsidR="00F50470" w:rsidRPr="008554A9" w:rsidRDefault="00F50470">
      <w:pPr>
        <w:pStyle w:val="3rove-trval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504796" w:rsidRPr="008554A9" w:rsidRDefault="00504796">
      <w:pPr>
        <w:pStyle w:val="3rove-trval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>
      <w:pPr>
        <w:pStyle w:val="3rove-trval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>
      <w:pPr>
        <w:pStyle w:val="3rove-trval"/>
      </w:pPr>
      <w:r w:rsidRPr="008554A9">
        <w:t>uvedl nepravdivé, neúplné nebo zkreslené údaje, na které se váže uzavření této smlouvy,</w:t>
      </w:r>
    </w:p>
    <w:p w:rsidR="00504796" w:rsidRPr="008554A9" w:rsidRDefault="00504796">
      <w:pPr>
        <w:pStyle w:val="3rove-trval"/>
      </w:pPr>
      <w:r w:rsidRPr="008554A9">
        <w:t>je v likvidaci,</w:t>
      </w:r>
    </w:p>
    <w:p w:rsidR="00504796" w:rsidRPr="008554A9" w:rsidRDefault="00504796">
      <w:pPr>
        <w:pStyle w:val="3rove-trval"/>
      </w:pPr>
      <w:r w:rsidRPr="008554A9">
        <w:t>změní právní formu a stane se tak nezpůsobilým příjemcem pro danou oblast podpory,</w:t>
      </w:r>
    </w:p>
    <w:p w:rsidR="00504796" w:rsidRPr="008554A9" w:rsidRDefault="00504796">
      <w:pPr>
        <w:pStyle w:val="3rove-trval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F37CB">
      <w:pPr>
        <w:pStyle w:val="2rove"/>
        <w:spacing w:before="0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Pr="008554A9" w:rsidRDefault="00EC4D55" w:rsidP="004F37CB">
      <w:pPr>
        <w:pStyle w:val="2rove"/>
        <w:spacing w:before="0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EC4D55" w:rsidRPr="008554A9" w:rsidRDefault="00EC4D55" w:rsidP="004F37CB">
      <w:pPr>
        <w:pStyle w:val="2rove"/>
        <w:spacing w:before="0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F37CB">
      <w:pPr>
        <w:pStyle w:val="2rove"/>
        <w:spacing w:before="0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F37CB">
      <w:pPr>
        <w:pStyle w:val="2rove"/>
        <w:spacing w:before="0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F37CB">
      <w:pPr>
        <w:pStyle w:val="2rove"/>
        <w:spacing w:before="0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F37CB">
      <w:pPr>
        <w:pStyle w:val="2rove"/>
        <w:spacing w:before="0"/>
      </w:pPr>
      <w:r w:rsidRPr="008554A9">
        <w:lastRenderedPageBreak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F37CB">
      <w:pPr>
        <w:pStyle w:val="2rove"/>
        <w:spacing w:before="0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F37CB">
      <w:pPr>
        <w:pStyle w:val="2rove"/>
        <w:spacing w:before="0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0B3164" w:rsidP="008554A9">
      <w:pPr>
        <w:pStyle w:val="Nadpis1"/>
        <w:spacing w:line="276" w:lineRule="auto"/>
      </w:pPr>
      <w:r>
        <w:br/>
      </w:r>
      <w:r w:rsidR="00EC4D55" w:rsidRPr="008554A9">
        <w:t xml:space="preserve"> Závěrečná ustanovení</w:t>
      </w:r>
    </w:p>
    <w:p w:rsidR="00EC4D55" w:rsidRPr="008554A9" w:rsidRDefault="00EC4D55" w:rsidP="004F37CB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554446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554446" w:rsidRPr="008554A9" w:rsidRDefault="00EC4D55">
      <w:pPr>
        <w:pStyle w:val="2rove"/>
      </w:pPr>
      <w:r w:rsidRPr="008554A9">
        <w:t>V případě rozporu mezi skutečnostmi uvedenými v programu a ustanoveními této smlouvy, se přednostně aplikují ustanovení této smlouvy</w:t>
      </w:r>
      <w:r w:rsidR="000B3164">
        <w:t>.</w:t>
      </w:r>
    </w:p>
    <w:p w:rsidR="00EC4D55" w:rsidRPr="008554A9" w:rsidRDefault="00EC4D55" w:rsidP="004F37CB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F37CB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Default="00EC4D55" w:rsidP="004F37CB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742E5B" w:rsidRDefault="00742E5B" w:rsidP="00742E5B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eastAsiaTheme="minorEastAsia" w:cs="Arial"/>
          <w:i/>
          <w:iCs/>
          <w:color w:val="5B9BD5"/>
          <w:sz w:val="16"/>
          <w:szCs w:val="16"/>
          <w:lang w:eastAsia="cs-CZ"/>
        </w:rPr>
      </w:pPr>
      <w:r>
        <w:rPr>
          <w:rFonts w:eastAsiaTheme="minorEastAsia" w:cs="Arial"/>
          <w:szCs w:val="20"/>
          <w:lang w:eastAsia="cs-CZ"/>
        </w:rPr>
        <w:t>9.6</w:t>
      </w:r>
      <w:r>
        <w:rPr>
          <w:rFonts w:eastAsiaTheme="minorEastAsia" w:cs="Arial"/>
          <w:szCs w:val="20"/>
          <w:lang w:eastAsia="cs-CZ"/>
        </w:rPr>
        <w:tab/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:rsidR="00742E5B" w:rsidRDefault="00742E5B" w:rsidP="00742E5B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eastAsiaTheme="minorEastAsia" w:cs="Arial"/>
          <w:szCs w:val="20"/>
          <w:lang w:eastAsia="cs-CZ"/>
        </w:rPr>
      </w:pPr>
      <w:r>
        <w:rPr>
          <w:rFonts w:eastAsiaTheme="minorEastAsia" w:cs="Arial"/>
          <w:szCs w:val="20"/>
          <w:lang w:eastAsia="cs-CZ"/>
        </w:rPr>
        <w:t>9.7</w:t>
      </w:r>
      <w:r>
        <w:rPr>
          <w:rFonts w:eastAsiaTheme="minorEastAsia" w:cs="Arial"/>
          <w:szCs w:val="20"/>
          <w:lang w:eastAsia="cs-CZ"/>
        </w:rPr>
        <w:tab/>
        <w:t xml:space="preserve">Tato smlouva nabývá účinnosti dnem zveřejnění v registru smluv. </w:t>
      </w:r>
    </w:p>
    <w:p w:rsidR="00742E5B" w:rsidRPr="008554A9" w:rsidRDefault="00742E5B" w:rsidP="00A449FB">
      <w:pPr>
        <w:pStyle w:val="2rove"/>
        <w:numPr>
          <w:ilvl w:val="0"/>
          <w:numId w:val="0"/>
        </w:numPr>
        <w:ind w:left="567"/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>Rada Zlínského kraje</w:t>
      </w:r>
    </w:p>
    <w:p w:rsidR="008175D9" w:rsidRPr="008554A9" w:rsidRDefault="006A4FA0" w:rsidP="00A449F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3444E6">
        <w:rPr>
          <w:rFonts w:cs="Arial"/>
          <w:szCs w:val="20"/>
        </w:rPr>
        <w:t>20</w:t>
      </w:r>
      <w:r w:rsidR="00287EC9" w:rsidRPr="008554A9">
        <w:rPr>
          <w:rFonts w:cs="Arial"/>
          <w:szCs w:val="20"/>
        </w:rPr>
        <w:t xml:space="preserve">. </w:t>
      </w:r>
      <w:r w:rsidR="003444E6">
        <w:rPr>
          <w:rFonts w:cs="Arial"/>
          <w:szCs w:val="20"/>
        </w:rPr>
        <w:t>6</w:t>
      </w:r>
      <w:r w:rsidR="00287EC9" w:rsidRPr="008554A9">
        <w:rPr>
          <w:rFonts w:cs="Arial"/>
          <w:szCs w:val="20"/>
        </w:rPr>
        <w:t>. 202</w:t>
      </w:r>
      <w:r w:rsidR="00BC004E">
        <w:rPr>
          <w:rFonts w:cs="Arial"/>
          <w:szCs w:val="20"/>
        </w:rPr>
        <w:t>2</w:t>
      </w:r>
      <w:r w:rsidR="00287EC9" w:rsidRPr="008554A9">
        <w:rPr>
          <w:rFonts w:cs="Arial"/>
          <w:szCs w:val="20"/>
        </w:rPr>
        <w:t xml:space="preserve">, </w:t>
      </w:r>
      <w:proofErr w:type="spellStart"/>
      <w:r w:rsidR="00287EC9" w:rsidRPr="008554A9">
        <w:rPr>
          <w:rFonts w:cs="Arial"/>
          <w:szCs w:val="20"/>
        </w:rPr>
        <w:t>usn</w:t>
      </w:r>
      <w:proofErr w:type="spellEnd"/>
      <w:r w:rsidR="00287EC9" w:rsidRPr="008554A9">
        <w:rPr>
          <w:rFonts w:cs="Arial"/>
          <w:szCs w:val="20"/>
        </w:rPr>
        <w:t xml:space="preserve">. č. </w:t>
      </w:r>
      <w:r w:rsidR="00A604F5">
        <w:rPr>
          <w:rFonts w:cs="Arial"/>
          <w:szCs w:val="20"/>
        </w:rPr>
        <w:t>0</w:t>
      </w:r>
      <w:r w:rsidR="00330459">
        <w:rPr>
          <w:rFonts w:cs="Arial"/>
          <w:szCs w:val="20"/>
        </w:rPr>
        <w:t>550</w:t>
      </w:r>
      <w:r w:rsidR="00A604F5">
        <w:rPr>
          <w:rFonts w:cs="Arial"/>
          <w:szCs w:val="20"/>
        </w:rPr>
        <w:t>/R</w:t>
      </w:r>
      <w:r w:rsidR="00330459">
        <w:rPr>
          <w:rFonts w:cs="Arial"/>
          <w:szCs w:val="20"/>
        </w:rPr>
        <w:t>19</w:t>
      </w:r>
      <w:r w:rsidR="00A449FB">
        <w:rPr>
          <w:rFonts w:cs="Arial"/>
          <w:szCs w:val="20"/>
        </w:rPr>
        <w:t>/</w:t>
      </w:r>
      <w:r w:rsidR="00A604F5">
        <w:rPr>
          <w:rFonts w:cs="Arial"/>
          <w:szCs w:val="20"/>
        </w:rPr>
        <w:t>22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A449FB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Ve Zlíně dne</w:t>
            </w:r>
            <w:r w:rsidR="006E3B58" w:rsidRPr="008554A9">
              <w:t> </w:t>
            </w:r>
            <w:bookmarkStart w:id="0" w:name="_GoBack"/>
            <w:r w:rsidR="00420730">
              <w:t>15. 8. 2022</w:t>
            </w:r>
            <w:bookmarkEnd w:id="0"/>
          </w:p>
        </w:tc>
        <w:tc>
          <w:tcPr>
            <w:tcW w:w="3373" w:type="dxa"/>
            <w:vAlign w:val="center"/>
          </w:tcPr>
          <w:p w:rsidR="006A4FA0" w:rsidRPr="008554A9" w:rsidRDefault="006A4FA0" w:rsidP="00420730">
            <w:pPr>
              <w:spacing w:line="276" w:lineRule="auto"/>
            </w:pPr>
            <w:r w:rsidRPr="008554A9">
              <w:t>V</w:t>
            </w:r>
            <w:r w:rsidR="00420730">
              <w:t xml:space="preserve"> Lázech</w:t>
            </w:r>
            <w:r w:rsidR="00420730" w:rsidRPr="008554A9">
              <w:t xml:space="preserve"> </w:t>
            </w:r>
            <w:r w:rsidRPr="008554A9">
              <w:t>dne</w:t>
            </w:r>
            <w:r w:rsidR="006E3B58" w:rsidRPr="008554A9">
              <w:t> </w:t>
            </w:r>
            <w:r w:rsidR="00420730">
              <w:t>22. 7. 2022</w:t>
            </w:r>
          </w:p>
        </w:tc>
      </w:tr>
      <w:tr w:rsidR="006A4FA0" w:rsidRPr="008554A9" w:rsidTr="00A449FB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Za příjemce</w:t>
            </w:r>
          </w:p>
        </w:tc>
      </w:tr>
      <w:tr w:rsidR="006A4FA0" w:rsidTr="00A449FB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Default="006A4FA0" w:rsidP="008554A9">
            <w:pPr>
              <w:spacing w:line="276" w:lineRule="auto"/>
              <w:jc w:val="center"/>
            </w:pPr>
          </w:p>
          <w:p w:rsidR="00330459" w:rsidRDefault="00330459" w:rsidP="008554A9">
            <w:pPr>
              <w:spacing w:line="276" w:lineRule="auto"/>
              <w:jc w:val="center"/>
            </w:pPr>
          </w:p>
          <w:p w:rsidR="00330459" w:rsidRDefault="00330459" w:rsidP="008554A9">
            <w:pPr>
              <w:spacing w:line="276" w:lineRule="auto"/>
              <w:jc w:val="center"/>
            </w:pPr>
          </w:p>
          <w:p w:rsidR="00330459" w:rsidRDefault="00330459" w:rsidP="008554A9">
            <w:pPr>
              <w:spacing w:line="276" w:lineRule="auto"/>
              <w:jc w:val="center"/>
            </w:pPr>
          </w:p>
          <w:p w:rsidR="00330459" w:rsidRDefault="00330459" w:rsidP="008554A9">
            <w:pPr>
              <w:spacing w:line="276" w:lineRule="auto"/>
              <w:jc w:val="center"/>
            </w:pPr>
          </w:p>
          <w:p w:rsidR="0096684D" w:rsidRDefault="0096684D" w:rsidP="008554A9">
            <w:pPr>
              <w:spacing w:line="276" w:lineRule="auto"/>
              <w:jc w:val="center"/>
            </w:pPr>
          </w:p>
          <w:p w:rsidR="0096684D" w:rsidRDefault="0096684D" w:rsidP="008554A9">
            <w:pPr>
              <w:spacing w:line="276" w:lineRule="auto"/>
              <w:jc w:val="center"/>
            </w:pPr>
          </w:p>
          <w:p w:rsidR="0096684D" w:rsidRDefault="0096684D" w:rsidP="008554A9">
            <w:pPr>
              <w:spacing w:line="276" w:lineRule="auto"/>
              <w:jc w:val="center"/>
            </w:pPr>
          </w:p>
          <w:p w:rsidR="0096684D" w:rsidRDefault="0096684D" w:rsidP="008554A9">
            <w:pPr>
              <w:spacing w:line="276" w:lineRule="auto"/>
              <w:jc w:val="center"/>
            </w:pPr>
          </w:p>
          <w:p w:rsidR="0096684D" w:rsidRDefault="0096684D" w:rsidP="008554A9">
            <w:pPr>
              <w:spacing w:line="276" w:lineRule="auto"/>
              <w:jc w:val="center"/>
            </w:pPr>
          </w:p>
          <w:p w:rsidR="00330459" w:rsidRPr="008554A9" w:rsidRDefault="00330459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3444E6" w:rsidRDefault="003444E6" w:rsidP="008554A9">
                  <w:pPr>
                    <w:spacing w:line="276" w:lineRule="auto"/>
                  </w:pP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554446" w:rsidRDefault="00554446" w:rsidP="00B875DE">
            <w:pPr>
              <w:pStyle w:val="Bezmezer"/>
              <w:spacing w:line="276" w:lineRule="auto"/>
            </w:pPr>
          </w:p>
          <w:p w:rsidR="00554446" w:rsidRDefault="00554446" w:rsidP="00B875DE">
            <w:pPr>
              <w:pStyle w:val="Bezmezer"/>
              <w:spacing w:line="276" w:lineRule="auto"/>
            </w:pPr>
          </w:p>
          <w:p w:rsidR="00330459" w:rsidRDefault="00330459" w:rsidP="00B875DE">
            <w:pPr>
              <w:pStyle w:val="Bezmezer"/>
              <w:spacing w:line="276" w:lineRule="auto"/>
            </w:pPr>
          </w:p>
          <w:p w:rsidR="00330459" w:rsidRDefault="00330459" w:rsidP="00B875DE">
            <w:pPr>
              <w:pStyle w:val="Bezmezer"/>
              <w:spacing w:line="276" w:lineRule="auto"/>
            </w:pPr>
          </w:p>
          <w:p w:rsidR="00330459" w:rsidRDefault="00330459" w:rsidP="00B875DE">
            <w:pPr>
              <w:pStyle w:val="Bezmezer"/>
              <w:spacing w:line="276" w:lineRule="auto"/>
            </w:pPr>
          </w:p>
          <w:p w:rsidR="00330459" w:rsidRDefault="00330459" w:rsidP="00B875DE">
            <w:pPr>
              <w:pStyle w:val="Bezmezer"/>
              <w:spacing w:line="276" w:lineRule="auto"/>
            </w:pPr>
          </w:p>
          <w:p w:rsidR="00330459" w:rsidRDefault="00330459" w:rsidP="00B875DE">
            <w:pPr>
              <w:pStyle w:val="Bezmezer"/>
              <w:spacing w:line="276" w:lineRule="auto"/>
            </w:pPr>
          </w:p>
          <w:p w:rsidR="0096684D" w:rsidRDefault="0096684D" w:rsidP="00B875DE">
            <w:pPr>
              <w:pStyle w:val="Bezmezer"/>
              <w:spacing w:line="276" w:lineRule="auto"/>
            </w:pPr>
          </w:p>
          <w:p w:rsidR="0096684D" w:rsidRDefault="0096684D" w:rsidP="00B875DE">
            <w:pPr>
              <w:pStyle w:val="Bezmezer"/>
              <w:spacing w:line="276" w:lineRule="auto"/>
            </w:pPr>
          </w:p>
          <w:p w:rsidR="0096684D" w:rsidRDefault="0096684D" w:rsidP="00B875DE">
            <w:pPr>
              <w:pStyle w:val="Bezmezer"/>
              <w:spacing w:line="276" w:lineRule="auto"/>
            </w:pPr>
          </w:p>
          <w:p w:rsidR="0096684D" w:rsidRDefault="0096684D" w:rsidP="00B875DE">
            <w:pPr>
              <w:pStyle w:val="Bezmezer"/>
              <w:spacing w:line="276" w:lineRule="auto"/>
            </w:pPr>
          </w:p>
          <w:p w:rsidR="0096684D" w:rsidRDefault="0096684D" w:rsidP="00B875DE">
            <w:pPr>
              <w:pStyle w:val="Bezmezer"/>
              <w:spacing w:line="276" w:lineRule="auto"/>
            </w:pPr>
          </w:p>
          <w:p w:rsidR="00554446" w:rsidRPr="008554A9" w:rsidRDefault="006A4FA0" w:rsidP="00B875DE">
            <w:pPr>
              <w:pStyle w:val="Bezmezer"/>
              <w:spacing w:line="276" w:lineRule="auto"/>
            </w:pPr>
            <w:r w:rsidRPr="008554A9">
              <w:t>…………………</w:t>
            </w:r>
            <w:r w:rsidR="00ED6217">
              <w:t>……………..</w:t>
            </w:r>
            <w:r w:rsidRPr="008554A9">
              <w:t>…</w:t>
            </w:r>
          </w:p>
          <w:p w:rsidR="00554446" w:rsidRDefault="00ED6217">
            <w:pPr>
              <w:spacing w:line="276" w:lineRule="auto"/>
            </w:pPr>
            <w:r>
              <w:t xml:space="preserve">   </w:t>
            </w:r>
            <w:r w:rsidR="00865F01">
              <w:t xml:space="preserve">  </w:t>
            </w:r>
            <w:proofErr w:type="spellStart"/>
            <w:r w:rsidR="00591990">
              <w:t>MgA</w:t>
            </w:r>
            <w:proofErr w:type="spellEnd"/>
            <w:r w:rsidR="00591990">
              <w:t xml:space="preserve">. Tereza Válková </w:t>
            </w:r>
            <w:r>
              <w:t xml:space="preserve">  </w:t>
            </w:r>
            <w:r w:rsidR="00865F01">
              <w:t xml:space="preserve">  </w:t>
            </w:r>
            <w:r w:rsidR="00591990">
              <w:t xml:space="preserve">     </w:t>
            </w:r>
            <w:r w:rsidR="00591990">
              <w:br/>
              <w:t xml:space="preserve">  </w:t>
            </w:r>
            <w:r w:rsidR="00441300">
              <w:t xml:space="preserve">    </w:t>
            </w:r>
            <w:r w:rsidR="00743512">
              <w:t>předsed</w:t>
            </w:r>
            <w:r w:rsidR="002F49FA">
              <w:t>kyně</w:t>
            </w:r>
            <w:r w:rsidR="00743512">
              <w:t xml:space="preserve"> spolku</w:t>
            </w:r>
          </w:p>
          <w:p w:rsidR="00554446" w:rsidRDefault="00554446" w:rsidP="00B875DE">
            <w:pPr>
              <w:spacing w:line="276" w:lineRule="auto"/>
            </w:pPr>
          </w:p>
          <w:p w:rsidR="006A4FA0" w:rsidRPr="00554446" w:rsidRDefault="00554446" w:rsidP="00B875DE">
            <w:pPr>
              <w:spacing w:line="276" w:lineRule="auto"/>
            </w:pPr>
            <w:r w:rsidRPr="008554A9">
              <w:lastRenderedPageBreak/>
              <w:t xml:space="preserve"> 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C6498D">
      <w:headerReference w:type="default" r:id="rId11"/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07" w:rsidRDefault="00931407" w:rsidP="00324D78">
      <w:pPr>
        <w:spacing w:after="0" w:line="240" w:lineRule="auto"/>
      </w:pPr>
      <w:r>
        <w:separator/>
      </w:r>
    </w:p>
  </w:endnote>
  <w:endnote w:type="continuationSeparator" w:id="0">
    <w:p w:rsidR="00931407" w:rsidRDefault="00931407" w:rsidP="00324D78">
      <w:pPr>
        <w:spacing w:after="0" w:line="240" w:lineRule="auto"/>
      </w:pPr>
      <w:r>
        <w:continuationSeparator/>
      </w:r>
    </w:p>
  </w:endnote>
  <w:endnote w:type="continuationNotice" w:id="1">
    <w:p w:rsidR="00931407" w:rsidRDefault="00931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420730">
          <w:rPr>
            <w:noProof/>
            <w:sz w:val="16"/>
          </w:rPr>
          <w:t>6</w:t>
        </w:r>
        <w:r w:rsidRPr="00E23810">
          <w:rPr>
            <w:sz w:val="16"/>
          </w:rPr>
          <w:fldChar w:fldCharType="end"/>
        </w:r>
      </w:p>
    </w:sdtContent>
  </w:sdt>
  <w:p w:rsidR="00C50D92" w:rsidRDefault="00C50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07" w:rsidRDefault="00931407" w:rsidP="00324D78">
      <w:pPr>
        <w:spacing w:after="0" w:line="240" w:lineRule="auto"/>
      </w:pPr>
      <w:r>
        <w:separator/>
      </w:r>
    </w:p>
  </w:footnote>
  <w:footnote w:type="continuationSeparator" w:id="0">
    <w:p w:rsidR="00931407" w:rsidRDefault="00931407" w:rsidP="00324D78">
      <w:pPr>
        <w:spacing w:after="0" w:line="240" w:lineRule="auto"/>
      </w:pPr>
      <w:r>
        <w:continuationSeparator/>
      </w:r>
    </w:p>
  </w:footnote>
  <w:footnote w:type="continuationNotice" w:id="1">
    <w:p w:rsidR="00931407" w:rsidRDefault="00931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145C7"/>
    <w:rsid w:val="000228C3"/>
    <w:rsid w:val="0003487A"/>
    <w:rsid w:val="00036E43"/>
    <w:rsid w:val="000417D8"/>
    <w:rsid w:val="0005319A"/>
    <w:rsid w:val="0005501A"/>
    <w:rsid w:val="00077168"/>
    <w:rsid w:val="00077524"/>
    <w:rsid w:val="00083923"/>
    <w:rsid w:val="00090713"/>
    <w:rsid w:val="00095DF0"/>
    <w:rsid w:val="000A6E68"/>
    <w:rsid w:val="000B0AC2"/>
    <w:rsid w:val="000B11E0"/>
    <w:rsid w:val="000B3164"/>
    <w:rsid w:val="000B7FE5"/>
    <w:rsid w:val="000C46F7"/>
    <w:rsid w:val="000C5740"/>
    <w:rsid w:val="000D31A2"/>
    <w:rsid w:val="000E7D0E"/>
    <w:rsid w:val="000F686B"/>
    <w:rsid w:val="0011008B"/>
    <w:rsid w:val="00114376"/>
    <w:rsid w:val="00116E6A"/>
    <w:rsid w:val="00123AD3"/>
    <w:rsid w:val="00126170"/>
    <w:rsid w:val="00132140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26DAD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56F2"/>
    <w:rsid w:val="002B1861"/>
    <w:rsid w:val="002B1A10"/>
    <w:rsid w:val="002B2608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2F49FA"/>
    <w:rsid w:val="003042E9"/>
    <w:rsid w:val="00306C0D"/>
    <w:rsid w:val="0030743E"/>
    <w:rsid w:val="00312F87"/>
    <w:rsid w:val="00313590"/>
    <w:rsid w:val="00324D78"/>
    <w:rsid w:val="003301F1"/>
    <w:rsid w:val="00330459"/>
    <w:rsid w:val="00340702"/>
    <w:rsid w:val="00340B35"/>
    <w:rsid w:val="003444E6"/>
    <w:rsid w:val="00357941"/>
    <w:rsid w:val="0036448F"/>
    <w:rsid w:val="003659F7"/>
    <w:rsid w:val="00373C3D"/>
    <w:rsid w:val="00374AE6"/>
    <w:rsid w:val="00376A53"/>
    <w:rsid w:val="00381A8A"/>
    <w:rsid w:val="003A1285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3BE0"/>
    <w:rsid w:val="003E3DF1"/>
    <w:rsid w:val="003E663F"/>
    <w:rsid w:val="003F1035"/>
    <w:rsid w:val="00402735"/>
    <w:rsid w:val="004054E1"/>
    <w:rsid w:val="00412219"/>
    <w:rsid w:val="00415855"/>
    <w:rsid w:val="00420730"/>
    <w:rsid w:val="004268FB"/>
    <w:rsid w:val="00430948"/>
    <w:rsid w:val="00432A5A"/>
    <w:rsid w:val="004340C5"/>
    <w:rsid w:val="00441300"/>
    <w:rsid w:val="00444289"/>
    <w:rsid w:val="00467521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E47"/>
    <w:rsid w:val="004F068F"/>
    <w:rsid w:val="004F1656"/>
    <w:rsid w:val="004F37CB"/>
    <w:rsid w:val="00501F8C"/>
    <w:rsid w:val="00504796"/>
    <w:rsid w:val="00506961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54446"/>
    <w:rsid w:val="0056114B"/>
    <w:rsid w:val="005651A6"/>
    <w:rsid w:val="0056762D"/>
    <w:rsid w:val="00567CAC"/>
    <w:rsid w:val="005705E5"/>
    <w:rsid w:val="005803A9"/>
    <w:rsid w:val="0058284A"/>
    <w:rsid w:val="00584FAF"/>
    <w:rsid w:val="00586C8E"/>
    <w:rsid w:val="00591990"/>
    <w:rsid w:val="00592774"/>
    <w:rsid w:val="0059400B"/>
    <w:rsid w:val="00594996"/>
    <w:rsid w:val="005A3060"/>
    <w:rsid w:val="005B1088"/>
    <w:rsid w:val="005B3156"/>
    <w:rsid w:val="005B3FE5"/>
    <w:rsid w:val="005C0FC8"/>
    <w:rsid w:val="005C3F37"/>
    <w:rsid w:val="005C5366"/>
    <w:rsid w:val="005F5EF1"/>
    <w:rsid w:val="005F6F75"/>
    <w:rsid w:val="006033A0"/>
    <w:rsid w:val="00610168"/>
    <w:rsid w:val="006120A4"/>
    <w:rsid w:val="006133E0"/>
    <w:rsid w:val="006137BD"/>
    <w:rsid w:val="00614863"/>
    <w:rsid w:val="00626FA3"/>
    <w:rsid w:val="006363EC"/>
    <w:rsid w:val="006547C3"/>
    <w:rsid w:val="00663A3B"/>
    <w:rsid w:val="00664E5A"/>
    <w:rsid w:val="00674C5D"/>
    <w:rsid w:val="006A4FA0"/>
    <w:rsid w:val="006A6EAA"/>
    <w:rsid w:val="006D07B0"/>
    <w:rsid w:val="006E3B58"/>
    <w:rsid w:val="006E48D9"/>
    <w:rsid w:val="00703656"/>
    <w:rsid w:val="0071018E"/>
    <w:rsid w:val="00742E5B"/>
    <w:rsid w:val="00743512"/>
    <w:rsid w:val="00747C54"/>
    <w:rsid w:val="00750381"/>
    <w:rsid w:val="00760945"/>
    <w:rsid w:val="00765E8A"/>
    <w:rsid w:val="00766DAA"/>
    <w:rsid w:val="0077026D"/>
    <w:rsid w:val="00774B8A"/>
    <w:rsid w:val="00777BD8"/>
    <w:rsid w:val="00792E48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00A0"/>
    <w:rsid w:val="008024B4"/>
    <w:rsid w:val="008175D9"/>
    <w:rsid w:val="00831E06"/>
    <w:rsid w:val="00836085"/>
    <w:rsid w:val="008366B8"/>
    <w:rsid w:val="00846F07"/>
    <w:rsid w:val="008554A9"/>
    <w:rsid w:val="00860737"/>
    <w:rsid w:val="00865F01"/>
    <w:rsid w:val="00867936"/>
    <w:rsid w:val="00870EEC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3AA"/>
    <w:rsid w:val="008E2E47"/>
    <w:rsid w:val="008E5BB6"/>
    <w:rsid w:val="008E75C2"/>
    <w:rsid w:val="008E7B6E"/>
    <w:rsid w:val="009021DC"/>
    <w:rsid w:val="0090761E"/>
    <w:rsid w:val="009139D6"/>
    <w:rsid w:val="00927879"/>
    <w:rsid w:val="00930026"/>
    <w:rsid w:val="00931407"/>
    <w:rsid w:val="00936A88"/>
    <w:rsid w:val="009417D1"/>
    <w:rsid w:val="009465C0"/>
    <w:rsid w:val="009514A5"/>
    <w:rsid w:val="00951806"/>
    <w:rsid w:val="009609DE"/>
    <w:rsid w:val="009631A7"/>
    <w:rsid w:val="0096684D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A20D53"/>
    <w:rsid w:val="00A233FD"/>
    <w:rsid w:val="00A35B90"/>
    <w:rsid w:val="00A439DD"/>
    <w:rsid w:val="00A449FB"/>
    <w:rsid w:val="00A47833"/>
    <w:rsid w:val="00A517D6"/>
    <w:rsid w:val="00A604F5"/>
    <w:rsid w:val="00A60925"/>
    <w:rsid w:val="00A63C7F"/>
    <w:rsid w:val="00A64E56"/>
    <w:rsid w:val="00A66CDB"/>
    <w:rsid w:val="00A7182D"/>
    <w:rsid w:val="00A75A68"/>
    <w:rsid w:val="00A903EC"/>
    <w:rsid w:val="00A954DB"/>
    <w:rsid w:val="00A96CAC"/>
    <w:rsid w:val="00AA57FC"/>
    <w:rsid w:val="00AB4AFB"/>
    <w:rsid w:val="00AB7406"/>
    <w:rsid w:val="00AD0C3D"/>
    <w:rsid w:val="00AD41BD"/>
    <w:rsid w:val="00AF403C"/>
    <w:rsid w:val="00B007CA"/>
    <w:rsid w:val="00B036EE"/>
    <w:rsid w:val="00B06852"/>
    <w:rsid w:val="00B138C9"/>
    <w:rsid w:val="00B1774E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875DE"/>
    <w:rsid w:val="00BB5A2C"/>
    <w:rsid w:val="00BC004E"/>
    <w:rsid w:val="00BD1A8B"/>
    <w:rsid w:val="00BD2867"/>
    <w:rsid w:val="00BE049C"/>
    <w:rsid w:val="00BE1FEE"/>
    <w:rsid w:val="00BE451E"/>
    <w:rsid w:val="00C0315B"/>
    <w:rsid w:val="00C069A0"/>
    <w:rsid w:val="00C201D2"/>
    <w:rsid w:val="00C208FD"/>
    <w:rsid w:val="00C23F57"/>
    <w:rsid w:val="00C276DF"/>
    <w:rsid w:val="00C31E60"/>
    <w:rsid w:val="00C33B45"/>
    <w:rsid w:val="00C34081"/>
    <w:rsid w:val="00C3703E"/>
    <w:rsid w:val="00C41132"/>
    <w:rsid w:val="00C50D92"/>
    <w:rsid w:val="00C6498D"/>
    <w:rsid w:val="00C64D04"/>
    <w:rsid w:val="00C70342"/>
    <w:rsid w:val="00C736EB"/>
    <w:rsid w:val="00C81F2E"/>
    <w:rsid w:val="00C8258D"/>
    <w:rsid w:val="00C92705"/>
    <w:rsid w:val="00C93792"/>
    <w:rsid w:val="00C9772B"/>
    <w:rsid w:val="00CA6054"/>
    <w:rsid w:val="00CB1B5B"/>
    <w:rsid w:val="00CB40FE"/>
    <w:rsid w:val="00CB78A2"/>
    <w:rsid w:val="00CC6CBC"/>
    <w:rsid w:val="00CC79F0"/>
    <w:rsid w:val="00CD15CD"/>
    <w:rsid w:val="00CD2022"/>
    <w:rsid w:val="00CD2123"/>
    <w:rsid w:val="00CD2C76"/>
    <w:rsid w:val="00CD4F87"/>
    <w:rsid w:val="00CD6632"/>
    <w:rsid w:val="00CE1DC5"/>
    <w:rsid w:val="00CE6CCC"/>
    <w:rsid w:val="00CF3AEF"/>
    <w:rsid w:val="00D0470B"/>
    <w:rsid w:val="00D067FC"/>
    <w:rsid w:val="00D11E31"/>
    <w:rsid w:val="00D143CD"/>
    <w:rsid w:val="00D16A5C"/>
    <w:rsid w:val="00D3354D"/>
    <w:rsid w:val="00D53684"/>
    <w:rsid w:val="00D62E0E"/>
    <w:rsid w:val="00D62FDD"/>
    <w:rsid w:val="00D646D8"/>
    <w:rsid w:val="00D64AB1"/>
    <w:rsid w:val="00D65F4F"/>
    <w:rsid w:val="00D77279"/>
    <w:rsid w:val="00D81E06"/>
    <w:rsid w:val="00D84110"/>
    <w:rsid w:val="00D87383"/>
    <w:rsid w:val="00D9597D"/>
    <w:rsid w:val="00DA3937"/>
    <w:rsid w:val="00DB2509"/>
    <w:rsid w:val="00DC297B"/>
    <w:rsid w:val="00DD2539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D6217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50470"/>
    <w:rsid w:val="00F575F2"/>
    <w:rsid w:val="00F63FD3"/>
    <w:rsid w:val="00F71A22"/>
    <w:rsid w:val="00F75253"/>
    <w:rsid w:val="00F8398D"/>
    <w:rsid w:val="00F90976"/>
    <w:rsid w:val="00FA0575"/>
    <w:rsid w:val="00FB0E5C"/>
    <w:rsid w:val="00FB265A"/>
    <w:rsid w:val="00FB3C09"/>
    <w:rsid w:val="00FC1D25"/>
    <w:rsid w:val="00FC2E44"/>
    <w:rsid w:val="00FD240B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DCCE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08B"/>
    <w:rPr>
      <w:b/>
      <w:bCs/>
    </w:rPr>
  </w:style>
  <w:style w:type="character" w:customStyle="1" w:styleId="nowrap">
    <w:name w:val="nowrap"/>
    <w:basedOn w:val="Standardnpsmoodstavce"/>
    <w:rsid w:val="0011008B"/>
  </w:style>
  <w:style w:type="character" w:customStyle="1" w:styleId="nounderline">
    <w:name w:val="nounderline"/>
    <w:basedOn w:val="Standardnpsmoodstavce"/>
    <w:rsid w:val="00441300"/>
  </w:style>
  <w:style w:type="character" w:customStyle="1" w:styleId="preformatted">
    <w:name w:val="preformatted"/>
    <w:basedOn w:val="Standardnpsmoodstavce"/>
    <w:rsid w:val="0044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6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4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1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4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7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DEB86-FD9A-4980-8EF6-AC7F0B81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94</TotalTime>
  <Pages>8</Pages>
  <Words>3477</Words>
  <Characters>20520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31</cp:revision>
  <cp:lastPrinted>2022-06-23T05:38:00Z</cp:lastPrinted>
  <dcterms:created xsi:type="dcterms:W3CDTF">2022-03-02T14:05:00Z</dcterms:created>
  <dcterms:modified xsi:type="dcterms:W3CDTF">2022-08-16T05:08:00Z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