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2C425A" w:rsidRPr="00C70B40">
        <w:rPr>
          <w:rFonts w:ascii="Calibri" w:hAnsi="Calibri" w:cs="Calibri"/>
          <w:b/>
          <w:bCs/>
          <w:sz w:val="28"/>
          <w:szCs w:val="28"/>
        </w:rPr>
        <w:t>7</w:t>
      </w:r>
    </w:p>
    <w:p w:rsidR="00F939B6" w:rsidRPr="004A0CBF" w:rsidRDefault="009E070E" w:rsidP="009E070E">
      <w:pPr>
        <w:tabs>
          <w:tab w:val="left" w:pos="5565"/>
        </w:tabs>
        <w:ind w:right="15"/>
        <w:rPr>
          <w:rFonts w:ascii="Calibri" w:hAnsi="Calibri" w:cs="Calibri"/>
          <w:sz w:val="22"/>
          <w:szCs w:val="22"/>
        </w:rPr>
      </w:pPr>
      <w:r>
        <w:rPr>
          <w:rFonts w:ascii="Calibri" w:hAnsi="Calibri" w:cs="Calibri"/>
          <w:sz w:val="22"/>
          <w:szCs w:val="22"/>
        </w:rPr>
        <w:tab/>
      </w: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bookmarkStart w:id="0" w:name="_GoBack"/>
      <w:bookmarkEnd w:id="0"/>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7627A1">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886644">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886644">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C70B40" w:rsidRDefault="009E070E" w:rsidP="00CB6B0A">
      <w:pPr>
        <w:ind w:right="15"/>
        <w:jc w:val="both"/>
        <w:rPr>
          <w:rStyle w:val="preformatted"/>
          <w:rFonts w:ascii="Calibri" w:hAnsi="Calibri" w:cs="Calibri"/>
          <w:b/>
          <w:sz w:val="22"/>
          <w:szCs w:val="22"/>
        </w:rPr>
      </w:pPr>
      <w:r w:rsidRPr="00C70B40">
        <w:rPr>
          <w:rStyle w:val="preformatted"/>
          <w:rFonts w:ascii="Calibri" w:hAnsi="Calibri" w:cs="Calibri"/>
          <w:b/>
          <w:sz w:val="22"/>
          <w:szCs w:val="22"/>
        </w:rPr>
        <w:t>PMVIA s</w:t>
      </w:r>
      <w:r w:rsidR="00FB347C" w:rsidRPr="00C70B40">
        <w:rPr>
          <w:rStyle w:val="preformatted"/>
          <w:rFonts w:ascii="Calibri" w:hAnsi="Calibri" w:cs="Calibri"/>
          <w:b/>
          <w:sz w:val="22"/>
          <w:szCs w:val="22"/>
        </w:rPr>
        <w:t>.</w:t>
      </w:r>
      <w:r w:rsidRPr="00C70B40">
        <w:rPr>
          <w:rStyle w:val="preformatted"/>
          <w:rFonts w:ascii="Calibri" w:hAnsi="Calibri" w:cs="Calibri"/>
          <w:b/>
          <w:sz w:val="22"/>
          <w:szCs w:val="22"/>
        </w:rPr>
        <w:t>r.o.</w:t>
      </w:r>
    </w:p>
    <w:p w:rsidR="00CB6B0A" w:rsidRPr="00C70B40" w:rsidRDefault="00CB6B0A" w:rsidP="00CB6B0A">
      <w:pPr>
        <w:ind w:right="15"/>
        <w:jc w:val="both"/>
        <w:rPr>
          <w:rFonts w:ascii="Calibri" w:hAnsi="Calibri" w:cs="Calibri"/>
          <w:sz w:val="22"/>
          <w:szCs w:val="22"/>
        </w:rPr>
      </w:pPr>
      <w:r w:rsidRPr="00C70B40">
        <w:rPr>
          <w:rFonts w:ascii="Calibri" w:hAnsi="Calibri" w:cs="Calibri"/>
          <w:sz w:val="22"/>
          <w:szCs w:val="22"/>
        </w:rPr>
        <w:t xml:space="preserve">sídlo: </w:t>
      </w:r>
      <w:r w:rsidR="009E070E" w:rsidRPr="00C70B40">
        <w:rPr>
          <w:rFonts w:ascii="Calibri" w:hAnsi="Calibri" w:cs="Calibri"/>
          <w:sz w:val="22"/>
          <w:szCs w:val="22"/>
        </w:rPr>
        <w:t>Průmyslová 591/1</w:t>
      </w:r>
      <w:r w:rsidR="00FB347C" w:rsidRPr="00C70B40">
        <w:rPr>
          <w:rFonts w:ascii="Calibri" w:hAnsi="Calibri" w:cs="Calibri"/>
          <w:sz w:val="22"/>
          <w:szCs w:val="22"/>
        </w:rPr>
        <w:t>,</w:t>
      </w:r>
      <w:r w:rsidR="008C319B" w:rsidRPr="00C70B40">
        <w:rPr>
          <w:rFonts w:ascii="Calibri" w:hAnsi="Calibri" w:cs="Calibri"/>
          <w:sz w:val="22"/>
          <w:szCs w:val="22"/>
        </w:rPr>
        <w:t xml:space="preserve"> Vyškov-Předměstí,</w:t>
      </w:r>
      <w:r w:rsidR="00FB347C" w:rsidRPr="00C70B40">
        <w:rPr>
          <w:rFonts w:ascii="Calibri" w:hAnsi="Calibri" w:cs="Calibri"/>
          <w:sz w:val="22"/>
          <w:szCs w:val="22"/>
        </w:rPr>
        <w:t xml:space="preserve"> </w:t>
      </w:r>
      <w:r w:rsidR="009E070E" w:rsidRPr="00C70B40">
        <w:rPr>
          <w:rFonts w:ascii="Calibri" w:hAnsi="Calibri" w:cs="Calibri"/>
          <w:sz w:val="22"/>
          <w:szCs w:val="22"/>
        </w:rPr>
        <w:t>682 01</w:t>
      </w:r>
      <w:r w:rsidR="00FB347C" w:rsidRPr="00C70B40">
        <w:rPr>
          <w:rFonts w:ascii="Calibri" w:hAnsi="Calibri" w:cs="Calibri"/>
          <w:sz w:val="22"/>
          <w:szCs w:val="22"/>
        </w:rPr>
        <w:t xml:space="preserve"> </w:t>
      </w:r>
      <w:r w:rsidR="009E070E" w:rsidRPr="00C70B40">
        <w:rPr>
          <w:rFonts w:ascii="Calibri" w:hAnsi="Calibri" w:cs="Calibri"/>
          <w:sz w:val="22"/>
          <w:szCs w:val="22"/>
        </w:rPr>
        <w:t>Vyškov</w:t>
      </w:r>
    </w:p>
    <w:p w:rsidR="00CB6B0A" w:rsidRPr="00C70B40" w:rsidRDefault="00CB6B0A" w:rsidP="00CB6B0A">
      <w:pPr>
        <w:ind w:right="15"/>
        <w:jc w:val="both"/>
        <w:rPr>
          <w:rFonts w:ascii="Calibri" w:hAnsi="Calibri" w:cs="Calibri"/>
          <w:sz w:val="22"/>
          <w:szCs w:val="22"/>
        </w:rPr>
      </w:pPr>
      <w:r w:rsidRPr="00C70B40">
        <w:rPr>
          <w:rFonts w:ascii="Calibri" w:hAnsi="Calibri" w:cs="Calibri"/>
          <w:sz w:val="22"/>
          <w:szCs w:val="22"/>
        </w:rPr>
        <w:t>zastoupen</w:t>
      </w:r>
      <w:r w:rsidR="00355639" w:rsidRPr="00C70B40">
        <w:rPr>
          <w:rFonts w:ascii="Calibri" w:hAnsi="Calibri" w:cs="Calibri"/>
          <w:sz w:val="22"/>
          <w:szCs w:val="22"/>
        </w:rPr>
        <w:t>á</w:t>
      </w:r>
      <w:r w:rsidRPr="00C70B40">
        <w:rPr>
          <w:rFonts w:ascii="Calibri" w:hAnsi="Calibri" w:cs="Calibri"/>
          <w:sz w:val="22"/>
          <w:szCs w:val="22"/>
        </w:rPr>
        <w:t xml:space="preserve">: </w:t>
      </w:r>
      <w:r w:rsidR="009E070E" w:rsidRPr="00C70B40">
        <w:rPr>
          <w:rFonts w:ascii="Calibri" w:hAnsi="Calibri" w:cs="Calibri"/>
          <w:sz w:val="22"/>
          <w:szCs w:val="22"/>
        </w:rPr>
        <w:t xml:space="preserve">Ing. Peterem </w:t>
      </w:r>
      <w:proofErr w:type="spellStart"/>
      <w:r w:rsidR="009E070E" w:rsidRPr="00C70B40">
        <w:rPr>
          <w:rFonts w:ascii="Calibri" w:hAnsi="Calibri" w:cs="Calibri"/>
          <w:sz w:val="22"/>
          <w:szCs w:val="22"/>
        </w:rPr>
        <w:t>Šramatým</w:t>
      </w:r>
      <w:proofErr w:type="spellEnd"/>
      <w:r w:rsidR="00FB347C" w:rsidRPr="00C70B40">
        <w:rPr>
          <w:rFonts w:ascii="Calibri" w:hAnsi="Calibri" w:cs="Calibri"/>
          <w:sz w:val="22"/>
          <w:szCs w:val="22"/>
        </w:rPr>
        <w:t>, jednatel</w:t>
      </w:r>
      <w:r w:rsidR="009E070E" w:rsidRPr="00C70B40">
        <w:rPr>
          <w:rFonts w:ascii="Calibri" w:hAnsi="Calibri" w:cs="Calibri"/>
          <w:sz w:val="22"/>
          <w:szCs w:val="22"/>
        </w:rPr>
        <w:t>em</w:t>
      </w:r>
      <w:r w:rsidRPr="00C70B40">
        <w:rPr>
          <w:rFonts w:ascii="Calibri" w:hAnsi="Calibri" w:cs="Calibri"/>
          <w:sz w:val="22"/>
          <w:szCs w:val="22"/>
        </w:rPr>
        <w:t xml:space="preserve"> společnosti</w:t>
      </w:r>
    </w:p>
    <w:p w:rsidR="00CB6B0A" w:rsidRPr="00C70B40" w:rsidRDefault="009E070E" w:rsidP="00CB6B0A">
      <w:pPr>
        <w:ind w:right="15"/>
        <w:jc w:val="both"/>
        <w:rPr>
          <w:rFonts w:ascii="Calibri" w:hAnsi="Calibri" w:cs="Calibri"/>
          <w:sz w:val="22"/>
          <w:szCs w:val="22"/>
        </w:rPr>
      </w:pPr>
      <w:r w:rsidRPr="00C70B40">
        <w:rPr>
          <w:rFonts w:ascii="Calibri" w:hAnsi="Calibri" w:cs="Calibri"/>
          <w:sz w:val="22"/>
          <w:szCs w:val="22"/>
        </w:rPr>
        <w:t>IČ</w:t>
      </w:r>
      <w:r w:rsidR="00E572B2" w:rsidRPr="00C70B40">
        <w:rPr>
          <w:rFonts w:ascii="Calibri" w:hAnsi="Calibri" w:cs="Calibri"/>
          <w:sz w:val="22"/>
          <w:szCs w:val="22"/>
        </w:rPr>
        <w:t>O</w:t>
      </w:r>
      <w:r w:rsidRPr="00C70B40">
        <w:rPr>
          <w:rFonts w:ascii="Calibri" w:hAnsi="Calibri" w:cs="Calibri"/>
          <w:sz w:val="22"/>
          <w:szCs w:val="22"/>
        </w:rPr>
        <w:t>: 27673189</w:t>
      </w:r>
    </w:p>
    <w:p w:rsidR="00CB6B0A" w:rsidRPr="00C70B40" w:rsidRDefault="00CB6B0A" w:rsidP="00CB6B0A">
      <w:pPr>
        <w:ind w:right="15"/>
        <w:jc w:val="both"/>
        <w:rPr>
          <w:rFonts w:ascii="Calibri" w:hAnsi="Calibri" w:cs="Calibri"/>
          <w:sz w:val="22"/>
          <w:szCs w:val="22"/>
        </w:rPr>
      </w:pPr>
      <w:r w:rsidRPr="00C70B40">
        <w:rPr>
          <w:rFonts w:ascii="Calibri" w:hAnsi="Calibri" w:cs="Calibri"/>
          <w:sz w:val="22"/>
          <w:szCs w:val="22"/>
        </w:rPr>
        <w:t>DIČ: CZ</w:t>
      </w:r>
      <w:r w:rsidR="009E070E" w:rsidRPr="00C70B40">
        <w:rPr>
          <w:rFonts w:ascii="Calibri" w:hAnsi="Calibri" w:cs="Calibri"/>
          <w:sz w:val="22"/>
          <w:szCs w:val="22"/>
        </w:rPr>
        <w:t>27673189</w:t>
      </w:r>
    </w:p>
    <w:p w:rsidR="00CB6B0A" w:rsidRPr="00C70B40" w:rsidRDefault="00CB6B0A" w:rsidP="00CB6B0A">
      <w:pPr>
        <w:ind w:right="15"/>
        <w:jc w:val="both"/>
        <w:rPr>
          <w:rFonts w:ascii="Calibri" w:hAnsi="Calibri" w:cs="Calibri"/>
          <w:sz w:val="22"/>
          <w:szCs w:val="22"/>
        </w:rPr>
      </w:pPr>
      <w:r w:rsidRPr="00C70B40">
        <w:rPr>
          <w:rFonts w:ascii="Calibri" w:hAnsi="Calibri" w:cs="Calibri"/>
          <w:sz w:val="22"/>
          <w:szCs w:val="22"/>
        </w:rPr>
        <w:t>zaps</w:t>
      </w:r>
      <w:r w:rsidR="00FB347C" w:rsidRPr="00C70B40">
        <w:rPr>
          <w:rFonts w:ascii="Calibri" w:hAnsi="Calibri" w:cs="Calibri"/>
          <w:sz w:val="22"/>
          <w:szCs w:val="22"/>
        </w:rPr>
        <w:t>aná</w:t>
      </w:r>
      <w:r w:rsidRPr="00C70B40">
        <w:rPr>
          <w:rFonts w:ascii="Calibri" w:hAnsi="Calibri" w:cs="Calibri"/>
          <w:sz w:val="22"/>
          <w:szCs w:val="22"/>
        </w:rPr>
        <w:t xml:space="preserve"> v obchodním rejstříku vedeném </w:t>
      </w:r>
      <w:r w:rsidR="00FB347C" w:rsidRPr="00C70B40">
        <w:rPr>
          <w:rFonts w:ascii="Calibri" w:hAnsi="Calibri" w:cs="Calibri"/>
          <w:sz w:val="22"/>
          <w:szCs w:val="22"/>
        </w:rPr>
        <w:t>u Krajského soudu v </w:t>
      </w:r>
      <w:r w:rsidR="009E070E" w:rsidRPr="00C70B40">
        <w:rPr>
          <w:rFonts w:ascii="Calibri" w:hAnsi="Calibri" w:cs="Calibri"/>
          <w:sz w:val="22"/>
          <w:szCs w:val="22"/>
        </w:rPr>
        <w:t>Brně</w:t>
      </w:r>
      <w:r w:rsidRPr="00C70B40">
        <w:rPr>
          <w:rFonts w:ascii="Calibri" w:hAnsi="Calibri" w:cs="Calibri"/>
          <w:sz w:val="22"/>
          <w:szCs w:val="22"/>
        </w:rPr>
        <w:t xml:space="preserve">, oddíl C, vložka </w:t>
      </w:r>
      <w:r w:rsidR="001C686F" w:rsidRPr="00C70B40">
        <w:rPr>
          <w:rFonts w:ascii="Calibri" w:hAnsi="Calibri" w:cs="Calibri"/>
          <w:sz w:val="22"/>
          <w:szCs w:val="22"/>
        </w:rPr>
        <w:t>50871</w:t>
      </w:r>
    </w:p>
    <w:p w:rsidR="00CB6B0A" w:rsidRPr="00C70B40" w:rsidRDefault="00CB6B0A" w:rsidP="00CB6B0A">
      <w:pPr>
        <w:jc w:val="both"/>
        <w:rPr>
          <w:rFonts w:ascii="Calibri" w:hAnsi="Calibri" w:cs="Calibri"/>
          <w:sz w:val="22"/>
          <w:szCs w:val="22"/>
        </w:rPr>
      </w:pPr>
      <w:r w:rsidRPr="00C70B40">
        <w:rPr>
          <w:rFonts w:ascii="Calibri" w:hAnsi="Calibri" w:cs="Calibri"/>
          <w:sz w:val="22"/>
          <w:szCs w:val="22"/>
        </w:rPr>
        <w:t xml:space="preserve">bankovní spojení: </w:t>
      </w:r>
      <w:r w:rsidR="00886644">
        <w:rPr>
          <w:rFonts w:ascii="Calibri" w:hAnsi="Calibri" w:cs="Calibri"/>
          <w:sz w:val="22"/>
          <w:szCs w:val="22"/>
        </w:rPr>
        <w:t>XXX</w:t>
      </w:r>
    </w:p>
    <w:p w:rsidR="00CB6B0A" w:rsidRPr="00C70B40" w:rsidRDefault="00CB6B0A" w:rsidP="00CB6B0A">
      <w:pPr>
        <w:jc w:val="both"/>
        <w:rPr>
          <w:rFonts w:ascii="Calibri" w:hAnsi="Calibri" w:cs="Calibri"/>
          <w:sz w:val="22"/>
          <w:szCs w:val="22"/>
        </w:rPr>
      </w:pPr>
      <w:r w:rsidRPr="00C70B40">
        <w:rPr>
          <w:rFonts w:ascii="Calibri" w:hAnsi="Calibri" w:cs="Calibri"/>
          <w:sz w:val="22"/>
          <w:szCs w:val="22"/>
        </w:rPr>
        <w:t xml:space="preserve">číslo účtu: </w:t>
      </w:r>
      <w:r w:rsidR="00886644">
        <w:rPr>
          <w:rFonts w:ascii="Calibri" w:hAnsi="Calibri" w:cs="Calibri"/>
          <w:sz w:val="22"/>
          <w:szCs w:val="22"/>
        </w:rPr>
        <w:t>XXX</w:t>
      </w:r>
    </w:p>
    <w:p w:rsidR="00CB6B0A" w:rsidRDefault="001C686F" w:rsidP="00CB6B0A">
      <w:pPr>
        <w:ind w:right="15"/>
        <w:jc w:val="both"/>
        <w:rPr>
          <w:rFonts w:ascii="Calibri" w:hAnsi="Calibri" w:cs="Calibri"/>
          <w:sz w:val="22"/>
          <w:szCs w:val="22"/>
        </w:rPr>
      </w:pPr>
      <w:r w:rsidRPr="00C70B40">
        <w:rPr>
          <w:rFonts w:ascii="Calibri" w:hAnsi="Calibri" w:cs="Calibri"/>
          <w:sz w:val="22"/>
          <w:szCs w:val="22"/>
        </w:rPr>
        <w:t xml:space="preserve">ID datové schránky: </w:t>
      </w:r>
      <w:r w:rsidR="00A823BE" w:rsidRPr="00C70B40">
        <w:rPr>
          <w:rFonts w:ascii="Calibri" w:hAnsi="Calibri" w:cs="Calibri"/>
          <w:sz w:val="22"/>
          <w:szCs w:val="22"/>
        </w:rPr>
        <w:t>3pmtrzb</w:t>
      </w:r>
    </w:p>
    <w:p w:rsidR="001C686F" w:rsidRDefault="001C686F" w:rsidP="00CB6B0A">
      <w:pPr>
        <w:ind w:right="15"/>
        <w:jc w:val="both"/>
        <w:rPr>
          <w:rFonts w:ascii="Calibri" w:hAnsi="Calibri" w:cs="Calibri"/>
          <w:sz w:val="22"/>
          <w:szCs w:val="22"/>
        </w:rPr>
      </w:pPr>
    </w:p>
    <w:p w:rsidR="00F777BF" w:rsidRPr="001C686F" w:rsidRDefault="00F777BF" w:rsidP="00CB6B0A">
      <w:pPr>
        <w:ind w:right="15"/>
        <w:jc w:val="both"/>
        <w:rPr>
          <w:rFonts w:ascii="Calibri" w:hAnsi="Calibri" w:cs="Calibri"/>
          <w:sz w:val="22"/>
          <w:szCs w:val="22"/>
        </w:rPr>
      </w:pP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C70B40">
        <w:rPr>
          <w:rFonts w:ascii="Calibri" w:hAnsi="Calibri" w:cs="Calibri"/>
          <w:sz w:val="22"/>
          <w:szCs w:val="22"/>
          <w:lang w:eastAsia="ar-SA"/>
        </w:rPr>
        <w:t xml:space="preserve">č. </w:t>
      </w:r>
      <w:r w:rsidR="00F011E0" w:rsidRPr="00C70B40">
        <w:rPr>
          <w:rFonts w:ascii="Calibri" w:hAnsi="Calibri" w:cs="Calibri"/>
          <w:sz w:val="22"/>
          <w:szCs w:val="22"/>
          <w:lang w:eastAsia="ar-SA"/>
        </w:rPr>
        <w:t>7</w:t>
      </w:r>
      <w:r w:rsidR="00865AF5">
        <w:rPr>
          <w:rFonts w:ascii="Calibri" w:hAnsi="Calibri" w:cs="Calibri"/>
          <w:i/>
          <w:iCs/>
          <w:sz w:val="22"/>
          <w:szCs w:val="22"/>
          <w:lang w:eastAsia="ar-SA"/>
        </w:rPr>
        <w:t xml:space="preserve"> </w:t>
      </w:r>
      <w:r w:rsidRPr="004A0CBF">
        <w:rPr>
          <w:rFonts w:ascii="Calibri" w:hAnsi="Calibri" w:cs="Calibri"/>
          <w:sz w:val="22"/>
          <w:szCs w:val="22"/>
          <w:lang w:eastAsia="ar-SA"/>
        </w:rPr>
        <w:t xml:space="preserve">veřejné zakázky Rekvalifikace pro Olomoucký kraj I s názvem: </w:t>
      </w:r>
      <w:r w:rsidR="00AF4803" w:rsidRPr="00C70B40">
        <w:rPr>
          <w:rFonts w:ascii="Calibri" w:hAnsi="Calibri" w:cs="Calibri"/>
          <w:sz w:val="22"/>
          <w:szCs w:val="22"/>
          <w:lang w:eastAsia="ar-SA"/>
        </w:rPr>
        <w:t xml:space="preserve">Dělník ve strojírenské výrobě (kód 23-007-E) </w:t>
      </w:r>
      <w:r w:rsidR="00F011E0" w:rsidRPr="00C70B40">
        <w:rPr>
          <w:rFonts w:ascii="Calibri" w:hAnsi="Calibri" w:cs="Calibri"/>
          <w:sz w:val="22"/>
          <w:szCs w:val="22"/>
          <w:lang w:eastAsia="ar-SA"/>
        </w:rPr>
        <w:t>–</w:t>
      </w:r>
      <w:r w:rsidR="00AF4803" w:rsidRPr="00C70B40">
        <w:rPr>
          <w:rFonts w:ascii="Calibri" w:hAnsi="Calibri" w:cs="Calibri"/>
          <w:sz w:val="22"/>
          <w:szCs w:val="22"/>
          <w:lang w:eastAsia="ar-SA"/>
        </w:rPr>
        <w:t xml:space="preserve"> střed</w:t>
      </w:r>
      <w:r w:rsidR="00F011E0" w:rsidRPr="00C70B40">
        <w:rPr>
          <w:rFonts w:ascii="Calibri" w:hAnsi="Calibri" w:cs="Calibri"/>
          <w:sz w:val="22"/>
          <w:szCs w:val="22"/>
          <w:lang w:eastAsia="ar-SA"/>
        </w:rPr>
        <w:t>, s praxí u zaměstnavatele</w:t>
      </w:r>
      <w:r w:rsidR="00865AF5" w:rsidRPr="00C70B40">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rsidP="00F011E0">
      <w:pPr>
        <w:keepNext/>
        <w:suppressAutoHyphens/>
        <w:spacing w:after="240"/>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4A0CBF"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5778DD">
        <w:rPr>
          <w:rFonts w:ascii="Calibri" w:hAnsi="Calibri" w:cs="Calibri"/>
          <w:sz w:val="22"/>
          <w:szCs w:val="22"/>
          <w:lang w:eastAsia="cs-CZ"/>
        </w:rPr>
        <w:t xml:space="preserve"> </w:t>
      </w:r>
      <w:r w:rsidR="009B6DF8" w:rsidRPr="008E0C9F">
        <w:rPr>
          <w:rFonts w:ascii="Calibri" w:hAnsi="Calibri" w:cs="Calibri"/>
          <w:b/>
          <w:sz w:val="22"/>
          <w:szCs w:val="22"/>
          <w:lang w:eastAsia="cs-CZ"/>
        </w:rPr>
        <w:t>Dělník ve strojírenské výrobě</w:t>
      </w:r>
      <w:r w:rsidR="00F011E0">
        <w:rPr>
          <w:rFonts w:ascii="Calibri" w:hAnsi="Calibri" w:cs="Calibri"/>
          <w:iCs/>
          <w:sz w:val="22"/>
          <w:szCs w:val="22"/>
          <w:lang w:eastAsia="ar-SA"/>
        </w:rPr>
        <w:t xml:space="preserve"> </w:t>
      </w:r>
      <w:r w:rsidRPr="004A0CBF">
        <w:rPr>
          <w:rFonts w:ascii="Calibri" w:hAnsi="Calibri" w:cs="Calibri"/>
          <w:sz w:val="22"/>
          <w:szCs w:val="22"/>
          <w:lang w:eastAsia="ar-SA"/>
        </w:rPr>
        <w:t>se sjednávají následující podmínky plnění:</w:t>
      </w:r>
    </w:p>
    <w:p w:rsidR="00F939B6" w:rsidRPr="004A0CBF" w:rsidRDefault="00F939B6">
      <w:pPr>
        <w:keepNext/>
        <w:suppressAutoHyphens/>
        <w:jc w:val="both"/>
        <w:outlineLvl w:val="3"/>
        <w:rPr>
          <w:rFonts w:ascii="Calibri" w:hAnsi="Calibri" w:cs="Calibri"/>
          <w:b/>
          <w:bCs/>
          <w:sz w:val="22"/>
          <w:szCs w:val="22"/>
          <w:lang w:eastAsia="ar-SA"/>
        </w:rPr>
      </w:pPr>
    </w:p>
    <w:p w:rsidR="00F939B6" w:rsidRPr="004A0CBF"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 xml:space="preserve">a) </w:t>
      </w:r>
      <w:r w:rsidR="004F03E4" w:rsidRPr="004A0CBF">
        <w:rPr>
          <w:rFonts w:ascii="Calibri" w:hAnsi="Calibri" w:cs="Calibri"/>
          <w:sz w:val="22"/>
          <w:szCs w:val="22"/>
          <w:lang w:eastAsia="ar-SA"/>
        </w:rPr>
        <w:t>minimál</w:t>
      </w:r>
      <w:r w:rsidRPr="004A0CBF">
        <w:rPr>
          <w:rFonts w:ascii="Calibri" w:hAnsi="Calibri" w:cs="Calibri"/>
          <w:sz w:val="22"/>
          <w:szCs w:val="22"/>
          <w:lang w:eastAsia="ar-SA"/>
        </w:rPr>
        <w:t xml:space="preserve">ní kvalifikační předpoklad účastníka pro zařazení do rekvalifikace: </w:t>
      </w:r>
      <w:r w:rsidR="000B5269">
        <w:rPr>
          <w:rFonts w:ascii="Calibri" w:hAnsi="Calibri" w:cs="Calibri"/>
          <w:sz w:val="22"/>
          <w:szCs w:val="22"/>
          <w:lang w:eastAsia="ar-SA"/>
        </w:rPr>
        <w:t>m</w:t>
      </w:r>
      <w:r w:rsidR="005778DD" w:rsidRPr="008E0C9F">
        <w:rPr>
          <w:rFonts w:ascii="Calibri" w:hAnsi="Calibri" w:cs="Calibri"/>
          <w:iCs/>
          <w:sz w:val="22"/>
          <w:szCs w:val="22"/>
          <w:lang w:eastAsia="ar-SA"/>
        </w:rPr>
        <w:t>inimálně základní vzdělání</w:t>
      </w:r>
      <w:r w:rsidR="008E0C9F">
        <w:rPr>
          <w:rFonts w:ascii="Calibri" w:hAnsi="Calibri" w:cs="Calibri"/>
          <w:iCs/>
          <w:sz w:val="22"/>
          <w:szCs w:val="22"/>
          <w:lang w:eastAsia="ar-SA"/>
        </w:rPr>
        <w:t>,</w:t>
      </w:r>
      <w:r w:rsidRPr="008E0C9F">
        <w:rPr>
          <w:rFonts w:ascii="Calibri" w:hAnsi="Calibri" w:cs="Calibri"/>
          <w:iCs/>
          <w:sz w:val="22"/>
          <w:szCs w:val="22"/>
          <w:lang w:eastAsia="ar-SA"/>
        </w:rPr>
        <w:t xml:space="preserve"> </w:t>
      </w:r>
    </w:p>
    <w:p w:rsidR="00F939B6" w:rsidRPr="004A0CBF"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 xml:space="preserve">b) rozsah rekvalifikace bez zkoušek činí minimálně </w:t>
      </w:r>
      <w:r w:rsidR="009B6DF8" w:rsidRPr="008E0C9F">
        <w:rPr>
          <w:rFonts w:ascii="Calibri" w:hAnsi="Calibri" w:cs="Calibri"/>
          <w:sz w:val="22"/>
          <w:szCs w:val="22"/>
          <w:lang w:eastAsia="ar-SA"/>
        </w:rPr>
        <w:t>1</w:t>
      </w:r>
      <w:r w:rsidR="00823679" w:rsidRPr="008E0C9F">
        <w:rPr>
          <w:rFonts w:ascii="Calibri" w:hAnsi="Calibri" w:cs="Calibri"/>
          <w:sz w:val="22"/>
          <w:szCs w:val="22"/>
          <w:lang w:eastAsia="ar-SA"/>
        </w:rPr>
        <w:t>37</w:t>
      </w:r>
      <w:r w:rsidR="005778DD" w:rsidRPr="009B6DF8">
        <w:rPr>
          <w:rFonts w:ascii="Calibri" w:hAnsi="Calibri" w:cs="Calibri"/>
          <w:i/>
          <w:iCs/>
          <w:sz w:val="22"/>
          <w:szCs w:val="22"/>
          <w:lang w:eastAsia="ar-SA"/>
        </w:rPr>
        <w:t xml:space="preserve"> </w:t>
      </w:r>
      <w:r w:rsidRPr="004A0CBF">
        <w:rPr>
          <w:rFonts w:ascii="Calibri" w:hAnsi="Calibri" w:cs="Calibri"/>
          <w:sz w:val="22"/>
          <w:szCs w:val="22"/>
          <w:lang w:eastAsia="ar-SA"/>
        </w:rPr>
        <w:t>vyučovacích hodin</w:t>
      </w:r>
      <w:r w:rsidR="008E0C9F">
        <w:rPr>
          <w:rFonts w:ascii="Calibri" w:hAnsi="Calibri" w:cs="Calibri"/>
          <w:sz w:val="22"/>
          <w:szCs w:val="22"/>
          <w:lang w:eastAsia="ar-SA"/>
        </w:rPr>
        <w:t>,</w:t>
      </w:r>
      <w:r w:rsidRPr="004A0CBF">
        <w:rPr>
          <w:rFonts w:ascii="Calibri" w:hAnsi="Calibri" w:cs="Calibri"/>
          <w:sz w:val="22"/>
          <w:szCs w:val="22"/>
          <w:lang w:eastAsia="ar-SA"/>
        </w:rPr>
        <w:t xml:space="preserve"> </w:t>
      </w:r>
    </w:p>
    <w:p w:rsidR="00F939B6" w:rsidRPr="004A0CBF" w:rsidRDefault="00F939B6">
      <w:pPr>
        <w:suppressAutoHyphens/>
        <w:spacing w:after="120"/>
        <w:jc w:val="both"/>
        <w:rPr>
          <w:rFonts w:ascii="Calibri" w:hAnsi="Calibri" w:cs="Calibri"/>
          <w:i/>
          <w:iCs/>
          <w:sz w:val="22"/>
          <w:szCs w:val="22"/>
          <w:lang w:eastAsia="ar-SA"/>
        </w:rPr>
      </w:pPr>
    </w:p>
    <w:p w:rsidR="00F939B6" w:rsidRDefault="00F939B6">
      <w:p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c) forma konání rekvalifikace: prezenční</w:t>
      </w:r>
      <w:r w:rsidR="008E0C9F">
        <w:rPr>
          <w:rFonts w:ascii="Calibri" w:hAnsi="Calibri" w:cs="Calibri"/>
          <w:sz w:val="22"/>
          <w:szCs w:val="22"/>
          <w:lang w:eastAsia="ar-SA"/>
        </w:rPr>
        <w:t>,</w:t>
      </w:r>
      <w:r w:rsidRPr="004A0CBF">
        <w:rPr>
          <w:rFonts w:ascii="Calibri" w:hAnsi="Calibri" w:cs="Calibri"/>
          <w:sz w:val="22"/>
          <w:szCs w:val="22"/>
          <w:lang w:eastAsia="ar-SA"/>
        </w:rPr>
        <w:t xml:space="preserve"> </w:t>
      </w:r>
    </w:p>
    <w:p w:rsidR="005778DD" w:rsidRPr="004A0CBF" w:rsidRDefault="005778DD">
      <w:pPr>
        <w:suppressAutoHyphens/>
        <w:spacing w:after="120"/>
        <w:jc w:val="both"/>
        <w:rPr>
          <w:rFonts w:ascii="Calibri" w:hAnsi="Calibri" w:cs="Calibri"/>
          <w:sz w:val="22"/>
          <w:szCs w:val="22"/>
          <w:lang w:eastAsia="ar-SA"/>
        </w:rPr>
      </w:pPr>
    </w:p>
    <w:p w:rsidR="00F939B6" w:rsidRPr="00A00922" w:rsidRDefault="00F939B6" w:rsidP="005778DD">
      <w:pPr>
        <w:tabs>
          <w:tab w:val="left" w:pos="709"/>
        </w:tabs>
        <w:spacing w:before="120" w:after="120"/>
        <w:jc w:val="both"/>
        <w:rPr>
          <w:i/>
        </w:rPr>
      </w:pPr>
      <w:r w:rsidRPr="005778DD">
        <w:rPr>
          <w:rFonts w:ascii="Calibri" w:hAnsi="Calibri" w:cs="Calibri"/>
          <w:sz w:val="22"/>
          <w:szCs w:val="22"/>
          <w:lang w:eastAsia="ar-SA"/>
        </w:rPr>
        <w:t xml:space="preserve">d) </w:t>
      </w:r>
      <w:r w:rsidRPr="005778DD">
        <w:rPr>
          <w:rFonts w:ascii="Calibri" w:hAnsi="Calibri" w:cs="Calibri"/>
          <w:sz w:val="22"/>
          <w:szCs w:val="22"/>
          <w:lang w:eastAsia="cs-CZ"/>
        </w:rPr>
        <w:t>místo konání rekvalifikace:</w:t>
      </w:r>
      <w:r w:rsidR="00823679">
        <w:rPr>
          <w:rFonts w:ascii="Calibri" w:hAnsi="Calibri" w:cs="Calibri"/>
          <w:sz w:val="22"/>
          <w:szCs w:val="22"/>
          <w:lang w:eastAsia="cs-CZ"/>
        </w:rPr>
        <w:t xml:space="preserve"> </w:t>
      </w:r>
      <w:r w:rsidR="00823679" w:rsidRPr="008E0C9F">
        <w:rPr>
          <w:rFonts w:ascii="Calibri" w:hAnsi="Calibri" w:cs="Calibri"/>
          <w:sz w:val="22"/>
          <w:szCs w:val="22"/>
        </w:rPr>
        <w:t xml:space="preserve">centrální část Olomouckého kraje, tzn. okresy Prostějov, Přerov a Olomouc s výjimkou té části okresu Olomouc, v níž vykonává přenesenou působnost v rozsahu </w:t>
      </w:r>
      <w:r w:rsidR="00823679" w:rsidRPr="008E0C9F">
        <w:rPr>
          <w:rFonts w:ascii="Calibri" w:hAnsi="Calibri" w:cs="Calibri"/>
          <w:sz w:val="22"/>
          <w:szCs w:val="22"/>
        </w:rPr>
        <w:lastRenderedPageBreak/>
        <w:t>pověřeného obecního úřadu Městský úřad Uničov. V místě konání podle předchozí věty bude zabezpečena veškerá výuka, jedinou výjimkou může být praxe u zaměstnavatele (avšak za dodržení podmínek podle bodu 4)</w:t>
      </w:r>
      <w:r w:rsidR="008E0C9F">
        <w:rPr>
          <w:rFonts w:ascii="Calibri" w:hAnsi="Calibri" w:cs="Calibri"/>
          <w:sz w:val="22"/>
          <w:szCs w:val="22"/>
        </w:rPr>
        <w:t>,</w:t>
      </w:r>
    </w:p>
    <w:p w:rsidR="005778DD" w:rsidRPr="005778DD" w:rsidRDefault="005778DD" w:rsidP="005778DD">
      <w:pPr>
        <w:tabs>
          <w:tab w:val="left" w:pos="709"/>
        </w:tabs>
        <w:spacing w:before="120" w:after="120"/>
        <w:jc w:val="both"/>
      </w:pPr>
    </w:p>
    <w:p w:rsidR="00F939B6"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e) minimální počet účastníků</w:t>
      </w:r>
      <w:r w:rsidR="005A1C29" w:rsidRPr="004A0CBF">
        <w:rPr>
          <w:rFonts w:ascii="Calibri" w:hAnsi="Calibri" w:cs="Calibri"/>
          <w:sz w:val="22"/>
          <w:szCs w:val="22"/>
          <w:lang w:eastAsia="ar-SA"/>
        </w:rPr>
        <w:t xml:space="preserve"> rekvalifikace</w:t>
      </w:r>
      <w:r w:rsidRPr="00C70B40">
        <w:rPr>
          <w:rFonts w:ascii="Calibri" w:hAnsi="Calibri" w:cs="Calibri"/>
          <w:sz w:val="22"/>
          <w:szCs w:val="22"/>
          <w:lang w:eastAsia="ar-SA"/>
        </w:rPr>
        <w:t xml:space="preserve">: </w:t>
      </w:r>
      <w:r w:rsidR="005778DD" w:rsidRPr="008E0C9F">
        <w:rPr>
          <w:rFonts w:ascii="Calibri" w:hAnsi="Calibri" w:cs="Calibri"/>
          <w:iCs/>
          <w:sz w:val="22"/>
          <w:szCs w:val="22"/>
          <w:lang w:eastAsia="ar-SA"/>
        </w:rPr>
        <w:t>5</w:t>
      </w:r>
      <w:r w:rsidR="008E0C9F">
        <w:rPr>
          <w:rFonts w:ascii="Calibri" w:hAnsi="Calibri" w:cs="Calibri"/>
          <w:iCs/>
          <w:sz w:val="22"/>
          <w:szCs w:val="22"/>
          <w:lang w:eastAsia="ar-SA"/>
        </w:rPr>
        <w:t>,</w:t>
      </w:r>
    </w:p>
    <w:p w:rsidR="005778DD" w:rsidRPr="004A0CBF" w:rsidRDefault="005778DD">
      <w:pPr>
        <w:suppressAutoHyphens/>
        <w:spacing w:after="120"/>
        <w:jc w:val="both"/>
        <w:rPr>
          <w:rFonts w:ascii="Calibri" w:hAnsi="Calibri" w:cs="Calibri"/>
          <w:i/>
          <w:iCs/>
          <w:sz w:val="22"/>
          <w:szCs w:val="22"/>
          <w:lang w:eastAsia="ar-SA"/>
        </w:rPr>
      </w:pPr>
    </w:p>
    <w:p w:rsidR="00F939B6" w:rsidRPr="004A0CBF"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 xml:space="preserve">f) trvání rekvalifikačního kurzu: </w:t>
      </w:r>
      <w:r w:rsidR="009B6DF8" w:rsidRPr="008E0C9F">
        <w:rPr>
          <w:rFonts w:ascii="Calibri" w:hAnsi="Calibri" w:cs="Calibri"/>
          <w:sz w:val="22"/>
          <w:szCs w:val="22"/>
          <w:lang w:eastAsia="ar-SA"/>
        </w:rPr>
        <w:t>maximálně 2 měsíce</w:t>
      </w:r>
      <w:r w:rsidR="008E0C9F">
        <w:rPr>
          <w:rFonts w:ascii="Calibri" w:hAnsi="Calibri" w:cs="Calibri"/>
          <w:sz w:val="22"/>
          <w:szCs w:val="22"/>
          <w:lang w:eastAsia="ar-SA"/>
        </w:rPr>
        <w:t>,</w:t>
      </w:r>
    </w:p>
    <w:p w:rsidR="00F939B6" w:rsidRPr="004A0CBF"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g) cena rekvalifikace </w:t>
      </w:r>
      <w:r w:rsidR="004F03E4" w:rsidRPr="004A0CBF">
        <w:rPr>
          <w:rFonts w:ascii="Calibri" w:hAnsi="Calibri" w:cs="Calibri"/>
          <w:sz w:val="22"/>
          <w:szCs w:val="22"/>
          <w:lang w:eastAsia="ar-SA"/>
        </w:rPr>
        <w:t>z</w:t>
      </w:r>
      <w:r w:rsidR="00D2613A">
        <w:rPr>
          <w:rFonts w:ascii="Calibri" w:hAnsi="Calibri" w:cs="Calibri"/>
          <w:sz w:val="22"/>
          <w:szCs w:val="22"/>
          <w:lang w:eastAsia="ar-SA"/>
        </w:rPr>
        <w:t xml:space="preserve">a 1 účastníka bez DPH činí: </w:t>
      </w:r>
      <w:r w:rsidR="00823679" w:rsidRPr="008E0C9F">
        <w:rPr>
          <w:rFonts w:ascii="Calibri" w:hAnsi="Calibri" w:cs="Calibri"/>
          <w:sz w:val="22"/>
          <w:szCs w:val="22"/>
          <w:lang w:eastAsia="ar-SA"/>
        </w:rPr>
        <w:t>11 500</w:t>
      </w:r>
      <w:r w:rsidR="00D2613A" w:rsidRPr="008E0C9F">
        <w:rPr>
          <w:rFonts w:ascii="Calibri" w:hAnsi="Calibri" w:cs="Calibri"/>
          <w:sz w:val="22"/>
          <w:szCs w:val="22"/>
          <w:lang w:eastAsia="ar-SA"/>
        </w:rPr>
        <w:t xml:space="preserve"> Kč bez DPH</w:t>
      </w:r>
      <w:r w:rsidR="00D2613A" w:rsidRPr="00C70B40">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lastRenderedPageBreak/>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lastRenderedPageBreak/>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CD6533" w:rsidRDefault="0088664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9F536D" w:rsidRPr="004A0CBF" w:rsidRDefault="0088664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rsidP="004A1F71">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right="17"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rsidP="004A1F71">
      <w:pPr>
        <w:suppressAutoHyphens/>
        <w:spacing w:before="300"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zakázky </w:t>
      </w:r>
      <w:r w:rsidR="005868D3" w:rsidRPr="008E0C9F">
        <w:rPr>
          <w:rFonts w:ascii="Calibri" w:hAnsi="Calibri" w:cs="Calibri"/>
          <w:sz w:val="22"/>
          <w:szCs w:val="22"/>
          <w:lang w:eastAsia="ar-SA"/>
        </w:rPr>
        <w:t>4 940 </w:t>
      </w:r>
      <w:r w:rsidR="00006968" w:rsidRPr="008E0C9F">
        <w:rPr>
          <w:rFonts w:ascii="Calibri" w:hAnsi="Calibri" w:cs="Calibri"/>
          <w:iCs/>
          <w:sz w:val="22"/>
          <w:szCs w:val="22"/>
          <w:lang w:eastAsia="ar-SA"/>
        </w:rPr>
        <w:t>000</w:t>
      </w:r>
      <w:r w:rsidR="00006968" w:rsidRPr="00C70B40">
        <w:rPr>
          <w:rFonts w:ascii="Calibri" w:hAnsi="Calibri" w:cs="Calibri"/>
          <w:i/>
          <w:iCs/>
          <w:sz w:val="22"/>
          <w:szCs w:val="22"/>
          <w:lang w:eastAsia="ar-SA"/>
        </w:rPr>
        <w:t xml:space="preserve"> </w:t>
      </w:r>
      <w:r w:rsidRPr="00C70B40">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kalendářních dnů po 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rsidP="00314A1B">
      <w:pPr>
        <w:numPr>
          <w:ilvl w:val="0"/>
          <w:numId w:val="5"/>
        </w:numPr>
        <w:tabs>
          <w:tab w:val="clear" w:pos="360"/>
          <w:tab w:val="num" w:pos="284"/>
        </w:tabs>
        <w:suppressAutoHyphens/>
        <w:spacing w:after="120"/>
        <w:ind w:left="284" w:hanging="284"/>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953664" w:rsidRDefault="00953664">
      <w:pPr>
        <w:keepNext/>
        <w:suppressAutoHyphens/>
        <w:spacing w:line="360" w:lineRule="auto"/>
        <w:ind w:left="357"/>
        <w:jc w:val="center"/>
        <w:outlineLvl w:val="1"/>
        <w:rPr>
          <w:rFonts w:ascii="Calibri" w:hAnsi="Calibri" w:cs="Calibri"/>
          <w:b/>
          <w:bCs/>
          <w:sz w:val="22"/>
          <w:szCs w:val="22"/>
          <w:lang w:eastAsia="ar-SA"/>
        </w:rPr>
      </w:pP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rsidP="00953664">
      <w:pPr>
        <w:suppressAutoHyphens/>
        <w:spacing w:after="120"/>
        <w:ind w:left="284" w:hanging="284"/>
        <w:jc w:val="both"/>
        <w:rPr>
          <w:rFonts w:ascii="Calibri" w:hAnsi="Calibri" w:cs="Calibri"/>
          <w:b/>
          <w:bCs/>
          <w:sz w:val="22"/>
          <w:szCs w:val="22"/>
          <w:lang w:eastAsia="ar-SA"/>
        </w:rPr>
      </w:pPr>
      <w:r w:rsidRPr="004A0CBF">
        <w:rPr>
          <w:rFonts w:ascii="Calibri" w:hAnsi="Calibri" w:cs="Calibri"/>
          <w:sz w:val="22"/>
          <w:szCs w:val="22"/>
          <w:lang w:eastAsia="ar-SA"/>
        </w:rPr>
        <w:lastRenderedPageBreak/>
        <w:t xml:space="preserve">                                                                                    </w:t>
      </w:r>
      <w:r w:rsidRPr="004A0CBF">
        <w:rPr>
          <w:rFonts w:ascii="Calibri" w:hAnsi="Calibri" w:cs="Calibri"/>
          <w:b/>
          <w:bCs/>
          <w:sz w:val="22"/>
          <w:szCs w:val="22"/>
          <w:lang w:eastAsia="ar-SA"/>
        </w:rPr>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4A0CBF" w:rsidRDefault="00886644">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w:t>
      </w:r>
      <w:r>
        <w:rPr>
          <w:rFonts w:ascii="Calibri" w:hAnsi="Calibri" w:cs="Calibri"/>
          <w:sz w:val="22"/>
          <w:szCs w:val="22"/>
        </w:rPr>
        <w:t xml:space="preserve"> </w:t>
      </w:r>
      <w:proofErr w:type="gramStart"/>
      <w:r>
        <w:rPr>
          <w:rFonts w:ascii="Calibri" w:hAnsi="Calibri" w:cs="Calibri"/>
          <w:sz w:val="22"/>
          <w:szCs w:val="22"/>
        </w:rPr>
        <w:t>19.4.2017</w:t>
      </w:r>
      <w:proofErr w:type="gramEnd"/>
      <w:r w:rsidR="00F939B6" w:rsidRPr="004A0CBF">
        <w:rPr>
          <w:rFonts w:ascii="Calibri" w:hAnsi="Calibri" w:cs="Calibri"/>
          <w:sz w:val="22"/>
          <w:szCs w:val="22"/>
        </w:rPr>
        <w:tab/>
      </w:r>
      <w:r w:rsidR="00F939B6" w:rsidRPr="004A0CBF">
        <w:rPr>
          <w:rFonts w:ascii="Calibri" w:hAnsi="Calibri" w:cs="Calibri"/>
          <w:sz w:val="22"/>
          <w:szCs w:val="22"/>
        </w:rPr>
        <w:tab/>
        <w:t xml:space="preserve">                   </w:t>
      </w:r>
      <w:r>
        <w:rPr>
          <w:rFonts w:ascii="Calibri" w:hAnsi="Calibri" w:cs="Calibri"/>
          <w:sz w:val="22"/>
          <w:szCs w:val="22"/>
        </w:rPr>
        <w:tab/>
      </w:r>
      <w:r w:rsidR="00F939B6" w:rsidRPr="004A0CBF">
        <w:rPr>
          <w:rFonts w:ascii="Calibri" w:hAnsi="Calibri" w:cs="Calibri"/>
          <w:sz w:val="22"/>
          <w:szCs w:val="22"/>
        </w:rPr>
        <w:t xml:space="preserve">  V</w:t>
      </w:r>
      <w:r>
        <w:rPr>
          <w:rFonts w:ascii="Calibri" w:hAnsi="Calibri" w:cs="Calibri"/>
          <w:sz w:val="22"/>
          <w:szCs w:val="22"/>
        </w:rPr>
        <w:t xml:space="preserve"> Olomouci </w:t>
      </w:r>
      <w:r w:rsidR="00F939B6" w:rsidRPr="004A0CBF">
        <w:rPr>
          <w:rFonts w:ascii="Calibri" w:hAnsi="Calibri" w:cs="Calibri"/>
          <w:sz w:val="22"/>
          <w:szCs w:val="22"/>
        </w:rPr>
        <w:t xml:space="preserve">dne </w:t>
      </w:r>
      <w:r>
        <w:rPr>
          <w:rFonts w:ascii="Calibri" w:hAnsi="Calibri" w:cs="Calibri"/>
          <w:sz w:val="22"/>
          <w:szCs w:val="22"/>
        </w:rPr>
        <w:t>19.4.2017</w:t>
      </w:r>
    </w:p>
    <w:p w:rsidR="00F939B6" w:rsidRPr="004A0CBF" w:rsidRDefault="00F939B6">
      <w:pPr>
        <w:rPr>
          <w:rFonts w:ascii="Calibri" w:hAnsi="Calibri" w:cs="Calibri"/>
          <w:sz w:val="22"/>
          <w:szCs w:val="22"/>
        </w:rPr>
      </w:pPr>
      <w:r w:rsidRPr="004A0CBF">
        <w:rPr>
          <w:rFonts w:ascii="Calibri" w:hAnsi="Calibri" w:cs="Calibri"/>
          <w:sz w:val="22"/>
          <w:szCs w:val="22"/>
        </w:rPr>
        <w:t>………………………………………………</w:t>
      </w:r>
      <w:r w:rsidRPr="004A0CBF">
        <w:rPr>
          <w:rFonts w:ascii="Calibri" w:hAnsi="Calibri" w:cs="Calibri"/>
          <w:sz w:val="22"/>
          <w:szCs w:val="22"/>
        </w:rPr>
        <w:tab/>
        <w:t xml:space="preserve">                                                  </w:t>
      </w:r>
      <w:r w:rsidRPr="008E0C9F">
        <w:rPr>
          <w:rFonts w:ascii="Calibri" w:hAnsi="Calibri" w:cs="Calibri"/>
          <w:sz w:val="22"/>
          <w:szCs w:val="22"/>
        </w:rPr>
        <w:t>………………………………………………</w:t>
      </w:r>
    </w:p>
    <w:p w:rsidR="00F939B6" w:rsidRPr="00C70B40" w:rsidRDefault="00F939B6">
      <w:pPr>
        <w:rPr>
          <w:rFonts w:ascii="Calibri" w:hAnsi="Calibri" w:cs="Calibri"/>
          <w:sz w:val="22"/>
          <w:szCs w:val="22"/>
        </w:rPr>
      </w:pPr>
      <w:r w:rsidRPr="004A0CBF">
        <w:rPr>
          <w:rFonts w:ascii="Calibri" w:hAnsi="Calibri" w:cs="Calibri"/>
          <w:sz w:val="22"/>
          <w:szCs w:val="22"/>
        </w:rPr>
        <w:t xml:space="preserve">         Ing. Jiří Šabata</w:t>
      </w:r>
      <w:r w:rsidRPr="004A0CBF">
        <w:rPr>
          <w:rFonts w:ascii="Calibri" w:hAnsi="Calibri" w:cs="Calibri"/>
          <w:b/>
          <w:bCs/>
          <w:sz w:val="22"/>
          <w:szCs w:val="22"/>
        </w:rPr>
        <w:tab/>
      </w:r>
      <w:r w:rsidRPr="004A0CBF">
        <w:rPr>
          <w:rFonts w:ascii="Calibri" w:hAnsi="Calibri" w:cs="Calibri"/>
          <w:b/>
          <w:bCs/>
          <w:sz w:val="22"/>
          <w:szCs w:val="22"/>
        </w:rPr>
        <w:tab/>
      </w:r>
      <w:r w:rsidRPr="004A0CBF">
        <w:rPr>
          <w:rFonts w:ascii="Calibri" w:hAnsi="Calibri" w:cs="Calibri"/>
          <w:b/>
          <w:bCs/>
          <w:sz w:val="22"/>
          <w:szCs w:val="22"/>
        </w:rPr>
        <w:tab/>
        <w:t xml:space="preserve">                                </w:t>
      </w:r>
      <w:r w:rsidR="00DF0A79">
        <w:rPr>
          <w:rFonts w:ascii="Calibri" w:hAnsi="Calibri" w:cs="Calibri"/>
          <w:b/>
          <w:bCs/>
          <w:sz w:val="22"/>
          <w:szCs w:val="22"/>
        </w:rPr>
        <w:tab/>
      </w:r>
      <w:r w:rsidR="00644DE6" w:rsidRPr="00C70B40">
        <w:rPr>
          <w:rFonts w:ascii="Calibri" w:hAnsi="Calibri" w:cs="Calibri"/>
          <w:bCs/>
          <w:sz w:val="22"/>
          <w:szCs w:val="22"/>
        </w:rPr>
        <w:t>Ing. Pet</w:t>
      </w:r>
      <w:r w:rsidR="00BE0257" w:rsidRPr="00C70B40">
        <w:rPr>
          <w:rFonts w:ascii="Calibri" w:hAnsi="Calibri" w:cs="Calibri"/>
          <w:bCs/>
          <w:sz w:val="22"/>
          <w:szCs w:val="22"/>
        </w:rPr>
        <w:t>e</w:t>
      </w:r>
      <w:r w:rsidR="00644DE6" w:rsidRPr="00C70B40">
        <w:rPr>
          <w:rFonts w:ascii="Calibri" w:hAnsi="Calibri" w:cs="Calibri"/>
          <w:bCs/>
          <w:sz w:val="22"/>
          <w:szCs w:val="22"/>
        </w:rPr>
        <w:t xml:space="preserve">r </w:t>
      </w:r>
      <w:proofErr w:type="spellStart"/>
      <w:r w:rsidR="00644DE6" w:rsidRPr="00C70B40">
        <w:rPr>
          <w:rFonts w:ascii="Calibri" w:hAnsi="Calibri" w:cs="Calibri"/>
          <w:bCs/>
          <w:sz w:val="22"/>
          <w:szCs w:val="22"/>
        </w:rPr>
        <w:t>Šramatý</w:t>
      </w:r>
      <w:proofErr w:type="spellEnd"/>
    </w:p>
    <w:p w:rsidR="00F939B6" w:rsidRPr="004A0CBF" w:rsidRDefault="00F939B6">
      <w:pPr>
        <w:ind w:right="-284"/>
        <w:jc w:val="both"/>
        <w:rPr>
          <w:rFonts w:ascii="Calibri" w:hAnsi="Calibri" w:cs="Calibri"/>
          <w:sz w:val="22"/>
          <w:szCs w:val="22"/>
          <w:lang w:eastAsia="cs-CZ"/>
        </w:rPr>
      </w:pPr>
      <w:r w:rsidRPr="00C70B40">
        <w:rPr>
          <w:rFonts w:ascii="Calibri" w:hAnsi="Calibri" w:cs="Calibri"/>
          <w:sz w:val="22"/>
          <w:szCs w:val="22"/>
          <w:lang w:eastAsia="cs-CZ"/>
        </w:rPr>
        <w:t>ředitel</w:t>
      </w:r>
      <w:r w:rsidRPr="00C70B40">
        <w:rPr>
          <w:rFonts w:ascii="Calibri" w:hAnsi="Calibri" w:cs="Calibri"/>
          <w:sz w:val="22"/>
          <w:szCs w:val="22"/>
          <w:lang w:eastAsia="cs-CZ"/>
        </w:rPr>
        <w:tab/>
        <w:t>Úřadu práce Česk</w:t>
      </w:r>
      <w:r w:rsidR="00BD7EC3" w:rsidRPr="00C70B40">
        <w:rPr>
          <w:rFonts w:ascii="Calibri" w:hAnsi="Calibri" w:cs="Calibri"/>
          <w:sz w:val="22"/>
          <w:szCs w:val="22"/>
          <w:lang w:eastAsia="cs-CZ"/>
        </w:rPr>
        <w:t>é republiky</w:t>
      </w:r>
      <w:r w:rsidR="00BD7EC3" w:rsidRPr="00C70B40">
        <w:rPr>
          <w:rFonts w:ascii="Calibri" w:hAnsi="Calibri" w:cs="Calibri"/>
          <w:sz w:val="22"/>
          <w:szCs w:val="22"/>
          <w:lang w:eastAsia="cs-CZ"/>
        </w:rPr>
        <w:tab/>
      </w:r>
      <w:r w:rsidR="00BD7EC3" w:rsidRPr="00C70B40">
        <w:rPr>
          <w:rFonts w:ascii="Calibri" w:hAnsi="Calibri" w:cs="Calibri"/>
          <w:sz w:val="22"/>
          <w:szCs w:val="22"/>
          <w:lang w:eastAsia="cs-CZ"/>
        </w:rPr>
        <w:tab/>
        <w:t xml:space="preserve">        </w:t>
      </w:r>
      <w:r w:rsidR="00644DE6" w:rsidRPr="00C70B40">
        <w:rPr>
          <w:rFonts w:ascii="Calibri" w:hAnsi="Calibri" w:cs="Calibri"/>
          <w:sz w:val="22"/>
          <w:szCs w:val="22"/>
          <w:lang w:eastAsia="cs-CZ"/>
        </w:rPr>
        <w:t xml:space="preserve"> </w:t>
      </w:r>
      <w:r w:rsidR="00BD7EC3" w:rsidRPr="00C70B40">
        <w:rPr>
          <w:rFonts w:ascii="Calibri" w:hAnsi="Calibri" w:cs="Calibri"/>
          <w:sz w:val="22"/>
          <w:szCs w:val="22"/>
          <w:lang w:eastAsia="cs-CZ"/>
        </w:rPr>
        <w:t xml:space="preserve">      </w:t>
      </w:r>
      <w:r w:rsidR="00644DE6" w:rsidRPr="00C70B40">
        <w:rPr>
          <w:rFonts w:ascii="Calibri" w:hAnsi="Calibri" w:cs="Calibri"/>
          <w:sz w:val="22"/>
          <w:szCs w:val="22"/>
          <w:lang w:eastAsia="cs-CZ"/>
        </w:rPr>
        <w:t xml:space="preserve">    </w:t>
      </w:r>
      <w:r w:rsidR="00DF0A79" w:rsidRPr="00C70B40">
        <w:rPr>
          <w:rFonts w:ascii="Calibri" w:hAnsi="Calibri" w:cs="Calibri"/>
          <w:sz w:val="22"/>
          <w:szCs w:val="22"/>
        </w:rPr>
        <w:t>jednatel společnosti</w:t>
      </w:r>
      <w:r w:rsidR="00644DE6" w:rsidRPr="00C70B40">
        <w:rPr>
          <w:rFonts w:ascii="Calibri" w:hAnsi="Calibri" w:cs="Calibri"/>
          <w:sz w:val="22"/>
          <w:szCs w:val="22"/>
        </w:rPr>
        <w:t xml:space="preserve"> PMVIA s.r.o.</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8E0C9F" w:rsidRDefault="008E0C9F">
      <w:pPr>
        <w:rPr>
          <w:rFonts w:ascii="Calibri" w:hAnsi="Calibri" w:cs="Calibri"/>
          <w:b/>
          <w:bCs/>
          <w:sz w:val="22"/>
          <w:szCs w:val="22"/>
        </w:rPr>
      </w:pPr>
      <w:r>
        <w:rPr>
          <w:rFonts w:ascii="Calibri" w:hAnsi="Calibri" w:cs="Calibri"/>
          <w:b/>
          <w:bCs/>
          <w:sz w:val="22"/>
          <w:szCs w:val="22"/>
        </w:rPr>
        <w:br w:type="page"/>
      </w: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F939B6" w:rsidRPr="00DF0A79" w:rsidRDefault="00F939B6">
      <w:pPr>
        <w:rPr>
          <w:rFonts w:ascii="Calibri" w:hAnsi="Calibri" w:cs="Calibri"/>
          <w:b/>
          <w:bCs/>
          <w:sz w:val="22"/>
          <w:szCs w:val="22"/>
        </w:rPr>
      </w:pPr>
    </w:p>
    <w:p w:rsidR="00B40B4F" w:rsidRPr="00C70B40" w:rsidRDefault="00B40B4F" w:rsidP="00B40B4F">
      <w:pPr>
        <w:pStyle w:val="Odstavecseseznamem"/>
        <w:spacing w:after="120" w:line="360" w:lineRule="auto"/>
        <w:ind w:left="0"/>
        <w:jc w:val="both"/>
        <w:rPr>
          <w:rFonts w:asciiTheme="minorHAnsi" w:hAnsiTheme="minorHAnsi"/>
          <w:b/>
          <w:bCs/>
          <w:sz w:val="22"/>
          <w:szCs w:val="22"/>
          <w:u w:val="single"/>
        </w:rPr>
      </w:pPr>
      <w:r w:rsidRPr="00C70B40">
        <w:rPr>
          <w:rFonts w:asciiTheme="minorHAnsi" w:hAnsiTheme="minorHAnsi"/>
          <w:b/>
          <w:bCs/>
          <w:sz w:val="22"/>
          <w:szCs w:val="22"/>
          <w:u w:val="single"/>
        </w:rPr>
        <w:t>Specifické technické podmínky předmětu veřejné zakázky:</w:t>
      </w:r>
    </w:p>
    <w:p w:rsidR="00B40B4F" w:rsidRPr="00C70B40" w:rsidRDefault="00B40B4F" w:rsidP="00B40B4F">
      <w:pPr>
        <w:numPr>
          <w:ilvl w:val="0"/>
          <w:numId w:val="24"/>
        </w:numPr>
        <w:tabs>
          <w:tab w:val="left" w:pos="709"/>
        </w:tabs>
        <w:spacing w:after="120" w:line="360" w:lineRule="auto"/>
        <w:jc w:val="both"/>
        <w:rPr>
          <w:rFonts w:asciiTheme="minorHAnsi" w:hAnsiTheme="minorHAnsi" w:cs="Calibri"/>
          <w:sz w:val="22"/>
          <w:szCs w:val="22"/>
        </w:rPr>
      </w:pPr>
      <w:r w:rsidRPr="00C70B40">
        <w:rPr>
          <w:rFonts w:asciiTheme="minorHAnsi" w:hAnsiTheme="minorHAnsi" w:cs="Calibri"/>
          <w:sz w:val="22"/>
          <w:szCs w:val="22"/>
        </w:rPr>
        <w:t>Trvání 1 běhu rekvalifikace: maximálně 2 měsíce.</w:t>
      </w:r>
    </w:p>
    <w:p w:rsidR="00B40B4F" w:rsidRPr="00C70B40" w:rsidRDefault="00B40B4F" w:rsidP="00B40B4F">
      <w:pPr>
        <w:numPr>
          <w:ilvl w:val="0"/>
          <w:numId w:val="24"/>
        </w:numPr>
        <w:tabs>
          <w:tab w:val="left" w:pos="709"/>
        </w:tabs>
        <w:spacing w:after="120" w:line="360" w:lineRule="auto"/>
        <w:jc w:val="both"/>
        <w:rPr>
          <w:rFonts w:asciiTheme="minorHAnsi" w:hAnsiTheme="minorHAnsi" w:cs="Calibri"/>
          <w:sz w:val="22"/>
          <w:szCs w:val="22"/>
        </w:rPr>
      </w:pPr>
      <w:r w:rsidRPr="00C70B40">
        <w:rPr>
          <w:rFonts w:asciiTheme="minorHAnsi" w:hAnsiTheme="minorHAnsi" w:cs="Calibri"/>
          <w:sz w:val="22"/>
          <w:szCs w:val="22"/>
        </w:rPr>
        <w:t xml:space="preserve">Místo konání: centrální část Olomouckého kraje, tzn. okresy Prostějov, Přerov a Olomouc s výjimkou té části okresu Olomouc, v níž vykonává přenesenou působnost v rozsahu pověřeného obecního úřadu Městský úřad Uničov. V místě konání podle předchozí věty bude zabezpečena veškerá výuka, jedinou výjimkou může být praxe u zaměstnavatele (avšak za dodržení podmínek podle bodu 4). </w:t>
      </w:r>
    </w:p>
    <w:p w:rsidR="00B40B4F" w:rsidRPr="00C70B40" w:rsidRDefault="00B40B4F" w:rsidP="00B40B4F">
      <w:pPr>
        <w:numPr>
          <w:ilvl w:val="0"/>
          <w:numId w:val="24"/>
        </w:numPr>
        <w:tabs>
          <w:tab w:val="left" w:pos="709"/>
        </w:tabs>
        <w:spacing w:after="120" w:line="360" w:lineRule="auto"/>
        <w:jc w:val="both"/>
        <w:rPr>
          <w:rFonts w:asciiTheme="minorHAnsi" w:hAnsiTheme="minorHAnsi" w:cs="Calibri"/>
          <w:sz w:val="22"/>
          <w:szCs w:val="22"/>
        </w:rPr>
      </w:pPr>
      <w:r w:rsidRPr="00C70B40">
        <w:rPr>
          <w:rFonts w:asciiTheme="minorHAnsi" w:hAnsiTheme="minorHAnsi" w:cs="Calibri"/>
          <w:sz w:val="22"/>
          <w:szCs w:val="22"/>
        </w:rPr>
        <w:t xml:space="preserve">Obsah rekvalifikace vychází z profesní kvalifikace Dělník ve strojírenské výrobě (kód 23-007-E) - viz </w:t>
      </w:r>
      <w:hyperlink r:id="rId12" w:history="1">
        <w:r w:rsidRPr="00C70B40">
          <w:rPr>
            <w:rFonts w:asciiTheme="minorHAnsi" w:hAnsiTheme="minorHAnsi" w:cs="Calibri"/>
            <w:sz w:val="22"/>
            <w:szCs w:val="22"/>
          </w:rPr>
          <w:t>http://www.narodni-kvalifikace.cz/</w:t>
        </w:r>
      </w:hyperlink>
      <w:r w:rsidRPr="00C70B40">
        <w:rPr>
          <w:rFonts w:asciiTheme="minorHAnsi" w:hAnsiTheme="minorHAnsi" w:cs="Calibri"/>
          <w:sz w:val="22"/>
          <w:szCs w:val="22"/>
        </w:rPr>
        <w:t>. Tato profesní kvalifikace je integrovaná do úplné profesní kvalifikace Strojní mechanik (kód 23-51-H/01).</w:t>
      </w:r>
    </w:p>
    <w:p w:rsidR="00B40B4F" w:rsidRPr="00C70B40" w:rsidRDefault="00B40B4F" w:rsidP="00B40B4F">
      <w:pPr>
        <w:numPr>
          <w:ilvl w:val="0"/>
          <w:numId w:val="24"/>
        </w:numPr>
        <w:tabs>
          <w:tab w:val="left" w:pos="709"/>
        </w:tabs>
        <w:spacing w:after="120" w:line="360" w:lineRule="auto"/>
        <w:jc w:val="both"/>
        <w:rPr>
          <w:rFonts w:asciiTheme="minorHAnsi" w:hAnsiTheme="minorHAnsi" w:cs="Calibri"/>
          <w:sz w:val="22"/>
          <w:szCs w:val="22"/>
        </w:rPr>
      </w:pPr>
      <w:r w:rsidRPr="00C70B40">
        <w:rPr>
          <w:rFonts w:asciiTheme="minorHAnsi" w:hAnsiTheme="minorHAnsi" w:cs="Calibri"/>
          <w:sz w:val="22"/>
          <w:szCs w:val="22"/>
        </w:rPr>
        <w:t>Povinnou součástí rekvalifikace je praxe u zaměstnavatele o minimálním rozsahu 37 vyučovacích hodin.</w:t>
      </w:r>
    </w:p>
    <w:p w:rsidR="00B40B4F" w:rsidRPr="00C70B40" w:rsidRDefault="00B40B4F" w:rsidP="00B40B4F">
      <w:pPr>
        <w:numPr>
          <w:ilvl w:val="0"/>
          <w:numId w:val="24"/>
        </w:numPr>
        <w:tabs>
          <w:tab w:val="left" w:pos="709"/>
        </w:tabs>
        <w:spacing w:after="120" w:line="360" w:lineRule="auto"/>
        <w:jc w:val="both"/>
        <w:rPr>
          <w:rFonts w:asciiTheme="minorHAnsi" w:hAnsiTheme="minorHAnsi" w:cs="Calibri"/>
          <w:sz w:val="22"/>
          <w:szCs w:val="22"/>
        </w:rPr>
      </w:pPr>
      <w:r w:rsidRPr="00C70B40">
        <w:rPr>
          <w:rFonts w:asciiTheme="minorHAnsi" w:hAnsiTheme="minorHAnsi" w:cs="Calibri"/>
          <w:sz w:val="22"/>
          <w:szCs w:val="22"/>
        </w:rPr>
        <w:t>Zkouška dle hodnotícího standardu je součástí rekvalifikace a náklady této zkoušky jsou součástí nabídkové ceny uchazeče.</w:t>
      </w:r>
    </w:p>
    <w:p w:rsidR="00DF0A79" w:rsidRPr="00C70B40" w:rsidRDefault="00B40B4F" w:rsidP="00B40B4F">
      <w:pPr>
        <w:numPr>
          <w:ilvl w:val="0"/>
          <w:numId w:val="24"/>
        </w:numPr>
        <w:tabs>
          <w:tab w:val="left" w:pos="709"/>
        </w:tabs>
        <w:spacing w:after="120" w:line="360" w:lineRule="auto"/>
        <w:jc w:val="both"/>
        <w:rPr>
          <w:rFonts w:ascii="Calibri" w:hAnsi="Calibri" w:cs="Calibri"/>
          <w:sz w:val="22"/>
          <w:szCs w:val="22"/>
        </w:rPr>
      </w:pPr>
      <w:r w:rsidRPr="00C70B40">
        <w:rPr>
          <w:rFonts w:asciiTheme="minorHAnsi" w:hAnsiTheme="minorHAnsi" w:cs="Calibri"/>
          <w:sz w:val="22"/>
          <w:szCs w:val="22"/>
        </w:rPr>
        <w:t>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w:t>
      </w:r>
    </w:p>
    <w:p w:rsidR="00F939B6" w:rsidRPr="00DF0A79" w:rsidRDefault="00F939B6" w:rsidP="00DF0A79">
      <w:pPr>
        <w:rPr>
          <w:rFonts w:ascii="Calibri" w:hAnsi="Calibri" w:cs="Calibri"/>
          <w:i/>
          <w:iCs/>
          <w:sz w:val="22"/>
          <w:szCs w:val="22"/>
        </w:rPr>
      </w:pPr>
    </w:p>
    <w:sectPr w:rsidR="00F939B6" w:rsidRPr="00DF0A79"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26" w:rsidRDefault="00A15526">
      <w:pPr>
        <w:rPr>
          <w:rFonts w:ascii="Times New Roman" w:hAnsi="Times New Roman" w:cs="Times New Roman"/>
        </w:rPr>
      </w:pPr>
      <w:r>
        <w:rPr>
          <w:rFonts w:ascii="Times New Roman" w:hAnsi="Times New Roman" w:cs="Times New Roman"/>
        </w:rPr>
        <w:separator/>
      </w:r>
    </w:p>
  </w:endnote>
  <w:endnote w:type="continuationSeparator" w:id="0">
    <w:p w:rsidR="00A15526" w:rsidRDefault="00A1552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886644">
      <w:rPr>
        <w:rFonts w:ascii="Calibri" w:hAnsi="Calibri" w:cs="Calibri"/>
        <w:noProof/>
      </w:rPr>
      <w:t>1</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26" w:rsidRDefault="00A15526">
      <w:pPr>
        <w:rPr>
          <w:rFonts w:ascii="Times New Roman" w:hAnsi="Times New Roman" w:cs="Times New Roman"/>
        </w:rPr>
      </w:pPr>
      <w:r>
        <w:rPr>
          <w:rFonts w:ascii="Times New Roman" w:hAnsi="Times New Roman" w:cs="Times New Roman"/>
        </w:rPr>
        <w:separator/>
      </w:r>
    </w:p>
  </w:footnote>
  <w:footnote w:type="continuationSeparator" w:id="0">
    <w:p w:rsidR="00A15526" w:rsidRDefault="00A1552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01CE4677" wp14:editId="6171F176">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8496AF9"/>
    <w:multiLevelType w:val="hybridMultilevel"/>
    <w:tmpl w:val="D9D42FC8"/>
    <w:lvl w:ilvl="0" w:tplc="7688D486">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8">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nsid w:val="372F47C6"/>
    <w:multiLevelType w:val="hybridMultilevel"/>
    <w:tmpl w:val="70B2E85A"/>
    <w:lvl w:ilvl="0" w:tplc="DF6CDCC8">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2">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6">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1"/>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7"/>
  </w:num>
  <w:num w:numId="15">
    <w:abstractNumId w:val="18"/>
  </w:num>
  <w:num w:numId="16">
    <w:abstractNumId w:val="13"/>
  </w:num>
  <w:num w:numId="17">
    <w:abstractNumId w:val="20"/>
  </w:num>
  <w:num w:numId="18">
    <w:abstractNumId w:val="6"/>
  </w:num>
  <w:num w:numId="19">
    <w:abstractNumId w:val="12"/>
  </w:num>
  <w:num w:numId="20">
    <w:abstractNumId w:val="21"/>
  </w:num>
  <w:num w:numId="21">
    <w:abstractNumId w:val="2"/>
  </w:num>
  <w:num w:numId="22">
    <w:abstractNumId w:val="15"/>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56C70"/>
    <w:rsid w:val="00085C94"/>
    <w:rsid w:val="000B5269"/>
    <w:rsid w:val="00117480"/>
    <w:rsid w:val="00140A13"/>
    <w:rsid w:val="0014637D"/>
    <w:rsid w:val="001C686F"/>
    <w:rsid w:val="001E766B"/>
    <w:rsid w:val="00273AC1"/>
    <w:rsid w:val="00280FD2"/>
    <w:rsid w:val="002C425A"/>
    <w:rsid w:val="002C5882"/>
    <w:rsid w:val="002E59E8"/>
    <w:rsid w:val="00314A1B"/>
    <w:rsid w:val="003341A9"/>
    <w:rsid w:val="00355639"/>
    <w:rsid w:val="0038713B"/>
    <w:rsid w:val="003D1493"/>
    <w:rsid w:val="003D688F"/>
    <w:rsid w:val="004336F3"/>
    <w:rsid w:val="004562FD"/>
    <w:rsid w:val="00467A5D"/>
    <w:rsid w:val="00470601"/>
    <w:rsid w:val="00492853"/>
    <w:rsid w:val="004A0CBF"/>
    <w:rsid w:val="004A1F71"/>
    <w:rsid w:val="004C6107"/>
    <w:rsid w:val="004E3548"/>
    <w:rsid w:val="004F03E4"/>
    <w:rsid w:val="005020DF"/>
    <w:rsid w:val="005052F8"/>
    <w:rsid w:val="005778DD"/>
    <w:rsid w:val="005803FE"/>
    <w:rsid w:val="005868D3"/>
    <w:rsid w:val="005A1C29"/>
    <w:rsid w:val="005C240C"/>
    <w:rsid w:val="00644DE6"/>
    <w:rsid w:val="006B7680"/>
    <w:rsid w:val="006C2A40"/>
    <w:rsid w:val="007240DC"/>
    <w:rsid w:val="007537A6"/>
    <w:rsid w:val="007627A1"/>
    <w:rsid w:val="007E0688"/>
    <w:rsid w:val="007F4565"/>
    <w:rsid w:val="0080759A"/>
    <w:rsid w:val="00823679"/>
    <w:rsid w:val="00844AD2"/>
    <w:rsid w:val="00851295"/>
    <w:rsid w:val="00865AF5"/>
    <w:rsid w:val="00886644"/>
    <w:rsid w:val="008B5C55"/>
    <w:rsid w:val="008C319B"/>
    <w:rsid w:val="008D0A03"/>
    <w:rsid w:val="008E0C9F"/>
    <w:rsid w:val="009029FA"/>
    <w:rsid w:val="00915DF3"/>
    <w:rsid w:val="00953664"/>
    <w:rsid w:val="00971E66"/>
    <w:rsid w:val="009B6DF8"/>
    <w:rsid w:val="009E070E"/>
    <w:rsid w:val="009E5025"/>
    <w:rsid w:val="009F536D"/>
    <w:rsid w:val="00A00922"/>
    <w:rsid w:val="00A15526"/>
    <w:rsid w:val="00A42378"/>
    <w:rsid w:val="00A4456F"/>
    <w:rsid w:val="00A823BE"/>
    <w:rsid w:val="00AB38F0"/>
    <w:rsid w:val="00AB7F8C"/>
    <w:rsid w:val="00AC4442"/>
    <w:rsid w:val="00AE72EB"/>
    <w:rsid w:val="00AF4803"/>
    <w:rsid w:val="00B36FF1"/>
    <w:rsid w:val="00B40B4F"/>
    <w:rsid w:val="00B84F42"/>
    <w:rsid w:val="00B86AEA"/>
    <w:rsid w:val="00B909E7"/>
    <w:rsid w:val="00B90E5E"/>
    <w:rsid w:val="00BC01A9"/>
    <w:rsid w:val="00BD7EC3"/>
    <w:rsid w:val="00BE0257"/>
    <w:rsid w:val="00C01495"/>
    <w:rsid w:val="00C70B40"/>
    <w:rsid w:val="00CA3690"/>
    <w:rsid w:val="00CB6B0A"/>
    <w:rsid w:val="00CC4BE8"/>
    <w:rsid w:val="00CD6533"/>
    <w:rsid w:val="00D2613A"/>
    <w:rsid w:val="00D724D3"/>
    <w:rsid w:val="00DC0102"/>
    <w:rsid w:val="00DD2DFC"/>
    <w:rsid w:val="00DF0A79"/>
    <w:rsid w:val="00E03423"/>
    <w:rsid w:val="00E3130A"/>
    <w:rsid w:val="00E572B2"/>
    <w:rsid w:val="00E577F2"/>
    <w:rsid w:val="00EA09B4"/>
    <w:rsid w:val="00EA725D"/>
    <w:rsid w:val="00EC4075"/>
    <w:rsid w:val="00EC42A0"/>
    <w:rsid w:val="00EE6281"/>
    <w:rsid w:val="00EF4B01"/>
    <w:rsid w:val="00F011E0"/>
    <w:rsid w:val="00F1372D"/>
    <w:rsid w:val="00F443A8"/>
    <w:rsid w:val="00F62F96"/>
    <w:rsid w:val="00F75BA8"/>
    <w:rsid w:val="00F777BF"/>
    <w:rsid w:val="00F939B6"/>
    <w:rsid w:val="00FB347C"/>
    <w:rsid w:val="00FC343E"/>
    <w:rsid w:val="00FE0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9E90-D6DA-44F2-A2BD-9C52715E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4163</Words>
  <Characters>24564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2016-05-11T13:34:00Z</cp:lastPrinted>
  <dcterms:created xsi:type="dcterms:W3CDTF">2017-05-05T08:51:00Z</dcterms:created>
  <dcterms:modified xsi:type="dcterms:W3CDTF">2017-05-05T08:51:00Z</dcterms:modified>
</cp:coreProperties>
</file>