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9DAA0" w14:textId="77777777" w:rsidR="00DA72F9" w:rsidRPr="00E60898" w:rsidRDefault="00DA72F9" w:rsidP="00DA72F9">
      <w:pPr>
        <w:jc w:val="center"/>
        <w:rPr>
          <w:b/>
          <w:sz w:val="32"/>
          <w:szCs w:val="32"/>
        </w:rPr>
      </w:pPr>
      <w:r w:rsidRPr="00E60898">
        <w:rPr>
          <w:b/>
          <w:sz w:val="32"/>
          <w:szCs w:val="32"/>
        </w:rPr>
        <w:t>Rámcová smlouva o poskytování oprav a dalších servisních služeb</w:t>
      </w:r>
    </w:p>
    <w:p w14:paraId="5C150EE1" w14:textId="77777777" w:rsidR="00DA72F9" w:rsidRPr="00D04BAC" w:rsidRDefault="00DA72F9" w:rsidP="00DA72F9">
      <w:pPr>
        <w:rPr>
          <w:sz w:val="20"/>
        </w:rPr>
      </w:pPr>
    </w:p>
    <w:p w14:paraId="2EE8B72A" w14:textId="77777777" w:rsidR="00DA72F9" w:rsidRPr="00D04BAC" w:rsidRDefault="00DA72F9" w:rsidP="00DA72F9">
      <w:pPr>
        <w:rPr>
          <w:sz w:val="20"/>
        </w:rPr>
      </w:pPr>
      <w:r w:rsidRPr="00D04BAC">
        <w:rPr>
          <w:sz w:val="20"/>
        </w:rPr>
        <w:t>uz</w:t>
      </w:r>
      <w:r w:rsidR="001F7692">
        <w:rPr>
          <w:sz w:val="20"/>
        </w:rPr>
        <w:t xml:space="preserve">avřená ve smyslu § 2586 a </w:t>
      </w:r>
      <w:proofErr w:type="gramStart"/>
      <w:r w:rsidR="001F7692">
        <w:rPr>
          <w:sz w:val="20"/>
        </w:rPr>
        <w:t xml:space="preserve">násl. </w:t>
      </w:r>
      <w:proofErr w:type="spellStart"/>
      <w:r w:rsidRPr="00D04BAC">
        <w:rPr>
          <w:sz w:val="20"/>
        </w:rPr>
        <w:t>z.č</w:t>
      </w:r>
      <w:proofErr w:type="spellEnd"/>
      <w:r w:rsidRPr="00D04BAC">
        <w:rPr>
          <w:sz w:val="20"/>
        </w:rPr>
        <w:t>.</w:t>
      </w:r>
      <w:proofErr w:type="gramEnd"/>
      <w:r w:rsidRPr="00D04BAC">
        <w:rPr>
          <w:sz w:val="20"/>
        </w:rPr>
        <w:t xml:space="preserve"> 89/2012, občanský zákoník, v platném znění níže uvedeného dne, měsíce a roku mezi:</w:t>
      </w:r>
    </w:p>
    <w:p w14:paraId="751CB1D8" w14:textId="77777777" w:rsidR="00DD08F9" w:rsidRDefault="00DD08F9" w:rsidP="00DA72F9">
      <w:pPr>
        <w:rPr>
          <w:b/>
          <w:sz w:val="24"/>
          <w:szCs w:val="24"/>
        </w:rPr>
      </w:pPr>
    </w:p>
    <w:p w14:paraId="65BE8EC4" w14:textId="77777777" w:rsidR="00DD08F9" w:rsidRDefault="00DD08F9" w:rsidP="00DA72F9">
      <w:pPr>
        <w:rPr>
          <w:b/>
          <w:sz w:val="24"/>
          <w:szCs w:val="24"/>
        </w:rPr>
      </w:pPr>
    </w:p>
    <w:p w14:paraId="72DA6D55" w14:textId="68DF9E08" w:rsidR="00DA72F9" w:rsidRPr="00D04BAC" w:rsidRDefault="00DA72F9" w:rsidP="00DA72F9">
      <w:pPr>
        <w:rPr>
          <w:b/>
          <w:sz w:val="24"/>
          <w:szCs w:val="24"/>
        </w:rPr>
      </w:pPr>
      <w:r w:rsidRPr="00D04BAC">
        <w:rPr>
          <w:b/>
          <w:sz w:val="24"/>
          <w:szCs w:val="24"/>
        </w:rPr>
        <w:t>AUTO IN s.r.o.</w:t>
      </w:r>
    </w:p>
    <w:p w14:paraId="40A14BAB" w14:textId="2C71D1EC" w:rsidR="00DA72F9" w:rsidRPr="00AB44A9" w:rsidRDefault="00DA72F9" w:rsidP="00DA72F9">
      <w:pPr>
        <w:rPr>
          <w:sz w:val="24"/>
          <w:szCs w:val="24"/>
        </w:rPr>
      </w:pPr>
      <w:r w:rsidRPr="00AB44A9">
        <w:rPr>
          <w:sz w:val="24"/>
          <w:szCs w:val="24"/>
        </w:rPr>
        <w:t>se sídlem</w:t>
      </w:r>
      <w:r w:rsidR="002A5E9A" w:rsidRPr="00AB44A9">
        <w:rPr>
          <w:sz w:val="24"/>
          <w:szCs w:val="24"/>
        </w:rPr>
        <w:t>:</w:t>
      </w:r>
      <w:r w:rsidRPr="00AB44A9">
        <w:rPr>
          <w:sz w:val="24"/>
          <w:szCs w:val="24"/>
        </w:rPr>
        <w:t xml:space="preserve"> </w:t>
      </w:r>
      <w:r w:rsidR="002A5E9A" w:rsidRPr="00AB44A9">
        <w:rPr>
          <w:sz w:val="24"/>
          <w:szCs w:val="24"/>
        </w:rPr>
        <w:tab/>
      </w:r>
      <w:r w:rsidR="00D21F7B" w:rsidRPr="00AB44A9">
        <w:rPr>
          <w:sz w:val="24"/>
          <w:szCs w:val="24"/>
        </w:rPr>
        <w:tab/>
      </w:r>
      <w:r w:rsidR="00D539C3">
        <w:rPr>
          <w:sz w:val="24"/>
          <w:szCs w:val="24"/>
        </w:rPr>
        <w:tab/>
      </w:r>
      <w:r w:rsidR="00BD0A67">
        <w:rPr>
          <w:sz w:val="24"/>
          <w:szCs w:val="24"/>
        </w:rPr>
        <w:tab/>
      </w:r>
      <w:r w:rsidRPr="00AB44A9">
        <w:rPr>
          <w:sz w:val="24"/>
          <w:szCs w:val="24"/>
        </w:rPr>
        <w:t>Pardubice, Poděbradská 292, PSČ</w:t>
      </w:r>
      <w:r w:rsidR="001F7692" w:rsidRPr="00AB44A9">
        <w:rPr>
          <w:sz w:val="24"/>
          <w:szCs w:val="24"/>
        </w:rPr>
        <w:t xml:space="preserve"> </w:t>
      </w:r>
      <w:r w:rsidRPr="00AB44A9">
        <w:rPr>
          <w:sz w:val="24"/>
          <w:szCs w:val="24"/>
        </w:rPr>
        <w:t xml:space="preserve"> 530 09</w:t>
      </w:r>
    </w:p>
    <w:p w14:paraId="06E0A748" w14:textId="24CD1858" w:rsidR="00DA72F9" w:rsidRPr="00AB44A9" w:rsidRDefault="00DA72F9" w:rsidP="00DA72F9">
      <w:pPr>
        <w:rPr>
          <w:sz w:val="24"/>
          <w:szCs w:val="24"/>
        </w:rPr>
      </w:pPr>
      <w:r w:rsidRPr="00AB44A9">
        <w:rPr>
          <w:sz w:val="24"/>
          <w:szCs w:val="24"/>
        </w:rPr>
        <w:t>zastoupená jednatel</w:t>
      </w:r>
      <w:r w:rsidR="002A5E9A" w:rsidRPr="00AB44A9">
        <w:rPr>
          <w:sz w:val="24"/>
          <w:szCs w:val="24"/>
        </w:rPr>
        <w:t>i</w:t>
      </w:r>
      <w:r w:rsidRPr="00AB44A9">
        <w:rPr>
          <w:sz w:val="24"/>
          <w:szCs w:val="24"/>
        </w:rPr>
        <w:t xml:space="preserve"> společnosti</w:t>
      </w:r>
      <w:r w:rsidR="00D04BAC" w:rsidRPr="00AB44A9">
        <w:rPr>
          <w:sz w:val="24"/>
          <w:szCs w:val="24"/>
        </w:rPr>
        <w:t xml:space="preserve">: </w:t>
      </w:r>
      <w:r w:rsidR="00BD0A67">
        <w:rPr>
          <w:sz w:val="24"/>
          <w:szCs w:val="24"/>
        </w:rPr>
        <w:tab/>
      </w:r>
      <w:r w:rsidR="00D04BAC" w:rsidRPr="00AB44A9">
        <w:rPr>
          <w:sz w:val="24"/>
          <w:szCs w:val="24"/>
        </w:rPr>
        <w:t>Ing. Milošem Pavlíčkem a Ing. Markem Šimíkem</w:t>
      </w:r>
    </w:p>
    <w:p w14:paraId="737E258F" w14:textId="694FB094" w:rsidR="00DA72F9" w:rsidRPr="00AB44A9" w:rsidRDefault="00DA72F9" w:rsidP="00DA72F9">
      <w:pPr>
        <w:rPr>
          <w:sz w:val="24"/>
          <w:szCs w:val="24"/>
        </w:rPr>
      </w:pPr>
      <w:r w:rsidRPr="00AB44A9">
        <w:rPr>
          <w:sz w:val="24"/>
          <w:szCs w:val="24"/>
        </w:rPr>
        <w:t>IČ</w:t>
      </w:r>
      <w:r w:rsidR="002A5E9A" w:rsidRPr="00AB44A9">
        <w:rPr>
          <w:sz w:val="24"/>
          <w:szCs w:val="24"/>
        </w:rPr>
        <w:t>:</w:t>
      </w:r>
      <w:r w:rsidRPr="00AB44A9">
        <w:rPr>
          <w:sz w:val="24"/>
          <w:szCs w:val="24"/>
        </w:rPr>
        <w:t xml:space="preserve"> </w:t>
      </w:r>
      <w:r w:rsidR="002A5E9A" w:rsidRPr="00AB44A9">
        <w:rPr>
          <w:sz w:val="24"/>
          <w:szCs w:val="24"/>
        </w:rPr>
        <w:tab/>
      </w:r>
      <w:r w:rsidR="0027403C" w:rsidRPr="00AB44A9">
        <w:rPr>
          <w:sz w:val="24"/>
          <w:szCs w:val="24"/>
        </w:rPr>
        <w:tab/>
      </w:r>
      <w:r w:rsidR="0027403C" w:rsidRPr="00AB44A9">
        <w:rPr>
          <w:sz w:val="24"/>
          <w:szCs w:val="24"/>
        </w:rPr>
        <w:tab/>
      </w:r>
      <w:r w:rsidR="00D539C3">
        <w:rPr>
          <w:sz w:val="24"/>
          <w:szCs w:val="24"/>
        </w:rPr>
        <w:tab/>
      </w:r>
      <w:r w:rsidR="00BD0A67">
        <w:rPr>
          <w:sz w:val="24"/>
          <w:szCs w:val="24"/>
        </w:rPr>
        <w:tab/>
      </w:r>
      <w:r w:rsidRPr="00AB44A9">
        <w:rPr>
          <w:sz w:val="24"/>
          <w:szCs w:val="24"/>
        </w:rPr>
        <w:t>25298828</w:t>
      </w:r>
    </w:p>
    <w:p w14:paraId="4973C5D3" w14:textId="707F3DAF" w:rsidR="00DA72F9" w:rsidRPr="00AB44A9" w:rsidRDefault="00DA72F9" w:rsidP="00DA72F9">
      <w:pPr>
        <w:rPr>
          <w:sz w:val="24"/>
          <w:szCs w:val="24"/>
        </w:rPr>
      </w:pPr>
      <w:r w:rsidRPr="00AB44A9">
        <w:rPr>
          <w:sz w:val="24"/>
          <w:szCs w:val="24"/>
        </w:rPr>
        <w:t>DIČ</w:t>
      </w:r>
      <w:r w:rsidR="002A5E9A" w:rsidRPr="00AB44A9">
        <w:rPr>
          <w:sz w:val="24"/>
          <w:szCs w:val="24"/>
        </w:rPr>
        <w:t>:</w:t>
      </w:r>
      <w:r w:rsidRPr="00AB44A9">
        <w:rPr>
          <w:sz w:val="24"/>
          <w:szCs w:val="24"/>
        </w:rPr>
        <w:t xml:space="preserve"> </w:t>
      </w:r>
      <w:r w:rsidR="002A5E9A" w:rsidRPr="00AB44A9">
        <w:rPr>
          <w:sz w:val="24"/>
          <w:szCs w:val="24"/>
        </w:rPr>
        <w:tab/>
      </w:r>
      <w:r w:rsidR="0027403C" w:rsidRPr="00AB44A9">
        <w:rPr>
          <w:sz w:val="24"/>
          <w:szCs w:val="24"/>
        </w:rPr>
        <w:tab/>
      </w:r>
      <w:r w:rsidR="0027403C" w:rsidRPr="00AB44A9">
        <w:rPr>
          <w:sz w:val="24"/>
          <w:szCs w:val="24"/>
        </w:rPr>
        <w:tab/>
      </w:r>
      <w:r w:rsidR="00D539C3">
        <w:rPr>
          <w:sz w:val="24"/>
          <w:szCs w:val="24"/>
        </w:rPr>
        <w:tab/>
      </w:r>
      <w:r w:rsidR="006A5097">
        <w:rPr>
          <w:sz w:val="24"/>
          <w:szCs w:val="24"/>
        </w:rPr>
        <w:tab/>
      </w:r>
      <w:r w:rsidRPr="00AB44A9">
        <w:rPr>
          <w:sz w:val="24"/>
          <w:szCs w:val="24"/>
        </w:rPr>
        <w:t>CZ25298828</w:t>
      </w:r>
    </w:p>
    <w:p w14:paraId="797918A0" w14:textId="5C6E4C85" w:rsidR="00DA72F9" w:rsidRPr="00AB44A9" w:rsidRDefault="00DA72F9" w:rsidP="00DA72F9">
      <w:pPr>
        <w:rPr>
          <w:sz w:val="24"/>
          <w:szCs w:val="24"/>
        </w:rPr>
      </w:pPr>
      <w:r w:rsidRPr="00AB44A9">
        <w:rPr>
          <w:sz w:val="24"/>
          <w:szCs w:val="24"/>
        </w:rPr>
        <w:t>bankovní spojení</w:t>
      </w:r>
      <w:r w:rsidR="0027403C" w:rsidRPr="00AB44A9">
        <w:rPr>
          <w:sz w:val="24"/>
          <w:szCs w:val="24"/>
        </w:rPr>
        <w:t>:</w:t>
      </w:r>
      <w:r w:rsidR="0027403C" w:rsidRPr="00AB44A9">
        <w:rPr>
          <w:sz w:val="24"/>
          <w:szCs w:val="24"/>
        </w:rPr>
        <w:tab/>
      </w:r>
      <w:r w:rsidRPr="00AB44A9">
        <w:rPr>
          <w:sz w:val="24"/>
          <w:szCs w:val="24"/>
        </w:rPr>
        <w:t xml:space="preserve"> </w:t>
      </w:r>
      <w:r w:rsidR="00D539C3">
        <w:rPr>
          <w:sz w:val="24"/>
          <w:szCs w:val="24"/>
        </w:rPr>
        <w:tab/>
      </w:r>
      <w:r w:rsidR="006A5097">
        <w:rPr>
          <w:sz w:val="24"/>
          <w:szCs w:val="24"/>
        </w:rPr>
        <w:tab/>
      </w:r>
      <w:r w:rsidRPr="00AB44A9">
        <w:rPr>
          <w:sz w:val="24"/>
          <w:szCs w:val="24"/>
        </w:rPr>
        <w:t>120 608 9359/0800, Česká spořitelna, a.s.</w:t>
      </w:r>
    </w:p>
    <w:p w14:paraId="1A062406" w14:textId="48CE1374" w:rsidR="00DA72F9" w:rsidRPr="00AB44A9" w:rsidRDefault="008A7E75" w:rsidP="00DA72F9">
      <w:pPr>
        <w:rPr>
          <w:sz w:val="24"/>
          <w:szCs w:val="24"/>
        </w:rPr>
      </w:pPr>
      <w:r w:rsidRPr="00AB44A9">
        <w:rPr>
          <w:sz w:val="24"/>
          <w:szCs w:val="24"/>
        </w:rPr>
        <w:t>www:</w:t>
      </w:r>
      <w:r w:rsidRPr="00AB44A9">
        <w:rPr>
          <w:sz w:val="24"/>
          <w:szCs w:val="24"/>
        </w:rPr>
        <w:tab/>
      </w:r>
      <w:r w:rsidRPr="00AB44A9">
        <w:rPr>
          <w:sz w:val="24"/>
          <w:szCs w:val="24"/>
        </w:rPr>
        <w:tab/>
      </w:r>
      <w:r w:rsidRPr="00AB44A9">
        <w:rPr>
          <w:sz w:val="24"/>
          <w:szCs w:val="24"/>
        </w:rPr>
        <w:tab/>
      </w:r>
      <w:r w:rsidR="00B2039D">
        <w:rPr>
          <w:sz w:val="24"/>
          <w:szCs w:val="24"/>
        </w:rPr>
        <w:tab/>
      </w:r>
      <w:r w:rsidR="006A5097">
        <w:rPr>
          <w:sz w:val="24"/>
          <w:szCs w:val="24"/>
        </w:rPr>
        <w:tab/>
      </w:r>
      <w:hyperlink r:id="rId6" w:history="1">
        <w:r w:rsidR="008A5D66" w:rsidRPr="00D403CC">
          <w:rPr>
            <w:rStyle w:val="Hypertextovodkaz"/>
            <w:sz w:val="24"/>
            <w:szCs w:val="24"/>
          </w:rPr>
          <w:t>www.autoin.cz</w:t>
        </w:r>
      </w:hyperlink>
    </w:p>
    <w:p w14:paraId="5E14C5D6" w14:textId="77777777" w:rsidR="00C6411E" w:rsidRDefault="00C6411E" w:rsidP="00DA72F9">
      <w:pPr>
        <w:rPr>
          <w:sz w:val="24"/>
          <w:szCs w:val="24"/>
        </w:rPr>
      </w:pPr>
    </w:p>
    <w:p w14:paraId="78A0B119" w14:textId="2ECB7124" w:rsidR="00DA72F9" w:rsidRPr="00AB44A9" w:rsidRDefault="00DA72F9" w:rsidP="00DA72F9">
      <w:pPr>
        <w:rPr>
          <w:sz w:val="24"/>
          <w:szCs w:val="24"/>
        </w:rPr>
      </w:pPr>
      <w:r w:rsidRPr="00AB44A9">
        <w:rPr>
          <w:sz w:val="24"/>
          <w:szCs w:val="24"/>
        </w:rPr>
        <w:t xml:space="preserve">(dále jen </w:t>
      </w:r>
      <w:r w:rsidR="00C6411E">
        <w:rPr>
          <w:sz w:val="24"/>
          <w:szCs w:val="24"/>
        </w:rPr>
        <w:t>„</w:t>
      </w:r>
      <w:r w:rsidR="00C6411E" w:rsidRPr="00C6411E">
        <w:rPr>
          <w:b/>
          <w:bCs/>
          <w:sz w:val="24"/>
          <w:szCs w:val="24"/>
        </w:rPr>
        <w:t>Zhotovitel</w:t>
      </w:r>
      <w:r w:rsidR="00C6411E">
        <w:rPr>
          <w:sz w:val="24"/>
          <w:szCs w:val="24"/>
        </w:rPr>
        <w:t>“</w:t>
      </w:r>
      <w:r w:rsidRPr="00AB44A9">
        <w:rPr>
          <w:sz w:val="24"/>
          <w:szCs w:val="24"/>
        </w:rPr>
        <w:t>)</w:t>
      </w:r>
    </w:p>
    <w:p w14:paraId="47B711C1" w14:textId="77777777" w:rsidR="00DA72F9" w:rsidRDefault="00DA72F9" w:rsidP="00DA72F9">
      <w:pPr>
        <w:rPr>
          <w:sz w:val="20"/>
        </w:rPr>
      </w:pPr>
    </w:p>
    <w:p w14:paraId="5530F4C0" w14:textId="77777777" w:rsidR="00AE2AAC" w:rsidRPr="00D04BAC" w:rsidRDefault="00AE2AAC" w:rsidP="00DA72F9">
      <w:pPr>
        <w:rPr>
          <w:sz w:val="20"/>
        </w:rPr>
      </w:pPr>
    </w:p>
    <w:p w14:paraId="522A4935" w14:textId="77777777" w:rsidR="00DA72F9" w:rsidRPr="002A5E9A" w:rsidRDefault="00DA72F9" w:rsidP="00DA72F9">
      <w:r w:rsidRPr="002A5E9A">
        <w:t>a</w:t>
      </w:r>
    </w:p>
    <w:p w14:paraId="3B475FD4" w14:textId="77777777" w:rsidR="00DA72F9" w:rsidRDefault="00DA72F9" w:rsidP="00DA72F9">
      <w:pPr>
        <w:rPr>
          <w:sz w:val="20"/>
        </w:rPr>
      </w:pPr>
    </w:p>
    <w:p w14:paraId="47032483" w14:textId="5C46C887" w:rsidR="00B67BA0" w:rsidRPr="00AB44A9" w:rsidRDefault="007D0F38" w:rsidP="007D0F38">
      <w:pPr>
        <w:pStyle w:val="Default"/>
        <w:rPr>
          <w:rFonts w:asciiTheme="minorHAnsi" w:hAnsiTheme="minorHAnsi" w:cstheme="minorHAnsi"/>
          <w:color w:val="auto"/>
        </w:rPr>
      </w:pPr>
      <w:bookmarkStart w:id="0" w:name="_Hlk109823600"/>
      <w:r w:rsidRPr="007D0F38">
        <w:rPr>
          <w:rStyle w:val="markedcontent"/>
          <w:rFonts w:asciiTheme="minorHAnsi" w:hAnsiTheme="minorHAnsi" w:cstheme="minorHAnsi"/>
          <w:b/>
          <w:bCs/>
        </w:rPr>
        <w:t>Dětský</w:t>
      </w:r>
      <w:r>
        <w:rPr>
          <w:rStyle w:val="markedcontent"/>
          <w:rFonts w:asciiTheme="minorHAnsi" w:hAnsiTheme="minorHAnsi" w:cstheme="minorHAnsi"/>
          <w:b/>
          <w:bCs/>
        </w:rPr>
        <w:t xml:space="preserve"> </w:t>
      </w:r>
      <w:r w:rsidRPr="007D0F38">
        <w:rPr>
          <w:rStyle w:val="markedcontent"/>
          <w:rFonts w:asciiTheme="minorHAnsi" w:hAnsiTheme="minorHAnsi" w:cstheme="minorHAnsi"/>
          <w:b/>
          <w:bCs/>
        </w:rPr>
        <w:t>domov</w:t>
      </w:r>
      <w:r>
        <w:rPr>
          <w:rStyle w:val="markedcontent"/>
          <w:rFonts w:asciiTheme="minorHAnsi" w:hAnsiTheme="minorHAnsi" w:cstheme="minorHAnsi"/>
          <w:b/>
          <w:bCs/>
        </w:rPr>
        <w:t xml:space="preserve"> </w:t>
      </w:r>
      <w:r w:rsidRPr="007D0F38">
        <w:rPr>
          <w:rStyle w:val="markedcontent"/>
          <w:rFonts w:asciiTheme="minorHAnsi" w:hAnsiTheme="minorHAnsi" w:cstheme="minorHAnsi"/>
          <w:b/>
          <w:bCs/>
        </w:rPr>
        <w:t>se</w:t>
      </w:r>
      <w:r>
        <w:rPr>
          <w:rStyle w:val="markedcontent"/>
          <w:rFonts w:asciiTheme="minorHAnsi" w:hAnsiTheme="minorHAnsi" w:cstheme="minorHAnsi"/>
          <w:b/>
          <w:bCs/>
        </w:rPr>
        <w:t xml:space="preserve"> </w:t>
      </w:r>
      <w:r w:rsidRPr="007D0F38">
        <w:rPr>
          <w:rStyle w:val="markedcontent"/>
          <w:rFonts w:asciiTheme="minorHAnsi" w:hAnsiTheme="minorHAnsi" w:cstheme="minorHAnsi"/>
          <w:b/>
          <w:bCs/>
        </w:rPr>
        <w:t>školou,</w:t>
      </w:r>
      <w:r>
        <w:rPr>
          <w:rStyle w:val="markedcontent"/>
          <w:rFonts w:asciiTheme="minorHAnsi" w:hAnsiTheme="minorHAnsi" w:cstheme="minorHAnsi"/>
          <w:b/>
          <w:bCs/>
        </w:rPr>
        <w:t xml:space="preserve"> </w:t>
      </w:r>
      <w:r w:rsidRPr="007D0F38">
        <w:rPr>
          <w:rStyle w:val="markedcontent"/>
          <w:rFonts w:asciiTheme="minorHAnsi" w:hAnsiTheme="minorHAnsi" w:cstheme="minorHAnsi"/>
          <w:b/>
          <w:bCs/>
        </w:rPr>
        <w:t>středisko</w:t>
      </w:r>
      <w:r w:rsidR="000D33B1">
        <w:rPr>
          <w:rFonts w:asciiTheme="minorHAnsi" w:hAnsiTheme="minorHAnsi" w:cstheme="minorHAnsi"/>
          <w:b/>
          <w:bCs/>
        </w:rPr>
        <w:t xml:space="preserve"> </w:t>
      </w:r>
      <w:r w:rsidRPr="007D0F38">
        <w:rPr>
          <w:rStyle w:val="markedcontent"/>
          <w:rFonts w:asciiTheme="minorHAnsi" w:hAnsiTheme="minorHAnsi" w:cstheme="minorHAnsi"/>
          <w:b/>
          <w:bCs/>
        </w:rPr>
        <w:t>výchovné péče a základní škola Sedlec-Prčice</w:t>
      </w:r>
    </w:p>
    <w:p w14:paraId="5E9C7E7E" w14:textId="18FF9DD9" w:rsidR="00B67BA0" w:rsidRPr="00AB44A9" w:rsidRDefault="00B67BA0" w:rsidP="00B67BA0">
      <w:pPr>
        <w:pStyle w:val="Default"/>
        <w:tabs>
          <w:tab w:val="left" w:pos="2410"/>
          <w:tab w:val="left" w:pos="2552"/>
        </w:tabs>
        <w:ind w:left="567" w:hanging="567"/>
        <w:jc w:val="both"/>
        <w:rPr>
          <w:rFonts w:asciiTheme="minorHAnsi" w:hAnsiTheme="minorHAnsi" w:cstheme="minorHAnsi"/>
          <w:color w:val="auto"/>
        </w:rPr>
      </w:pPr>
      <w:r w:rsidRPr="00AB44A9">
        <w:rPr>
          <w:rFonts w:asciiTheme="minorHAnsi" w:hAnsiTheme="minorHAnsi" w:cstheme="minorHAnsi"/>
          <w:color w:val="auto"/>
        </w:rPr>
        <w:t>Se sídlem:</w:t>
      </w:r>
      <w:r w:rsidR="00AB44A9">
        <w:rPr>
          <w:rFonts w:asciiTheme="minorHAnsi" w:hAnsiTheme="minorHAnsi" w:cstheme="minorHAnsi"/>
          <w:color w:val="auto"/>
        </w:rPr>
        <w:tab/>
      </w:r>
      <w:r w:rsidR="0010049D">
        <w:rPr>
          <w:rFonts w:asciiTheme="minorHAnsi" w:hAnsiTheme="minorHAnsi" w:cstheme="minorHAnsi"/>
          <w:color w:val="auto"/>
        </w:rPr>
        <w:tab/>
      </w:r>
      <w:r w:rsidR="0010049D">
        <w:rPr>
          <w:rFonts w:asciiTheme="minorHAnsi" w:hAnsiTheme="minorHAnsi" w:cstheme="minorHAnsi"/>
          <w:color w:val="auto"/>
        </w:rPr>
        <w:tab/>
      </w:r>
      <w:r w:rsidR="0010049D">
        <w:rPr>
          <w:rFonts w:asciiTheme="minorHAnsi" w:hAnsiTheme="minorHAnsi" w:cstheme="minorHAnsi"/>
          <w:color w:val="auto"/>
        </w:rPr>
        <w:tab/>
      </w:r>
      <w:r w:rsidRPr="00AB44A9">
        <w:rPr>
          <w:rFonts w:asciiTheme="minorHAnsi" w:hAnsiTheme="minorHAnsi" w:cstheme="minorHAnsi"/>
          <w:color w:val="auto"/>
        </w:rPr>
        <w:t>Luční 330, 257 91 Sedlec-Prčice</w:t>
      </w:r>
    </w:p>
    <w:p w14:paraId="34AD9DDD" w14:textId="2416132A" w:rsidR="00B67BA0" w:rsidRPr="00AB44A9" w:rsidRDefault="00B67BA0" w:rsidP="00B67BA0">
      <w:pPr>
        <w:tabs>
          <w:tab w:val="left" w:pos="2410"/>
        </w:tabs>
        <w:ind w:left="2410" w:hanging="241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B44A9">
        <w:rPr>
          <w:rFonts w:asciiTheme="minorHAnsi" w:hAnsiTheme="minorHAnsi" w:cstheme="minorHAnsi"/>
          <w:sz w:val="24"/>
          <w:szCs w:val="24"/>
        </w:rPr>
        <w:t xml:space="preserve">Zastoupená:      </w:t>
      </w:r>
      <w:r w:rsidR="00AB44A9">
        <w:rPr>
          <w:rFonts w:asciiTheme="minorHAnsi" w:hAnsiTheme="minorHAnsi" w:cstheme="minorHAnsi"/>
          <w:sz w:val="24"/>
          <w:szCs w:val="24"/>
        </w:rPr>
        <w:tab/>
      </w:r>
      <w:r w:rsidR="0010049D">
        <w:rPr>
          <w:rFonts w:asciiTheme="minorHAnsi" w:hAnsiTheme="minorHAnsi" w:cstheme="minorHAnsi"/>
          <w:sz w:val="24"/>
          <w:szCs w:val="24"/>
        </w:rPr>
        <w:tab/>
      </w:r>
      <w:r w:rsidR="0010049D">
        <w:rPr>
          <w:rFonts w:asciiTheme="minorHAnsi" w:hAnsiTheme="minorHAnsi" w:cstheme="minorHAnsi"/>
          <w:sz w:val="24"/>
          <w:szCs w:val="24"/>
        </w:rPr>
        <w:tab/>
      </w:r>
      <w:r w:rsidRPr="00AB44A9">
        <w:rPr>
          <w:rFonts w:asciiTheme="minorHAnsi" w:hAnsiTheme="minorHAnsi" w:cstheme="minorHAnsi"/>
          <w:sz w:val="24"/>
          <w:szCs w:val="24"/>
        </w:rPr>
        <w:t>Mgr. Stanislavem Urbanem, ředitelem</w:t>
      </w:r>
    </w:p>
    <w:p w14:paraId="038DE4F5" w14:textId="47BEC9B8" w:rsidR="00B67BA0" w:rsidRPr="00AB44A9" w:rsidRDefault="00B67BA0" w:rsidP="00B67BA0">
      <w:pPr>
        <w:pStyle w:val="Default"/>
        <w:tabs>
          <w:tab w:val="left" w:pos="2410"/>
        </w:tabs>
        <w:ind w:left="2552" w:hanging="2552"/>
        <w:jc w:val="both"/>
        <w:rPr>
          <w:rFonts w:asciiTheme="minorHAnsi" w:hAnsiTheme="minorHAnsi" w:cstheme="minorHAnsi"/>
          <w:color w:val="auto"/>
        </w:rPr>
      </w:pPr>
      <w:r w:rsidRPr="00AB44A9">
        <w:rPr>
          <w:rFonts w:asciiTheme="minorHAnsi" w:hAnsiTheme="minorHAnsi" w:cstheme="minorHAnsi"/>
          <w:color w:val="auto"/>
        </w:rPr>
        <w:t xml:space="preserve">IČO:                         </w:t>
      </w:r>
      <w:r w:rsidRPr="00AB44A9">
        <w:rPr>
          <w:rFonts w:asciiTheme="minorHAnsi" w:hAnsiTheme="minorHAnsi" w:cstheme="minorHAnsi"/>
          <w:color w:val="auto"/>
        </w:rPr>
        <w:tab/>
      </w:r>
      <w:r w:rsidR="0010049D">
        <w:rPr>
          <w:rFonts w:asciiTheme="minorHAnsi" w:hAnsiTheme="minorHAnsi" w:cstheme="minorHAnsi"/>
          <w:color w:val="auto"/>
        </w:rPr>
        <w:tab/>
      </w:r>
      <w:r w:rsidR="0010049D">
        <w:rPr>
          <w:rFonts w:asciiTheme="minorHAnsi" w:hAnsiTheme="minorHAnsi" w:cstheme="minorHAnsi"/>
          <w:color w:val="auto"/>
        </w:rPr>
        <w:tab/>
      </w:r>
      <w:r w:rsidR="0010049D">
        <w:rPr>
          <w:rFonts w:asciiTheme="minorHAnsi" w:hAnsiTheme="minorHAnsi" w:cstheme="minorHAnsi"/>
          <w:color w:val="auto"/>
        </w:rPr>
        <w:tab/>
      </w:r>
      <w:r w:rsidRPr="00AB44A9">
        <w:rPr>
          <w:rFonts w:asciiTheme="minorHAnsi" w:hAnsiTheme="minorHAnsi" w:cstheme="minorHAnsi"/>
          <w:color w:val="auto"/>
        </w:rPr>
        <w:t xml:space="preserve">61660116 </w:t>
      </w:r>
    </w:p>
    <w:p w14:paraId="75952AEC" w14:textId="43BEECA7" w:rsidR="00B67BA0" w:rsidRPr="00AB44A9" w:rsidRDefault="00B67BA0" w:rsidP="00B67BA0">
      <w:pPr>
        <w:pStyle w:val="Default"/>
        <w:ind w:left="2410" w:hanging="2410"/>
        <w:jc w:val="both"/>
        <w:rPr>
          <w:rFonts w:asciiTheme="minorHAnsi" w:hAnsiTheme="minorHAnsi" w:cstheme="minorHAnsi"/>
          <w:color w:val="auto"/>
        </w:rPr>
      </w:pPr>
      <w:r w:rsidRPr="00AB44A9">
        <w:rPr>
          <w:rFonts w:asciiTheme="minorHAnsi" w:hAnsiTheme="minorHAnsi" w:cstheme="minorHAnsi"/>
          <w:color w:val="auto"/>
        </w:rPr>
        <w:t xml:space="preserve">Bankovní spojení:          </w:t>
      </w:r>
      <w:r w:rsidR="00746BDC">
        <w:rPr>
          <w:rFonts w:asciiTheme="minorHAnsi" w:hAnsiTheme="minorHAnsi" w:cstheme="minorHAnsi"/>
          <w:color w:val="auto"/>
        </w:rPr>
        <w:tab/>
      </w:r>
      <w:r w:rsidR="0010049D">
        <w:rPr>
          <w:rFonts w:asciiTheme="minorHAnsi" w:hAnsiTheme="minorHAnsi" w:cstheme="minorHAnsi"/>
          <w:color w:val="auto"/>
        </w:rPr>
        <w:tab/>
      </w:r>
      <w:r w:rsidR="0010049D">
        <w:rPr>
          <w:rFonts w:asciiTheme="minorHAnsi" w:hAnsiTheme="minorHAnsi" w:cstheme="minorHAnsi"/>
          <w:color w:val="auto"/>
        </w:rPr>
        <w:tab/>
      </w:r>
      <w:r w:rsidRPr="00AB44A9">
        <w:rPr>
          <w:rFonts w:asciiTheme="minorHAnsi" w:hAnsiTheme="minorHAnsi" w:cstheme="minorHAnsi"/>
          <w:color w:val="auto"/>
        </w:rPr>
        <w:t>ČS a.s., pobočka Sedlec-Prčice</w:t>
      </w:r>
    </w:p>
    <w:p w14:paraId="769C881B" w14:textId="4ED8E952" w:rsidR="00B67BA0" w:rsidRPr="00AB44A9" w:rsidRDefault="00B67BA0" w:rsidP="00B67BA0">
      <w:pPr>
        <w:pStyle w:val="Default"/>
        <w:ind w:left="2410" w:hanging="2410"/>
        <w:jc w:val="both"/>
        <w:rPr>
          <w:rFonts w:asciiTheme="minorHAnsi" w:hAnsiTheme="minorHAnsi" w:cstheme="minorHAnsi"/>
          <w:color w:val="auto"/>
        </w:rPr>
      </w:pPr>
      <w:r w:rsidRPr="00AB44A9">
        <w:rPr>
          <w:rFonts w:asciiTheme="minorHAnsi" w:hAnsiTheme="minorHAnsi" w:cstheme="minorHAnsi"/>
          <w:color w:val="auto"/>
        </w:rPr>
        <w:t xml:space="preserve">Číslo účtu:                      </w:t>
      </w:r>
      <w:r w:rsidR="00746BDC">
        <w:rPr>
          <w:rFonts w:asciiTheme="minorHAnsi" w:hAnsiTheme="minorHAnsi" w:cstheme="minorHAnsi"/>
          <w:color w:val="auto"/>
        </w:rPr>
        <w:tab/>
      </w:r>
      <w:r w:rsidR="0010049D">
        <w:rPr>
          <w:rFonts w:asciiTheme="minorHAnsi" w:hAnsiTheme="minorHAnsi" w:cstheme="minorHAnsi"/>
          <w:color w:val="auto"/>
        </w:rPr>
        <w:tab/>
      </w:r>
      <w:r w:rsidR="0010049D">
        <w:rPr>
          <w:rFonts w:asciiTheme="minorHAnsi" w:hAnsiTheme="minorHAnsi" w:cstheme="minorHAnsi"/>
          <w:color w:val="auto"/>
        </w:rPr>
        <w:tab/>
      </w:r>
      <w:r w:rsidRPr="00AB44A9">
        <w:rPr>
          <w:rFonts w:asciiTheme="minorHAnsi" w:hAnsiTheme="minorHAnsi" w:cstheme="minorHAnsi"/>
          <w:color w:val="auto"/>
        </w:rPr>
        <w:t xml:space="preserve">322 104 339/0800 </w:t>
      </w:r>
    </w:p>
    <w:bookmarkEnd w:id="0"/>
    <w:p w14:paraId="6E1E750F" w14:textId="77777777" w:rsidR="00B67BA0" w:rsidRPr="00AB44A9" w:rsidRDefault="00B67BA0" w:rsidP="00B67BA0">
      <w:pPr>
        <w:pStyle w:val="Default"/>
        <w:spacing w:before="240"/>
        <w:jc w:val="both"/>
        <w:rPr>
          <w:rFonts w:asciiTheme="minorHAnsi" w:hAnsiTheme="minorHAnsi" w:cstheme="minorHAnsi"/>
          <w:color w:val="auto"/>
        </w:rPr>
      </w:pPr>
      <w:r w:rsidRPr="00AB44A9">
        <w:rPr>
          <w:rFonts w:asciiTheme="minorHAnsi" w:hAnsiTheme="minorHAnsi" w:cstheme="minorHAnsi"/>
          <w:color w:val="auto"/>
        </w:rPr>
        <w:t>(dále jen „</w:t>
      </w:r>
      <w:r w:rsidRPr="00AB44A9">
        <w:rPr>
          <w:rFonts w:asciiTheme="minorHAnsi" w:hAnsiTheme="minorHAnsi" w:cstheme="minorHAnsi"/>
          <w:b/>
          <w:color w:val="auto"/>
        </w:rPr>
        <w:t>Objednatel</w:t>
      </w:r>
      <w:r w:rsidRPr="00AB44A9">
        <w:rPr>
          <w:rFonts w:asciiTheme="minorHAnsi" w:hAnsiTheme="minorHAnsi" w:cstheme="minorHAnsi"/>
          <w:color w:val="auto"/>
        </w:rPr>
        <w:t xml:space="preserve">“) </w:t>
      </w:r>
    </w:p>
    <w:p w14:paraId="69646AE5" w14:textId="77777777" w:rsidR="00DA72F9" w:rsidRPr="002A5E9A" w:rsidRDefault="00DA72F9" w:rsidP="00DA72F9"/>
    <w:p w14:paraId="218EBB36" w14:textId="1169E1A9" w:rsidR="00DA31F3" w:rsidRDefault="00DA72F9" w:rsidP="00A214A1">
      <w:r w:rsidRPr="002A5E9A">
        <w:t>takto:</w:t>
      </w:r>
    </w:p>
    <w:p w14:paraId="2C0419CB" w14:textId="6CCD7858" w:rsidR="00DA72F9" w:rsidRPr="00A44DF6" w:rsidRDefault="00DA72F9" w:rsidP="00DA72F9">
      <w:pPr>
        <w:jc w:val="center"/>
      </w:pPr>
      <w:r w:rsidRPr="00A44DF6">
        <w:t>I.</w:t>
      </w:r>
    </w:p>
    <w:p w14:paraId="345E4F32" w14:textId="77777777" w:rsidR="00DA72F9" w:rsidRPr="00A44DF6" w:rsidRDefault="00DA72F9" w:rsidP="00DA72F9">
      <w:pPr>
        <w:jc w:val="center"/>
      </w:pPr>
      <w:r w:rsidRPr="00A44DF6">
        <w:t>Předmět smlouvy</w:t>
      </w:r>
    </w:p>
    <w:p w14:paraId="211111D3" w14:textId="77777777" w:rsidR="00DA72F9" w:rsidRPr="00A44DF6" w:rsidRDefault="00DA72F9" w:rsidP="0027403C">
      <w:pPr>
        <w:jc w:val="both"/>
      </w:pPr>
    </w:p>
    <w:p w14:paraId="26E58B45" w14:textId="40F2A5F4" w:rsidR="00DA72F9" w:rsidRPr="00A44DF6" w:rsidRDefault="00DA72F9" w:rsidP="0027403C">
      <w:pPr>
        <w:numPr>
          <w:ilvl w:val="0"/>
          <w:numId w:val="2"/>
        </w:numPr>
        <w:jc w:val="both"/>
      </w:pPr>
      <w:r w:rsidRPr="00A44DF6">
        <w:t xml:space="preserve">Zhotovitel je autorizovaným partnerem </w:t>
      </w:r>
      <w:r w:rsidR="00AB0E6E">
        <w:t xml:space="preserve">pro </w:t>
      </w:r>
      <w:r w:rsidR="0027403C">
        <w:t xml:space="preserve">servis vozidel značky FORD, </w:t>
      </w:r>
      <w:r w:rsidR="00AB0E6E">
        <w:t>VOLVO, HYUNDAI</w:t>
      </w:r>
      <w:r w:rsidR="00124ACA">
        <w:t xml:space="preserve"> a</w:t>
      </w:r>
      <w:r w:rsidR="00AB0E6E">
        <w:t xml:space="preserve"> </w:t>
      </w:r>
      <w:r w:rsidR="0027403C">
        <w:t>ŠKODA.</w:t>
      </w:r>
    </w:p>
    <w:p w14:paraId="0627B59F" w14:textId="77777777" w:rsidR="0063283D" w:rsidRDefault="0063283D" w:rsidP="0063283D">
      <w:pPr>
        <w:ind w:left="720"/>
        <w:jc w:val="both"/>
      </w:pPr>
    </w:p>
    <w:p w14:paraId="4F1C91B5" w14:textId="3C6F538D" w:rsidR="00DA72F9" w:rsidRDefault="00DA72F9" w:rsidP="0027403C">
      <w:pPr>
        <w:numPr>
          <w:ilvl w:val="0"/>
          <w:numId w:val="2"/>
        </w:numPr>
        <w:jc w:val="both"/>
      </w:pPr>
      <w:r w:rsidRPr="00A44DF6">
        <w:t xml:space="preserve">Tato smlouva upravuje některá práva a povinnosti mezi objednatelem a zhotovitelem v rámci provádění běžných servisních prohlídek, údržby, mechanických a karosářských oprav vozidel v autorizovaném servisním středisku v provozovnách zhotovitele (dále také jen „servisní služba“). </w:t>
      </w:r>
    </w:p>
    <w:p w14:paraId="15E52A4F" w14:textId="77777777" w:rsidR="0063283D" w:rsidRPr="00A44DF6" w:rsidRDefault="0063283D" w:rsidP="0063283D">
      <w:pPr>
        <w:ind w:left="720"/>
        <w:jc w:val="both"/>
      </w:pPr>
    </w:p>
    <w:p w14:paraId="366A37A9" w14:textId="501AECCC" w:rsidR="00AE2AAC" w:rsidRPr="00A44DF6" w:rsidRDefault="00DA72F9" w:rsidP="0027403C">
      <w:pPr>
        <w:numPr>
          <w:ilvl w:val="0"/>
          <w:numId w:val="2"/>
        </w:numPr>
        <w:jc w:val="both"/>
      </w:pPr>
      <w:r w:rsidRPr="00A44DF6">
        <w:t xml:space="preserve">Zhotovitel se zavazuje pro objednatele po dobu účinnosti této smlouvy provádět běžné servisní prohlídky, údržbu, mechanické a karosářské opravy vozidel </w:t>
      </w:r>
      <w:r w:rsidR="0027403C">
        <w:t>objednatele</w:t>
      </w:r>
      <w:r w:rsidR="00F27D42">
        <w:t xml:space="preserve"> dle standardů uvedených výrobců, předpisů pro opravy, dle legislativních požadavků ČR a dle dohody s</w:t>
      </w:r>
      <w:r w:rsidR="006D0ADB">
        <w:t> </w:t>
      </w:r>
      <w:r w:rsidR="00F27D42">
        <w:t>objednatelem</w:t>
      </w:r>
      <w:r w:rsidR="006D0ADB">
        <w:t xml:space="preserve"> tak, aby nedošlo k ohrožení záručních podmínek, popř. mobility vozidla</w:t>
      </w:r>
      <w:r w:rsidRPr="00A44DF6">
        <w:t>.</w:t>
      </w:r>
      <w:r w:rsidR="00AB66CC">
        <w:t xml:space="preserve"> Současně dohlížet na ekonomiku oprav ve vztahu k provozu vozidla.</w:t>
      </w:r>
    </w:p>
    <w:p w14:paraId="5EC76887" w14:textId="77777777" w:rsidR="00871F7F" w:rsidRDefault="00871F7F" w:rsidP="00DA72F9">
      <w:pPr>
        <w:jc w:val="center"/>
      </w:pPr>
    </w:p>
    <w:p w14:paraId="23E6126E" w14:textId="1F41AB72" w:rsidR="00DA72F9" w:rsidRPr="00A44DF6" w:rsidRDefault="00871F7F" w:rsidP="00DA72F9">
      <w:pPr>
        <w:jc w:val="center"/>
      </w:pPr>
      <w:r>
        <w:t>II.</w:t>
      </w:r>
    </w:p>
    <w:p w14:paraId="47F811CD" w14:textId="57F3EB62" w:rsidR="00DA72F9" w:rsidRPr="00A44DF6" w:rsidRDefault="00DA72F9" w:rsidP="00AC7D18">
      <w:pPr>
        <w:jc w:val="center"/>
      </w:pPr>
      <w:r w:rsidRPr="00A44DF6">
        <w:t>Některá ujednání k jednotlivým smlouvám o dílo</w:t>
      </w:r>
    </w:p>
    <w:p w14:paraId="63721AFC" w14:textId="4D116FAF" w:rsidR="00E70863" w:rsidRPr="00A44DF6" w:rsidRDefault="00F27D42" w:rsidP="00E70863">
      <w:pPr>
        <w:numPr>
          <w:ilvl w:val="0"/>
          <w:numId w:val="1"/>
        </w:numPr>
        <w:jc w:val="both"/>
      </w:pPr>
      <w:r>
        <w:t>Z</w:t>
      </w:r>
      <w:r w:rsidRPr="00A44DF6">
        <w:t xml:space="preserve">a objednatele je oprávněn objednat </w:t>
      </w:r>
      <w:r>
        <w:t xml:space="preserve">opravu </w:t>
      </w:r>
      <w:r w:rsidRPr="00A44DF6">
        <w:t xml:space="preserve">statutární orgán, zaměstnanec objednatele či jiná osoba objednatelem k tomu zmocněná či pověřená. </w:t>
      </w:r>
      <w:r w:rsidR="00C20A27">
        <w:t xml:space="preserve">Termín může být objednán telefonicky nebo el. </w:t>
      </w:r>
      <w:proofErr w:type="gramStart"/>
      <w:r w:rsidR="00C20A27">
        <w:t>poštou</w:t>
      </w:r>
      <w:proofErr w:type="gramEnd"/>
      <w:r w:rsidR="00C20A27">
        <w:t xml:space="preserve">.  </w:t>
      </w:r>
      <w:r>
        <w:t>Požadavky na opravu budou sepsány ve smlouvě o dílo (dále jen zakázka).</w:t>
      </w:r>
    </w:p>
    <w:p w14:paraId="46167B4E" w14:textId="77777777" w:rsidR="00DA72F9" w:rsidRDefault="00DA72F9" w:rsidP="0027403C">
      <w:pPr>
        <w:numPr>
          <w:ilvl w:val="0"/>
          <w:numId w:val="1"/>
        </w:numPr>
        <w:jc w:val="both"/>
      </w:pPr>
      <w:r w:rsidRPr="00A44DF6">
        <w:lastRenderedPageBreak/>
        <w:t xml:space="preserve">Cena za zakázku bude stanovena podle ceníku zhotovitele pro práce, materiál a náhradní díly </w:t>
      </w:r>
      <w:r w:rsidR="00F27D42">
        <w:t xml:space="preserve">výrobce </w:t>
      </w:r>
      <w:r w:rsidRPr="00A44DF6">
        <w:t xml:space="preserve">(dále jen </w:t>
      </w:r>
      <w:r w:rsidR="002A5E9A" w:rsidRPr="00A44DF6">
        <w:t xml:space="preserve">„ND“) platného ke dni uzavření </w:t>
      </w:r>
      <w:r w:rsidRPr="00A44DF6">
        <w:t xml:space="preserve">jednotlivé </w:t>
      </w:r>
      <w:r w:rsidR="00F27D42">
        <w:t>zakázky</w:t>
      </w:r>
      <w:r w:rsidRPr="00A44DF6">
        <w:t xml:space="preserve"> podle skutečně provedených </w:t>
      </w:r>
      <w:r w:rsidR="00F27D42">
        <w:t>prací a dodaného materiálu a ND</w:t>
      </w:r>
      <w:r w:rsidRPr="00A44DF6">
        <w:t>.</w:t>
      </w:r>
    </w:p>
    <w:p w14:paraId="678536C6" w14:textId="77777777" w:rsidR="00AE2AAC" w:rsidRPr="00A44DF6" w:rsidRDefault="00AE2AAC" w:rsidP="00AE2AAC">
      <w:pPr>
        <w:ind w:left="720"/>
        <w:jc w:val="both"/>
      </w:pPr>
    </w:p>
    <w:p w14:paraId="7C934928" w14:textId="77777777" w:rsidR="00DA72F9" w:rsidRDefault="00DA72F9" w:rsidP="006D5E18">
      <w:pPr>
        <w:numPr>
          <w:ilvl w:val="0"/>
          <w:numId w:val="1"/>
        </w:numPr>
        <w:jc w:val="both"/>
      </w:pPr>
      <w:r w:rsidRPr="00A44DF6">
        <w:t xml:space="preserve">Ceník </w:t>
      </w:r>
      <w:r w:rsidR="009D1C07">
        <w:t>ND</w:t>
      </w:r>
      <w:r w:rsidR="006D5E18">
        <w:t xml:space="preserve"> </w:t>
      </w:r>
      <w:r w:rsidRPr="00A44DF6">
        <w:t>je k </w:t>
      </w:r>
      <w:r w:rsidR="006D5E18">
        <w:t>dispozici</w:t>
      </w:r>
      <w:r w:rsidRPr="00A44DF6">
        <w:t xml:space="preserve"> na každé provozovně zhotovitele</w:t>
      </w:r>
      <w:r w:rsidR="009D1C07">
        <w:t xml:space="preserve"> prostřednictvím </w:t>
      </w:r>
      <w:r w:rsidR="00883FAE">
        <w:t xml:space="preserve">elektronického </w:t>
      </w:r>
      <w:r w:rsidR="009D1C07">
        <w:t>katalogu ND</w:t>
      </w:r>
      <w:r w:rsidRPr="00A44DF6">
        <w:t>.</w:t>
      </w:r>
      <w:r w:rsidR="009D1C07">
        <w:t xml:space="preserve"> </w:t>
      </w:r>
      <w:r w:rsidRPr="00A44DF6">
        <w:t xml:space="preserve"> </w:t>
      </w:r>
      <w:r w:rsidR="009D1C07">
        <w:t xml:space="preserve">Ceny stanovuje </w:t>
      </w:r>
      <w:r w:rsidR="006D5E18">
        <w:t>výrobce</w:t>
      </w:r>
      <w:r w:rsidR="009D1C07">
        <w:t>, vyhrazuje si právo změn, takže není možné tyto uvést jako přílohu smlouvy.</w:t>
      </w:r>
      <w:r w:rsidR="002D6114">
        <w:t xml:space="preserve"> Zhotovitel se zavazuje dodržovat cenovou politiku </w:t>
      </w:r>
      <w:r w:rsidR="00081E74">
        <w:t xml:space="preserve">ND </w:t>
      </w:r>
      <w:r w:rsidR="002D6114">
        <w:t>výrobce</w:t>
      </w:r>
      <w:r w:rsidR="00081E74">
        <w:t>.</w:t>
      </w:r>
    </w:p>
    <w:p w14:paraId="396A6DB5" w14:textId="77777777" w:rsidR="006D5E18" w:rsidRDefault="006D5E18" w:rsidP="0027403C">
      <w:pPr>
        <w:ind w:left="720"/>
        <w:jc w:val="both"/>
      </w:pPr>
    </w:p>
    <w:p w14:paraId="42FF7B11" w14:textId="270A00F5" w:rsidR="008478D8" w:rsidRDefault="00E30D2E" w:rsidP="0027403C">
      <w:pPr>
        <w:ind w:left="720"/>
        <w:jc w:val="both"/>
      </w:pPr>
      <w:r>
        <w:t xml:space="preserve">Zhotovitel se zavazuje </w:t>
      </w:r>
      <w:r w:rsidR="007F654A">
        <w:t xml:space="preserve">poskytnout </w:t>
      </w:r>
      <w:r w:rsidR="007F654A" w:rsidRPr="005D3209">
        <w:rPr>
          <w:u w:val="single"/>
        </w:rPr>
        <w:t xml:space="preserve">z cen </w:t>
      </w:r>
      <w:r w:rsidR="006A5B61">
        <w:rPr>
          <w:u w:val="single"/>
        </w:rPr>
        <w:t xml:space="preserve">originálních </w:t>
      </w:r>
      <w:r w:rsidR="007F654A" w:rsidRPr="005D3209">
        <w:rPr>
          <w:u w:val="single"/>
        </w:rPr>
        <w:t xml:space="preserve">ND </w:t>
      </w:r>
      <w:r w:rsidR="00E70863">
        <w:rPr>
          <w:u w:val="single"/>
        </w:rPr>
        <w:t xml:space="preserve">a dalších níže uvedených položek, </w:t>
      </w:r>
      <w:r w:rsidR="007F654A" w:rsidRPr="005D3209">
        <w:rPr>
          <w:u w:val="single"/>
        </w:rPr>
        <w:t>slevy v této struktuře</w:t>
      </w:r>
      <w:r w:rsidR="007F654A">
        <w:t>:</w:t>
      </w:r>
    </w:p>
    <w:p w14:paraId="5E210B7F" w14:textId="77777777" w:rsidR="00AE2AAC" w:rsidRDefault="00AE2AAC" w:rsidP="0027403C">
      <w:pPr>
        <w:ind w:left="720"/>
        <w:jc w:val="both"/>
      </w:pPr>
    </w:p>
    <w:p w14:paraId="34C2FC8D" w14:textId="1DE45863" w:rsidR="007F654A" w:rsidRPr="00BC6F84" w:rsidRDefault="008478D8" w:rsidP="0027403C">
      <w:pPr>
        <w:ind w:left="720"/>
        <w:jc w:val="both"/>
      </w:pPr>
      <w:r>
        <w:t>Originální ND</w:t>
      </w:r>
      <w:r w:rsidR="00E63EE3">
        <w:t xml:space="preserve"> zn. FORD</w:t>
      </w:r>
      <w:r w:rsidR="007F654A">
        <w:t xml:space="preserve">: </w:t>
      </w:r>
      <w:r w:rsidR="007F654A">
        <w:tab/>
      </w:r>
      <w:r w:rsidR="007F654A">
        <w:tab/>
      </w:r>
      <w:r w:rsidR="007F654A">
        <w:tab/>
      </w:r>
      <w:r w:rsidR="00883FAE">
        <w:tab/>
      </w:r>
      <w:r w:rsidR="006A5B61">
        <w:tab/>
      </w:r>
      <w:r w:rsidR="007F654A">
        <w:t xml:space="preserve">sleva </w:t>
      </w:r>
      <w:r>
        <w:t xml:space="preserve">  </w:t>
      </w:r>
      <w:r w:rsidR="00E63EE3">
        <w:tab/>
      </w:r>
      <w:proofErr w:type="spellStart"/>
      <w:r w:rsidR="00732527">
        <w:t>xx</w:t>
      </w:r>
      <w:proofErr w:type="spellEnd"/>
      <w:r w:rsidR="004A6541" w:rsidRPr="00BC6F84">
        <w:t xml:space="preserve"> %</w:t>
      </w:r>
      <w:r w:rsidRPr="00BC6F84">
        <w:t xml:space="preserve">   </w:t>
      </w:r>
    </w:p>
    <w:p w14:paraId="64ADFAED" w14:textId="27469367" w:rsidR="00E63EE3" w:rsidRPr="00BC6F84" w:rsidRDefault="00E63EE3" w:rsidP="00E63EE3">
      <w:pPr>
        <w:ind w:left="720"/>
        <w:jc w:val="both"/>
      </w:pPr>
      <w:r w:rsidRPr="00BC6F84">
        <w:t xml:space="preserve">Ostatní neoriginální ND: </w:t>
      </w:r>
      <w:r w:rsidRPr="00BC6F84">
        <w:tab/>
      </w:r>
      <w:r w:rsidRPr="00BC6F84">
        <w:tab/>
      </w:r>
      <w:r w:rsidRPr="00BC6F84">
        <w:tab/>
      </w:r>
      <w:r w:rsidRPr="00BC6F84">
        <w:tab/>
      </w:r>
      <w:r w:rsidRPr="00BC6F84">
        <w:tab/>
      </w:r>
      <w:proofErr w:type="gramStart"/>
      <w:r w:rsidRPr="00BC6F84">
        <w:t xml:space="preserve">sleva     </w:t>
      </w:r>
      <w:proofErr w:type="spellStart"/>
      <w:r w:rsidR="00732527">
        <w:t>xx</w:t>
      </w:r>
      <w:proofErr w:type="spellEnd"/>
      <w:proofErr w:type="gramEnd"/>
      <w:r w:rsidR="00732527">
        <w:t xml:space="preserve"> </w:t>
      </w:r>
      <w:r w:rsidRPr="00BC6F84">
        <w:t>%</w:t>
      </w:r>
    </w:p>
    <w:p w14:paraId="2F682897" w14:textId="5E7AD4A0" w:rsidR="00B47024" w:rsidRDefault="004A6541" w:rsidP="0027403C">
      <w:pPr>
        <w:ind w:left="720"/>
        <w:jc w:val="both"/>
      </w:pPr>
      <w:r w:rsidRPr="00BC6F84">
        <w:t>Ostatní materiál a příslušenství:</w:t>
      </w:r>
      <w:r w:rsidRPr="00BC6F84">
        <w:tab/>
      </w:r>
      <w:r w:rsidRPr="00BC6F84">
        <w:tab/>
      </w:r>
      <w:r w:rsidR="00E63EE3" w:rsidRPr="00BC6F84">
        <w:tab/>
      </w:r>
      <w:r w:rsidR="00E63EE3" w:rsidRPr="00BC6F84">
        <w:tab/>
      </w:r>
      <w:r w:rsidRPr="00BC6F84">
        <w:t xml:space="preserve">sleva   </w:t>
      </w:r>
      <w:r w:rsidR="00E63EE3" w:rsidRPr="00BC6F84">
        <w:tab/>
      </w:r>
      <w:proofErr w:type="spellStart"/>
      <w:r w:rsidR="00732527">
        <w:t>xx</w:t>
      </w:r>
      <w:proofErr w:type="spellEnd"/>
      <w:r w:rsidRPr="00BC6F84">
        <w:t xml:space="preserve"> %</w:t>
      </w:r>
      <w:r w:rsidR="00B47024">
        <w:tab/>
      </w:r>
      <w:r w:rsidR="00B47024">
        <w:tab/>
      </w:r>
      <w:r w:rsidR="00B47024">
        <w:tab/>
      </w:r>
      <w:r w:rsidR="00B47024">
        <w:tab/>
      </w:r>
      <w:r w:rsidR="00C4456A">
        <w:t xml:space="preserve"> </w:t>
      </w:r>
    </w:p>
    <w:p w14:paraId="762F9F6B" w14:textId="77777777" w:rsidR="00E91A87" w:rsidRDefault="00E30D2E" w:rsidP="0027403C">
      <w:pPr>
        <w:ind w:left="720"/>
        <w:jc w:val="both"/>
      </w:pPr>
      <w:r w:rsidRPr="005D3209">
        <w:rPr>
          <w:u w:val="single"/>
        </w:rPr>
        <w:t>Ceník práce</w:t>
      </w:r>
      <w:r>
        <w:t xml:space="preserve"> </w:t>
      </w:r>
      <w:r w:rsidR="001D495D">
        <w:t xml:space="preserve">dle struktury modelů a kategorie úkonů </w:t>
      </w:r>
      <w:r>
        <w:t xml:space="preserve">je </w:t>
      </w:r>
      <w:r w:rsidR="001D495D">
        <w:t>k dispozici na každé provozovně</w:t>
      </w:r>
      <w:r w:rsidR="007F654A">
        <w:t xml:space="preserve">. </w:t>
      </w:r>
    </w:p>
    <w:p w14:paraId="5668A14A" w14:textId="727FC6A8" w:rsidR="00E91A87" w:rsidRDefault="00E91A87" w:rsidP="0027403C">
      <w:pPr>
        <w:ind w:left="720"/>
        <w:jc w:val="both"/>
      </w:pPr>
      <w:r>
        <w:t xml:space="preserve">Konkrétní ceny k vašemu vozovému parku – </w:t>
      </w:r>
      <w:proofErr w:type="gramStart"/>
      <w:r>
        <w:t>viz. příloha</w:t>
      </w:r>
      <w:proofErr w:type="gramEnd"/>
      <w:r>
        <w:t xml:space="preserve"> č.</w:t>
      </w:r>
      <w:r w:rsidR="00AF3681">
        <w:t xml:space="preserve"> 3:</w:t>
      </w:r>
    </w:p>
    <w:p w14:paraId="4FC30308" w14:textId="394CA317" w:rsidR="007D0F38" w:rsidRPr="007D0F38" w:rsidRDefault="007D0F38" w:rsidP="00B934D1">
      <w:pPr>
        <w:spacing w:before="100" w:beforeAutospacing="1" w:after="100" w:afterAutospacing="1"/>
        <w:ind w:left="708"/>
        <w:rPr>
          <w:rFonts w:asciiTheme="minorHAnsi" w:hAnsiTheme="minorHAnsi" w:cstheme="minorHAnsi"/>
        </w:rPr>
      </w:pPr>
      <w:r w:rsidRPr="007D0F38">
        <w:rPr>
          <w:rFonts w:asciiTheme="minorHAnsi" w:hAnsiTheme="minorHAnsi" w:cstheme="minorHAnsi"/>
        </w:rPr>
        <w:t>Práce-mech. malé (</w:t>
      </w:r>
      <w:proofErr w:type="spellStart"/>
      <w:r w:rsidRPr="007D0F38">
        <w:rPr>
          <w:rFonts w:asciiTheme="minorHAnsi" w:hAnsiTheme="minorHAnsi" w:cstheme="minorHAnsi"/>
        </w:rPr>
        <w:t>Ka</w:t>
      </w:r>
      <w:proofErr w:type="spellEnd"/>
      <w:r w:rsidRPr="007D0F38">
        <w:rPr>
          <w:rFonts w:asciiTheme="minorHAnsi" w:hAnsiTheme="minorHAnsi" w:cstheme="minorHAnsi"/>
        </w:rPr>
        <w:t>+,</w:t>
      </w:r>
      <w:proofErr w:type="spellStart"/>
      <w:r w:rsidRPr="007D0F38">
        <w:rPr>
          <w:rFonts w:asciiTheme="minorHAnsi" w:hAnsiTheme="minorHAnsi" w:cstheme="minorHAnsi"/>
        </w:rPr>
        <w:t>Fie,B-M,EcoSport</w:t>
      </w:r>
      <w:proofErr w:type="spellEnd"/>
      <w:r w:rsidRPr="007D0F38">
        <w:rPr>
          <w:rFonts w:asciiTheme="minorHAnsi" w:hAnsiTheme="minorHAnsi" w:cstheme="minorHAnsi"/>
        </w:rPr>
        <w:t xml:space="preserve">) - </w:t>
      </w:r>
      <w:r>
        <w:rPr>
          <w:rFonts w:asciiTheme="minorHAnsi" w:hAnsiTheme="minorHAnsi" w:cstheme="minorHAnsi"/>
        </w:rPr>
        <w:t>1051</w:t>
      </w:r>
      <w:r w:rsidRPr="007D0F38">
        <w:rPr>
          <w:rFonts w:asciiTheme="minorHAnsi" w:hAnsiTheme="minorHAnsi" w:cstheme="minorHAnsi"/>
        </w:rPr>
        <w:t xml:space="preserve"> Kč</w:t>
      </w:r>
      <w:r>
        <w:rPr>
          <w:rFonts w:asciiTheme="minorHAnsi" w:hAnsiTheme="minorHAnsi" w:cstheme="minorHAnsi"/>
        </w:rPr>
        <w:t xml:space="preserve"> bez</w:t>
      </w:r>
      <w:r w:rsidRPr="007D0F38">
        <w:rPr>
          <w:rFonts w:asciiTheme="minorHAnsi" w:hAnsiTheme="minorHAnsi" w:cstheme="minorHAnsi"/>
        </w:rPr>
        <w:t xml:space="preserve"> DPH</w:t>
      </w:r>
      <w:r w:rsidR="00B934D1">
        <w:rPr>
          <w:rFonts w:asciiTheme="minorHAnsi" w:hAnsiTheme="minorHAnsi" w:cstheme="minorHAnsi"/>
        </w:rPr>
        <w:t>/</w:t>
      </w:r>
      <w:r w:rsidR="00B934D1" w:rsidRPr="00B934D1">
        <w:rPr>
          <w:rFonts w:asciiTheme="minorHAnsi" w:hAnsiTheme="minorHAnsi" w:cstheme="minorHAnsi"/>
        </w:rPr>
        <w:t>1 271,71 Kč vč. DPH</w:t>
      </w:r>
      <w:r>
        <w:rPr>
          <w:rFonts w:asciiTheme="minorHAnsi" w:hAnsiTheme="minorHAnsi" w:cstheme="minorHAnsi"/>
        </w:rPr>
        <w:br/>
      </w:r>
      <w:r w:rsidRPr="007D0F38">
        <w:rPr>
          <w:rFonts w:asciiTheme="minorHAnsi" w:hAnsiTheme="minorHAnsi" w:cstheme="minorHAnsi"/>
        </w:rPr>
        <w:t xml:space="preserve">Práce-mech. střední (C-M, </w:t>
      </w:r>
      <w:proofErr w:type="spellStart"/>
      <w:r w:rsidRPr="007D0F38">
        <w:rPr>
          <w:rFonts w:asciiTheme="minorHAnsi" w:hAnsiTheme="minorHAnsi" w:cstheme="minorHAnsi"/>
        </w:rPr>
        <w:t>Foc</w:t>
      </w:r>
      <w:proofErr w:type="spellEnd"/>
      <w:r w:rsidRPr="007D0F38">
        <w:rPr>
          <w:rFonts w:asciiTheme="minorHAnsi" w:hAnsiTheme="minorHAnsi" w:cstheme="minorHAnsi"/>
        </w:rPr>
        <w:t xml:space="preserve">, Puma) </w:t>
      </w:r>
      <w:r w:rsidR="00DA756E">
        <w:rPr>
          <w:rFonts w:asciiTheme="minorHAnsi" w:hAnsiTheme="minorHAnsi" w:cstheme="minorHAnsi"/>
        </w:rPr>
        <w:t>–</w:t>
      </w:r>
      <w:r w:rsidRPr="007D0F38">
        <w:rPr>
          <w:rFonts w:asciiTheme="minorHAnsi" w:hAnsiTheme="minorHAnsi" w:cstheme="minorHAnsi"/>
        </w:rPr>
        <w:t xml:space="preserve"> </w:t>
      </w:r>
      <w:r w:rsidR="00DA756E">
        <w:rPr>
          <w:rFonts w:asciiTheme="minorHAnsi" w:hAnsiTheme="minorHAnsi" w:cstheme="minorHAnsi"/>
        </w:rPr>
        <w:t>1 195 Kč bez</w:t>
      </w:r>
      <w:r w:rsidRPr="007D0F38">
        <w:rPr>
          <w:rFonts w:asciiTheme="minorHAnsi" w:hAnsiTheme="minorHAnsi" w:cstheme="minorHAnsi"/>
        </w:rPr>
        <w:t xml:space="preserve"> DPH</w:t>
      </w:r>
      <w:r w:rsidR="00B934D1">
        <w:rPr>
          <w:rFonts w:asciiTheme="minorHAnsi" w:hAnsiTheme="minorHAnsi" w:cstheme="minorHAnsi"/>
        </w:rPr>
        <w:t>/</w:t>
      </w:r>
      <w:r w:rsidR="00B934D1" w:rsidRPr="00B934D1">
        <w:rPr>
          <w:rFonts w:asciiTheme="minorHAnsi" w:hAnsiTheme="minorHAnsi" w:cstheme="minorHAnsi"/>
        </w:rPr>
        <w:t>1 445,95 Kč vč. DPH</w:t>
      </w:r>
      <w:r>
        <w:rPr>
          <w:rFonts w:asciiTheme="minorHAnsi" w:hAnsiTheme="minorHAnsi" w:cstheme="minorHAnsi"/>
        </w:rPr>
        <w:br/>
      </w:r>
      <w:r w:rsidRPr="007D0F38">
        <w:rPr>
          <w:rFonts w:asciiTheme="minorHAnsi" w:hAnsiTheme="minorHAnsi" w:cstheme="minorHAnsi"/>
        </w:rPr>
        <w:t>Práce-mech. velké (</w:t>
      </w:r>
      <w:proofErr w:type="spellStart"/>
      <w:r w:rsidRPr="007D0F38">
        <w:rPr>
          <w:rFonts w:asciiTheme="minorHAnsi" w:hAnsiTheme="minorHAnsi" w:cstheme="minorHAnsi"/>
        </w:rPr>
        <w:t>Mon,S-M,Gal,Kug,Ran</w:t>
      </w:r>
      <w:proofErr w:type="spellEnd"/>
      <w:r w:rsidRPr="007D0F38">
        <w:rPr>
          <w:rFonts w:asciiTheme="minorHAnsi" w:hAnsiTheme="minorHAnsi" w:cstheme="minorHAnsi"/>
        </w:rPr>
        <w:t xml:space="preserve">) </w:t>
      </w:r>
      <w:r w:rsidR="00DA756E">
        <w:rPr>
          <w:rFonts w:asciiTheme="minorHAnsi" w:hAnsiTheme="minorHAnsi" w:cstheme="minorHAnsi"/>
        </w:rPr>
        <w:t>–</w:t>
      </w:r>
      <w:r w:rsidRPr="007D0F38">
        <w:rPr>
          <w:rFonts w:asciiTheme="minorHAnsi" w:hAnsiTheme="minorHAnsi" w:cstheme="minorHAnsi"/>
        </w:rPr>
        <w:t xml:space="preserve"> </w:t>
      </w:r>
      <w:r w:rsidR="00DA756E">
        <w:rPr>
          <w:rFonts w:asciiTheme="minorHAnsi" w:hAnsiTheme="minorHAnsi" w:cstheme="minorHAnsi"/>
        </w:rPr>
        <w:t>1 275</w:t>
      </w:r>
      <w:r w:rsidRPr="007D0F38">
        <w:rPr>
          <w:rFonts w:asciiTheme="minorHAnsi" w:hAnsiTheme="minorHAnsi" w:cstheme="minorHAnsi"/>
        </w:rPr>
        <w:t xml:space="preserve"> Kč </w:t>
      </w:r>
      <w:r w:rsidR="00DA756E">
        <w:rPr>
          <w:rFonts w:asciiTheme="minorHAnsi" w:hAnsiTheme="minorHAnsi" w:cstheme="minorHAnsi"/>
        </w:rPr>
        <w:t>bez</w:t>
      </w:r>
      <w:r w:rsidRPr="007D0F38">
        <w:rPr>
          <w:rFonts w:asciiTheme="minorHAnsi" w:hAnsiTheme="minorHAnsi" w:cstheme="minorHAnsi"/>
        </w:rPr>
        <w:t xml:space="preserve"> DPH</w:t>
      </w:r>
      <w:r w:rsidR="00B934D1">
        <w:rPr>
          <w:rFonts w:asciiTheme="minorHAnsi" w:hAnsiTheme="minorHAnsi" w:cstheme="minorHAnsi"/>
        </w:rPr>
        <w:t>/</w:t>
      </w:r>
      <w:r w:rsidR="00B934D1" w:rsidRPr="00B934D1">
        <w:rPr>
          <w:rFonts w:asciiTheme="minorHAnsi" w:hAnsiTheme="minorHAnsi" w:cstheme="minorHAnsi"/>
        </w:rPr>
        <w:t>1 542,75 Kč vč. DPH</w:t>
      </w:r>
      <w:r>
        <w:rPr>
          <w:rFonts w:asciiTheme="minorHAnsi" w:hAnsiTheme="minorHAnsi" w:cstheme="minorHAnsi"/>
        </w:rPr>
        <w:br/>
      </w:r>
      <w:r w:rsidRPr="007D0F38">
        <w:rPr>
          <w:rFonts w:asciiTheme="minorHAnsi" w:hAnsiTheme="minorHAnsi" w:cstheme="minorHAnsi"/>
        </w:rPr>
        <w:t xml:space="preserve">Práce-mech. </w:t>
      </w:r>
      <w:proofErr w:type="spellStart"/>
      <w:r w:rsidRPr="007D0F38">
        <w:rPr>
          <w:rFonts w:asciiTheme="minorHAnsi" w:hAnsiTheme="minorHAnsi" w:cstheme="minorHAnsi"/>
        </w:rPr>
        <w:t>užitk</w:t>
      </w:r>
      <w:proofErr w:type="spellEnd"/>
      <w:r w:rsidRPr="007D0F38">
        <w:rPr>
          <w:rFonts w:asciiTheme="minorHAnsi" w:hAnsiTheme="minorHAnsi" w:cstheme="minorHAnsi"/>
        </w:rPr>
        <w:t>. (</w:t>
      </w:r>
      <w:proofErr w:type="spellStart"/>
      <w:r w:rsidRPr="007D0F38">
        <w:rPr>
          <w:rFonts w:asciiTheme="minorHAnsi" w:hAnsiTheme="minorHAnsi" w:cstheme="minorHAnsi"/>
        </w:rPr>
        <w:t>Tra,Cust,Con,Cur</w:t>
      </w:r>
      <w:proofErr w:type="spellEnd"/>
      <w:r w:rsidRPr="007D0F38">
        <w:rPr>
          <w:rFonts w:asciiTheme="minorHAnsi" w:hAnsiTheme="minorHAnsi" w:cstheme="minorHAnsi"/>
        </w:rPr>
        <w:t xml:space="preserve">) - </w:t>
      </w:r>
      <w:r w:rsidR="00DA756E">
        <w:rPr>
          <w:rFonts w:asciiTheme="minorHAnsi" w:hAnsiTheme="minorHAnsi" w:cstheme="minorHAnsi"/>
        </w:rPr>
        <w:t>1 275</w:t>
      </w:r>
      <w:r w:rsidR="00DA756E" w:rsidRPr="007D0F38">
        <w:rPr>
          <w:rFonts w:asciiTheme="minorHAnsi" w:hAnsiTheme="minorHAnsi" w:cstheme="minorHAnsi"/>
        </w:rPr>
        <w:t xml:space="preserve"> Kč </w:t>
      </w:r>
      <w:r w:rsidR="00DA756E">
        <w:rPr>
          <w:rFonts w:asciiTheme="minorHAnsi" w:hAnsiTheme="minorHAnsi" w:cstheme="minorHAnsi"/>
        </w:rPr>
        <w:t>bez</w:t>
      </w:r>
      <w:r w:rsidR="00DA756E" w:rsidRPr="007D0F38">
        <w:rPr>
          <w:rFonts w:asciiTheme="minorHAnsi" w:hAnsiTheme="minorHAnsi" w:cstheme="minorHAnsi"/>
        </w:rPr>
        <w:t xml:space="preserve"> DPH</w:t>
      </w:r>
      <w:r w:rsidR="00B934D1">
        <w:rPr>
          <w:rFonts w:asciiTheme="minorHAnsi" w:hAnsiTheme="minorHAnsi" w:cstheme="minorHAnsi"/>
        </w:rPr>
        <w:t>/</w:t>
      </w:r>
      <w:r w:rsidR="00B934D1" w:rsidRPr="00B934D1">
        <w:rPr>
          <w:rFonts w:asciiTheme="minorHAnsi" w:hAnsiTheme="minorHAnsi" w:cstheme="minorHAnsi"/>
        </w:rPr>
        <w:t>1 542,75 Kč vč. DPH</w:t>
      </w:r>
      <w:r>
        <w:rPr>
          <w:rFonts w:asciiTheme="minorHAnsi" w:hAnsiTheme="minorHAnsi" w:cstheme="minorHAnsi"/>
        </w:rPr>
        <w:br/>
      </w:r>
      <w:r w:rsidRPr="007D0F38">
        <w:rPr>
          <w:rFonts w:asciiTheme="minorHAnsi" w:hAnsiTheme="minorHAnsi" w:cstheme="minorHAnsi"/>
        </w:rPr>
        <w:t>Práce - mechanické starší</w:t>
      </w:r>
      <w:r>
        <w:rPr>
          <w:rFonts w:asciiTheme="minorHAnsi" w:hAnsiTheme="minorHAnsi" w:cstheme="minorHAnsi"/>
        </w:rPr>
        <w:t xml:space="preserve"> vozy</w:t>
      </w:r>
      <w:r w:rsidRPr="007D0F38">
        <w:rPr>
          <w:rFonts w:asciiTheme="minorHAnsi" w:hAnsiTheme="minorHAnsi" w:cstheme="minorHAnsi"/>
        </w:rPr>
        <w:t xml:space="preserve"> 5</w:t>
      </w:r>
      <w:r>
        <w:rPr>
          <w:rFonts w:asciiTheme="minorHAnsi" w:hAnsiTheme="minorHAnsi" w:cstheme="minorHAnsi"/>
        </w:rPr>
        <w:t>.</w:t>
      </w:r>
      <w:r w:rsidRPr="007D0F38">
        <w:rPr>
          <w:rFonts w:asciiTheme="minorHAnsi" w:hAnsiTheme="minorHAnsi" w:cstheme="minorHAnsi"/>
        </w:rPr>
        <w:t xml:space="preserve"> let </w:t>
      </w:r>
      <w:r w:rsidR="00DA756E">
        <w:rPr>
          <w:rFonts w:asciiTheme="minorHAnsi" w:hAnsiTheme="minorHAnsi" w:cstheme="minorHAnsi"/>
        </w:rPr>
        <w:t>–</w:t>
      </w:r>
      <w:r w:rsidRPr="007D0F38">
        <w:rPr>
          <w:rFonts w:asciiTheme="minorHAnsi" w:hAnsiTheme="minorHAnsi" w:cstheme="minorHAnsi"/>
        </w:rPr>
        <w:t xml:space="preserve"> </w:t>
      </w:r>
      <w:r w:rsidR="00DA756E">
        <w:rPr>
          <w:rFonts w:asciiTheme="minorHAnsi" w:hAnsiTheme="minorHAnsi" w:cstheme="minorHAnsi"/>
        </w:rPr>
        <w:t xml:space="preserve">750 </w:t>
      </w:r>
      <w:r w:rsidRPr="007D0F38">
        <w:rPr>
          <w:rFonts w:asciiTheme="minorHAnsi" w:hAnsiTheme="minorHAnsi" w:cstheme="minorHAnsi"/>
        </w:rPr>
        <w:t xml:space="preserve">Kč </w:t>
      </w:r>
      <w:r w:rsidR="00DA756E">
        <w:rPr>
          <w:rFonts w:asciiTheme="minorHAnsi" w:hAnsiTheme="minorHAnsi" w:cstheme="minorHAnsi"/>
        </w:rPr>
        <w:t>bez</w:t>
      </w:r>
      <w:r w:rsidRPr="007D0F38">
        <w:rPr>
          <w:rFonts w:asciiTheme="minorHAnsi" w:hAnsiTheme="minorHAnsi" w:cstheme="minorHAnsi"/>
        </w:rPr>
        <w:t xml:space="preserve"> DPH</w:t>
      </w:r>
      <w:r w:rsidR="00B934D1">
        <w:rPr>
          <w:rFonts w:asciiTheme="minorHAnsi" w:hAnsiTheme="minorHAnsi" w:cstheme="minorHAnsi"/>
        </w:rPr>
        <w:t>/</w:t>
      </w:r>
      <w:r w:rsidR="00B934D1" w:rsidRPr="00B934D1">
        <w:rPr>
          <w:rFonts w:asciiTheme="minorHAnsi" w:hAnsiTheme="minorHAnsi" w:cstheme="minorHAnsi"/>
        </w:rPr>
        <w:t>907,50 Kč vč. DPH</w:t>
      </w:r>
    </w:p>
    <w:p w14:paraId="49EA0205" w14:textId="1C03BCA4" w:rsidR="007F654A" w:rsidRDefault="007F654A" w:rsidP="0027403C">
      <w:pPr>
        <w:ind w:left="720"/>
        <w:jc w:val="both"/>
      </w:pPr>
      <w:r>
        <w:t xml:space="preserve">Zhotovitel se zavazuje poskytnout ze sazeb práce </w:t>
      </w:r>
      <w:r w:rsidRPr="005D3209">
        <w:rPr>
          <w:u w:val="single"/>
        </w:rPr>
        <w:t>slevy</w:t>
      </w:r>
      <w:r>
        <w:t xml:space="preserve"> v této struktuře:</w:t>
      </w:r>
    </w:p>
    <w:p w14:paraId="315C6501" w14:textId="77777777" w:rsidR="00AE2AAC" w:rsidRDefault="00AE2AAC" w:rsidP="0027403C">
      <w:pPr>
        <w:ind w:left="720"/>
        <w:jc w:val="both"/>
      </w:pPr>
    </w:p>
    <w:p w14:paraId="409B97CD" w14:textId="7405BD72" w:rsidR="007F6475" w:rsidRPr="00BC6F84" w:rsidRDefault="007F6475" w:rsidP="0027403C">
      <w:pPr>
        <w:ind w:left="720"/>
        <w:jc w:val="both"/>
      </w:pPr>
      <w:r>
        <w:t>Práce dle ceníku FORD:</w:t>
      </w:r>
      <w:r w:rsidR="001D495D">
        <w:tab/>
      </w:r>
      <w:r w:rsidR="001D495D">
        <w:tab/>
      </w:r>
      <w:r>
        <w:t xml:space="preserve"> </w:t>
      </w:r>
      <w:r>
        <w:tab/>
      </w:r>
      <w:r>
        <w:tab/>
        <w:t xml:space="preserve">sleva </w:t>
      </w:r>
      <w:proofErr w:type="spellStart"/>
      <w:r w:rsidR="00732527">
        <w:t>xx</w:t>
      </w:r>
      <w:proofErr w:type="spellEnd"/>
      <w:r w:rsidRPr="00BC6F84">
        <w:t xml:space="preserve"> %</w:t>
      </w:r>
    </w:p>
    <w:p w14:paraId="5D3EB40F" w14:textId="3198EC8F" w:rsidR="00127773" w:rsidRPr="001D495D" w:rsidRDefault="00883FAE" w:rsidP="001D495D">
      <w:pPr>
        <w:ind w:left="720"/>
        <w:jc w:val="both"/>
      </w:pPr>
      <w:r w:rsidRPr="00BC6F84">
        <w:t xml:space="preserve">Všechny práce v rámci PU (pojistné události): </w:t>
      </w:r>
      <w:r w:rsidRPr="00BC6F84">
        <w:tab/>
        <w:t>sleva 0 %</w:t>
      </w:r>
      <w:r w:rsidR="006A5B61">
        <w:t xml:space="preserve"> (sazby dle příslušné pojišťovny)</w:t>
      </w:r>
    </w:p>
    <w:p w14:paraId="7E8B21F6" w14:textId="77777777" w:rsidR="000C391D" w:rsidRDefault="000C391D" w:rsidP="0027403C">
      <w:pPr>
        <w:ind w:left="720"/>
        <w:jc w:val="both"/>
      </w:pPr>
    </w:p>
    <w:p w14:paraId="191C3CD8" w14:textId="77777777" w:rsidR="001D495D" w:rsidRDefault="00883FAE" w:rsidP="0027403C">
      <w:pPr>
        <w:ind w:left="720"/>
        <w:jc w:val="both"/>
      </w:pPr>
      <w:r w:rsidRPr="005D3209">
        <w:rPr>
          <w:u w:val="single"/>
        </w:rPr>
        <w:t xml:space="preserve">Ceník </w:t>
      </w:r>
      <w:r w:rsidR="00173436" w:rsidRPr="005D3209">
        <w:rPr>
          <w:u w:val="single"/>
        </w:rPr>
        <w:t>autopůjčovny</w:t>
      </w:r>
      <w:r w:rsidR="00173436">
        <w:t xml:space="preserve"> a </w:t>
      </w:r>
      <w:r>
        <w:t xml:space="preserve">náhradních vozidel po dobu servisu je uveden </w:t>
      </w:r>
      <w:r w:rsidR="004136A3">
        <w:t>na</w:t>
      </w:r>
      <w:r>
        <w:t>.</w:t>
      </w:r>
      <w:r w:rsidR="004136A3">
        <w:t xml:space="preserve"> Web. Stránce AUTO IN s.r.o.</w:t>
      </w:r>
      <w:r w:rsidR="001D495D">
        <w:t xml:space="preserve"> </w:t>
      </w:r>
    </w:p>
    <w:p w14:paraId="3AA2C5BD" w14:textId="1EC62E1B" w:rsidR="00883FAE" w:rsidRDefault="004A6541" w:rsidP="001D495D">
      <w:pPr>
        <w:ind w:firstLine="708"/>
        <w:jc w:val="both"/>
      </w:pPr>
      <w:proofErr w:type="gramStart"/>
      <w:r>
        <w:t>Pozn.  příslušné</w:t>
      </w:r>
      <w:proofErr w:type="gramEnd"/>
      <w:r>
        <w:t xml:space="preserve"> provozovny se mohou lišit ve skladbě vozového parku. </w:t>
      </w:r>
    </w:p>
    <w:p w14:paraId="1188C8BE" w14:textId="2DA05D66" w:rsidR="005D3209" w:rsidRDefault="004136A3" w:rsidP="0027403C">
      <w:pPr>
        <w:ind w:left="720"/>
        <w:jc w:val="both"/>
      </w:pPr>
      <w:r>
        <w:t>S</w:t>
      </w:r>
      <w:r w:rsidR="00872791">
        <w:t>leva</w:t>
      </w:r>
      <w:r w:rsidR="00173436">
        <w:t xml:space="preserve"> je </w:t>
      </w:r>
      <w:r w:rsidR="00732527">
        <w:t>xx</w:t>
      </w:r>
      <w:bookmarkStart w:id="1" w:name="_GoBack"/>
      <w:bookmarkEnd w:id="1"/>
      <w:r w:rsidR="00173436" w:rsidRPr="00BC6F84">
        <w:t xml:space="preserve"> %</w:t>
      </w:r>
      <w:r w:rsidR="005D3209">
        <w:t>, v závislosti na obchodním případu může být provedena individuální kalkulace (prodloužen limit km nebo větší sleva) z rozhodnutí vedoucího provozovny.</w:t>
      </w:r>
    </w:p>
    <w:p w14:paraId="0DDAE1FA" w14:textId="7D288121" w:rsidR="00173436" w:rsidRDefault="00173436" w:rsidP="0027403C">
      <w:pPr>
        <w:ind w:left="720"/>
        <w:jc w:val="both"/>
      </w:pPr>
      <w:r>
        <w:t>Není nutné skládat vratnou kauci</w:t>
      </w:r>
      <w:r w:rsidR="005D3209">
        <w:t>.</w:t>
      </w:r>
    </w:p>
    <w:p w14:paraId="4773B58C" w14:textId="77777777" w:rsidR="00883FAE" w:rsidRPr="00A44DF6" w:rsidRDefault="00883FAE" w:rsidP="0027403C">
      <w:pPr>
        <w:ind w:left="720"/>
        <w:jc w:val="both"/>
      </w:pPr>
    </w:p>
    <w:p w14:paraId="3D089879" w14:textId="5820C755" w:rsidR="00DA72F9" w:rsidRDefault="00BA4BCB" w:rsidP="0027403C">
      <w:pPr>
        <w:numPr>
          <w:ilvl w:val="0"/>
          <w:numId w:val="1"/>
        </w:numPr>
        <w:jc w:val="both"/>
      </w:pPr>
      <w:r>
        <w:t>Zhotovi</w:t>
      </w:r>
      <w:r w:rsidR="00DA72F9" w:rsidRPr="00A44DF6">
        <w:t xml:space="preserve">tel </w:t>
      </w:r>
      <w:r w:rsidR="00337774">
        <w:t>se zavazuje</w:t>
      </w:r>
      <w:r w:rsidR="00DA72F9" w:rsidRPr="00A44DF6">
        <w:t xml:space="preserve"> </w:t>
      </w:r>
      <w:r>
        <w:t>výši</w:t>
      </w:r>
      <w:r w:rsidR="00337774">
        <w:t xml:space="preserve"> ceny za </w:t>
      </w:r>
      <w:r w:rsidR="00DA72F9" w:rsidRPr="00A44DF6">
        <w:t xml:space="preserve">jednotlivou zakázku </w:t>
      </w:r>
      <w:r w:rsidR="00645D34">
        <w:t xml:space="preserve">dle uzavřené smlouvy o dílo </w:t>
      </w:r>
      <w:r>
        <w:t>nepřekročit</w:t>
      </w:r>
      <w:r w:rsidR="00DA72F9" w:rsidRPr="00A44DF6">
        <w:t>. Pokud zhotovitel zjistí</w:t>
      </w:r>
      <w:r w:rsidR="00337774">
        <w:t xml:space="preserve"> nové skutečnosti</w:t>
      </w:r>
      <w:r w:rsidR="00DA72F9" w:rsidRPr="00A44DF6">
        <w:t>,</w:t>
      </w:r>
      <w:r w:rsidR="00337774">
        <w:t xml:space="preserve"> které mohou mít vliv na cenu nebo rozsah poskytovaných služeb, zavazuje se neprodleně informovat ob</w:t>
      </w:r>
      <w:r w:rsidR="00645D34">
        <w:t>jedna</w:t>
      </w:r>
      <w:r w:rsidR="00337774">
        <w:t>tele a stanovit případně novou</w:t>
      </w:r>
      <w:r w:rsidR="00DA72F9" w:rsidRPr="00A44DF6">
        <w:t xml:space="preserve"> výši ceny</w:t>
      </w:r>
      <w:r w:rsidR="00337774">
        <w:t>.</w:t>
      </w:r>
      <w:r w:rsidR="000D171B">
        <w:t xml:space="preserve"> K takovému navýšení ceny může dojít max. o </w:t>
      </w:r>
      <w:r w:rsidR="00AC42C0">
        <w:t>20</w:t>
      </w:r>
      <w:r w:rsidR="003B52DD">
        <w:t xml:space="preserve"> </w:t>
      </w:r>
      <w:r w:rsidR="00AC42C0">
        <w:t>% od původně stanovené výše. Pokud dojde k navýšení v souladu s pravidlem dle předchozí věty,</w:t>
      </w:r>
      <w:r w:rsidR="00337774">
        <w:t xml:space="preserve"> </w:t>
      </w:r>
      <w:r w:rsidR="00AC42C0">
        <w:t>s</w:t>
      </w:r>
      <w:r w:rsidR="00DA72F9" w:rsidRPr="00A44DF6">
        <w:t> prováděním</w:t>
      </w:r>
      <w:r w:rsidR="00A44DF6" w:rsidRPr="00A44DF6">
        <w:t xml:space="preserve"> dalších prací vyčká na písemný</w:t>
      </w:r>
      <w:r w:rsidR="00337774">
        <w:t xml:space="preserve"> </w:t>
      </w:r>
      <w:r w:rsidR="00DA72F9" w:rsidRPr="00A44DF6">
        <w:t>e-mailový</w:t>
      </w:r>
      <w:r w:rsidR="00A44DF6" w:rsidRPr="00A44DF6">
        <w:t xml:space="preserve"> či faxový souhlas s</w:t>
      </w:r>
      <w:r w:rsidR="00337774">
        <w:t>e</w:t>
      </w:r>
      <w:r w:rsidR="00A44DF6" w:rsidRPr="00A44DF6">
        <w:t> </w:t>
      </w:r>
      <w:r w:rsidR="00337774">
        <w:t>změnami</w:t>
      </w:r>
      <w:r w:rsidR="00DA72F9" w:rsidRPr="00A44DF6">
        <w:t xml:space="preserve">.  Pokud objednatel nevysloví do 3 </w:t>
      </w:r>
      <w:r w:rsidR="00AC42C0">
        <w:t xml:space="preserve">pracovních </w:t>
      </w:r>
      <w:r w:rsidR="00337774">
        <w:t xml:space="preserve">dnů </w:t>
      </w:r>
      <w:r w:rsidR="00DA72F9" w:rsidRPr="00A44DF6">
        <w:t>souhlas</w:t>
      </w:r>
      <w:r w:rsidR="00337774" w:rsidRPr="00337774">
        <w:t xml:space="preserve"> </w:t>
      </w:r>
      <w:r w:rsidR="00337774" w:rsidRPr="00A44DF6">
        <w:t>se z</w:t>
      </w:r>
      <w:r w:rsidR="00337774">
        <w:t>měnami</w:t>
      </w:r>
      <w:r w:rsidR="00DA72F9" w:rsidRPr="00A44DF6">
        <w:t>, zhotovitel je oprávněn odstoupit od jednotliv</w:t>
      </w:r>
      <w:r w:rsidR="00A44DF6" w:rsidRPr="00A44DF6">
        <w:t xml:space="preserve">é smlouvy o dílo a objednatel </w:t>
      </w:r>
      <w:r w:rsidR="00DA72F9" w:rsidRPr="00A44DF6">
        <w:t xml:space="preserve">se zavazuje zaplatit provedené práce, materiál a ND zamontované do vozu do doby odstoupení od smlouvy a dále se zavazuje vozidlo převzít ve stavu v době odstoupení od smlouvy, a to do tří </w:t>
      </w:r>
      <w:r w:rsidR="00AC42C0">
        <w:t xml:space="preserve">pracovních </w:t>
      </w:r>
      <w:r w:rsidR="00DA72F9" w:rsidRPr="00A44DF6">
        <w:t xml:space="preserve">dnů od odstoupení. </w:t>
      </w:r>
    </w:p>
    <w:p w14:paraId="37D18B5F" w14:textId="77777777" w:rsidR="0051416E" w:rsidRDefault="0051416E" w:rsidP="0051416E">
      <w:pPr>
        <w:ind w:left="720"/>
        <w:jc w:val="both"/>
      </w:pPr>
    </w:p>
    <w:p w14:paraId="3AEBF3ED" w14:textId="77777777" w:rsidR="00AC7D18" w:rsidRDefault="0051416E" w:rsidP="00AC7D18">
      <w:pPr>
        <w:numPr>
          <w:ilvl w:val="0"/>
          <w:numId w:val="1"/>
        </w:numPr>
        <w:jc w:val="both"/>
      </w:pPr>
      <w:r>
        <w:rPr>
          <w:rFonts w:asciiTheme="minorHAnsi" w:hAnsiTheme="minorHAnsi" w:cs="Arial"/>
        </w:rPr>
        <w:t>Všechny provedené úkony</w:t>
      </w:r>
      <w:r w:rsidR="004D2B17" w:rsidRPr="00EC5C84">
        <w:rPr>
          <w:rFonts w:asciiTheme="minorHAnsi" w:hAnsiTheme="minorHAnsi" w:cs="Arial"/>
        </w:rPr>
        <w:t xml:space="preserve"> k p</w:t>
      </w:r>
      <w:r w:rsidR="005117A6">
        <w:rPr>
          <w:rFonts w:asciiTheme="minorHAnsi" w:hAnsiTheme="minorHAnsi" w:cs="Arial"/>
        </w:rPr>
        <w:t>rovedení opravy nebo údržby budou účtovány</w:t>
      </w:r>
      <w:r w:rsidR="004D2B17" w:rsidRPr="00EC5C84">
        <w:rPr>
          <w:rFonts w:asciiTheme="minorHAnsi" w:hAnsiTheme="minorHAnsi" w:cs="Arial"/>
        </w:rPr>
        <w:t xml:space="preserve"> v souladu s časovými normami stanovenými výrobcem při využití hodinových sazeb uvedených v příloze </w:t>
      </w:r>
      <w:proofErr w:type="gramStart"/>
      <w:r w:rsidR="004D2B17" w:rsidRPr="00EC5C84">
        <w:rPr>
          <w:rFonts w:asciiTheme="minorHAnsi" w:hAnsiTheme="minorHAnsi" w:cs="Arial"/>
        </w:rPr>
        <w:t>č.3.</w:t>
      </w:r>
      <w:proofErr w:type="gramEnd"/>
      <w:r w:rsidR="00D96EB0">
        <w:rPr>
          <w:rFonts w:asciiTheme="minorHAnsi" w:hAnsiTheme="minorHAnsi" w:cs="Arial"/>
        </w:rPr>
        <w:t xml:space="preserve"> Toto ustanovení se netýká oprav, na které se vztahuje záruka výrobce nebo jiná, rozšířená záruka a opravy pojistných událostí, kde platí sazby příslušné pojišťovny a objednatel hradí zhotoviteli pouze spoluúčast a částku DPH.</w:t>
      </w:r>
    </w:p>
    <w:p w14:paraId="55AFAB42" w14:textId="1FB341B1" w:rsidR="008A48FC" w:rsidRDefault="004D2B17" w:rsidP="00AC7D18">
      <w:pPr>
        <w:numPr>
          <w:ilvl w:val="0"/>
          <w:numId w:val="1"/>
        </w:numPr>
        <w:jc w:val="both"/>
      </w:pPr>
      <w:r>
        <w:lastRenderedPageBreak/>
        <w:t>Na každé vozidlo bude sepsána zakázka samostatně, v případě běžné opravy a opravy v rámci pojistné události budou sepsány zakázky 2. Každá z</w:t>
      </w:r>
      <w:r w:rsidR="008A48FC">
        <w:t xml:space="preserve">akázka bude vždy přehledně vyúčtována prostřednictvím faktury, která slouží současně jako daňový doklad. </w:t>
      </w:r>
      <w:r w:rsidR="00D96EB0">
        <w:t>Budou doloženy tyto p</w:t>
      </w:r>
      <w:r w:rsidR="008A48FC">
        <w:t>říloh</w:t>
      </w:r>
      <w:r w:rsidR="00D96EB0">
        <w:t>y</w:t>
      </w:r>
      <w:r w:rsidR="008A48FC">
        <w:t>:</w:t>
      </w:r>
    </w:p>
    <w:p w14:paraId="4F49DC71" w14:textId="77777777" w:rsidR="008A48FC" w:rsidRDefault="008A48FC" w:rsidP="008A48FC">
      <w:pPr>
        <w:pStyle w:val="Odstavecseseznamem"/>
      </w:pPr>
    </w:p>
    <w:p w14:paraId="5F9AB03E" w14:textId="77777777" w:rsidR="008A48FC" w:rsidRDefault="004D2B17" w:rsidP="008A48FC">
      <w:pPr>
        <w:pStyle w:val="Odstavecseseznamem"/>
        <w:numPr>
          <w:ilvl w:val="0"/>
          <w:numId w:val="10"/>
        </w:numPr>
        <w:jc w:val="both"/>
      </w:pPr>
      <w:r>
        <w:t>K</w:t>
      </w:r>
      <w:r w:rsidR="008A48FC">
        <w:t>opie zakázkového listu podepsaného objednatelem nebo zodpovědným pracovníkem dle přílohy č. 1.</w:t>
      </w:r>
    </w:p>
    <w:p w14:paraId="4C682885" w14:textId="77777777" w:rsidR="008A48FC" w:rsidRDefault="008A48FC" w:rsidP="008A48FC">
      <w:pPr>
        <w:pStyle w:val="Odstavecseseznamem"/>
        <w:numPr>
          <w:ilvl w:val="0"/>
          <w:numId w:val="10"/>
        </w:numPr>
        <w:jc w:val="both"/>
      </w:pPr>
      <w:r>
        <w:t xml:space="preserve">Kopie výpisu </w:t>
      </w:r>
      <w:r w:rsidR="004D2B17">
        <w:t>z elektronické servisní knížky u vozidel, kterých se to týká.</w:t>
      </w:r>
    </w:p>
    <w:p w14:paraId="52E742AB" w14:textId="77777777" w:rsidR="005D3209" w:rsidRPr="00A44DF6" w:rsidRDefault="005D3209" w:rsidP="0027403C">
      <w:pPr>
        <w:ind w:left="720"/>
        <w:jc w:val="both"/>
      </w:pPr>
    </w:p>
    <w:p w14:paraId="0CF5777C" w14:textId="3C33C313" w:rsidR="00DA72F9" w:rsidRPr="00AB66CC" w:rsidRDefault="00DA72F9" w:rsidP="0027403C">
      <w:pPr>
        <w:numPr>
          <w:ilvl w:val="0"/>
          <w:numId w:val="1"/>
        </w:numPr>
        <w:jc w:val="both"/>
        <w:rPr>
          <w:u w:val="single"/>
        </w:rPr>
      </w:pPr>
      <w:r w:rsidRPr="00A44DF6">
        <w:t xml:space="preserve"> </w:t>
      </w:r>
      <w:r w:rsidR="006D0ADB">
        <w:t>ND v programu výrobce „</w:t>
      </w:r>
      <w:r w:rsidRPr="00A44DF6">
        <w:t>Výměnné díly</w:t>
      </w:r>
      <w:r w:rsidR="006D0ADB">
        <w:t xml:space="preserve"> nebo AT“</w:t>
      </w:r>
      <w:r w:rsidRPr="00A44DF6">
        <w:t xml:space="preserve"> a díly z garančních oprav zůstávají vždy u zhotovitele.</w:t>
      </w:r>
      <w:r w:rsidR="006D0ADB">
        <w:t xml:space="preserve"> Ostatní </w:t>
      </w:r>
      <w:r w:rsidR="00C20A27">
        <w:t>ND (</w:t>
      </w:r>
      <w:r w:rsidR="006D0ADB">
        <w:t>na přání objednatele</w:t>
      </w:r>
      <w:r w:rsidR="008C6DBA">
        <w:t xml:space="preserve"> v době sjednání každé jednotlivé zakázky</w:t>
      </w:r>
      <w:r w:rsidR="00C20A27">
        <w:t>)</w:t>
      </w:r>
      <w:r w:rsidR="006D0ADB">
        <w:t xml:space="preserve"> </w:t>
      </w:r>
      <w:r w:rsidR="006D0ADB" w:rsidRPr="00AB66CC">
        <w:rPr>
          <w:u w:val="single"/>
        </w:rPr>
        <w:t xml:space="preserve">budou </w:t>
      </w:r>
      <w:r w:rsidR="00AB66CC" w:rsidRPr="00AB66CC">
        <w:rPr>
          <w:u w:val="single"/>
        </w:rPr>
        <w:t xml:space="preserve">vždy </w:t>
      </w:r>
      <w:r w:rsidR="006D0ADB" w:rsidRPr="00AB66CC">
        <w:rPr>
          <w:u w:val="single"/>
        </w:rPr>
        <w:t>navráceny objednateli při předání vozidla.</w:t>
      </w:r>
      <w:r w:rsidR="00C20A27">
        <w:rPr>
          <w:u w:val="single"/>
        </w:rPr>
        <w:t xml:space="preserve"> </w:t>
      </w:r>
      <w:r w:rsidR="00C20A27">
        <w:t>Pozn.: Neplatí pro oleje a znečištěný olejový filtr.</w:t>
      </w:r>
    </w:p>
    <w:p w14:paraId="3FF58FF6" w14:textId="77777777" w:rsidR="009D1C07" w:rsidRPr="00A44DF6" w:rsidRDefault="009D1C07" w:rsidP="0027403C">
      <w:pPr>
        <w:ind w:left="720"/>
        <w:jc w:val="both"/>
      </w:pPr>
    </w:p>
    <w:p w14:paraId="4AA0A7E2" w14:textId="3E5068F3" w:rsidR="00DA72F9" w:rsidRDefault="00DA72F9" w:rsidP="0027403C">
      <w:pPr>
        <w:numPr>
          <w:ilvl w:val="0"/>
          <w:numId w:val="1"/>
        </w:numPr>
        <w:jc w:val="both"/>
      </w:pPr>
      <w:r w:rsidRPr="00A44DF6">
        <w:t>Pro případ nev</w:t>
      </w:r>
      <w:r w:rsidR="006D0ADB">
        <w:t>yzvednutí vozu po opravě do 10 dnů od</w:t>
      </w:r>
      <w:r w:rsidRPr="00A44DF6">
        <w:t xml:space="preserve"> </w:t>
      </w:r>
      <w:r w:rsidR="008C6DBA">
        <w:t xml:space="preserve">sjednaného </w:t>
      </w:r>
      <w:r w:rsidRPr="00A44DF6">
        <w:t xml:space="preserve">termínu dokončení opravy či </w:t>
      </w:r>
      <w:r w:rsidR="006D0ADB">
        <w:t xml:space="preserve">po odstoupení od smlouvy </w:t>
      </w:r>
      <w:r w:rsidR="00AB66CC">
        <w:t>se zavazuje</w:t>
      </w:r>
      <w:r w:rsidRPr="00A44DF6">
        <w:t xml:space="preserve"> objednatel zaplatit parkovné ve výši 0,- Kč plus DPH za každý den prodlení s převzetím vozu. </w:t>
      </w:r>
    </w:p>
    <w:p w14:paraId="105568F0" w14:textId="77777777" w:rsidR="00C20A27" w:rsidRDefault="00C20A27" w:rsidP="00C20A27">
      <w:pPr>
        <w:pStyle w:val="Odstavecseseznamem"/>
      </w:pPr>
    </w:p>
    <w:p w14:paraId="37A77EE1" w14:textId="37493C4D" w:rsidR="00C20A27" w:rsidRPr="000B3B73" w:rsidRDefault="00C20A27" w:rsidP="0027403C">
      <w:pPr>
        <w:numPr>
          <w:ilvl w:val="0"/>
          <w:numId w:val="1"/>
        </w:numPr>
        <w:jc w:val="both"/>
      </w:pPr>
      <w:r w:rsidRPr="00E431CD">
        <w:rPr>
          <w:u w:val="single"/>
        </w:rPr>
        <w:t>Služba pick-up</w:t>
      </w:r>
      <w:r>
        <w:t>, vyzvednutí a předání vozu u</w:t>
      </w:r>
      <w:r w:rsidRPr="00EC5C8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objedna</w:t>
      </w:r>
      <w:r w:rsidRPr="00EC5C84">
        <w:rPr>
          <w:rFonts w:asciiTheme="minorHAnsi" w:hAnsiTheme="minorHAnsi" w:cs="Arial"/>
        </w:rPr>
        <w:t>tele</w:t>
      </w:r>
      <w:r w:rsidR="005F468F">
        <w:rPr>
          <w:rFonts w:asciiTheme="minorHAnsi" w:hAnsiTheme="minorHAnsi" w:cs="Arial"/>
        </w:rPr>
        <w:t xml:space="preserve"> dle dohody s </w:t>
      </w:r>
      <w:r w:rsidR="005F468F" w:rsidRPr="00EC5C84">
        <w:rPr>
          <w:rFonts w:asciiTheme="minorHAnsi" w:hAnsiTheme="minorHAnsi" w:cs="Arial"/>
        </w:rPr>
        <w:t>odpovědným pracovníkem o</w:t>
      </w:r>
      <w:r w:rsidR="008C6DBA">
        <w:rPr>
          <w:rFonts w:asciiTheme="minorHAnsi" w:hAnsiTheme="minorHAnsi" w:cs="Arial"/>
        </w:rPr>
        <w:t>bjedna</w:t>
      </w:r>
      <w:r w:rsidR="005F468F" w:rsidRPr="00EC5C84">
        <w:rPr>
          <w:rFonts w:asciiTheme="minorHAnsi" w:hAnsiTheme="minorHAnsi" w:cs="Arial"/>
        </w:rPr>
        <w:t>tele.</w:t>
      </w:r>
    </w:p>
    <w:p w14:paraId="2FBB405A" w14:textId="77777777" w:rsidR="000B3B73" w:rsidRDefault="000B3B73" w:rsidP="000B3B73">
      <w:pPr>
        <w:pStyle w:val="Odstavecseseznamem"/>
      </w:pPr>
    </w:p>
    <w:p w14:paraId="3DA08287" w14:textId="6A2C0EDE" w:rsidR="000B3B73" w:rsidRPr="00EC5C84" w:rsidRDefault="00701138" w:rsidP="000B3B73">
      <w:pPr>
        <w:pStyle w:val="Odstavecseseznamem"/>
        <w:numPr>
          <w:ilvl w:val="0"/>
          <w:numId w:val="1"/>
        </w:numPr>
        <w:spacing w:after="160" w:line="252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Zhotovi</w:t>
      </w:r>
      <w:r w:rsidR="000B3B73" w:rsidRPr="00EC5C84">
        <w:rPr>
          <w:rFonts w:asciiTheme="minorHAnsi" w:hAnsiTheme="minorHAnsi" w:cs="Arial"/>
        </w:rPr>
        <w:t>tel prohlašuje, že má pro případ škody, kterou způsobí s</w:t>
      </w:r>
      <w:r w:rsidR="000B3B73">
        <w:rPr>
          <w:rFonts w:asciiTheme="minorHAnsi" w:hAnsiTheme="minorHAnsi" w:cs="Arial"/>
        </w:rPr>
        <w:t>vými službami (servis, …atd.) o</w:t>
      </w:r>
      <w:r w:rsidR="000B3B73" w:rsidRPr="00EC5C84">
        <w:rPr>
          <w:rFonts w:asciiTheme="minorHAnsi" w:hAnsiTheme="minorHAnsi" w:cs="Arial"/>
        </w:rPr>
        <w:t>b</w:t>
      </w:r>
      <w:r w:rsidR="000B3B73">
        <w:rPr>
          <w:rFonts w:asciiTheme="minorHAnsi" w:hAnsiTheme="minorHAnsi" w:cs="Arial"/>
        </w:rPr>
        <w:t>jedn</w:t>
      </w:r>
      <w:r w:rsidR="000B3B73" w:rsidRPr="00EC5C84">
        <w:rPr>
          <w:rFonts w:asciiTheme="minorHAnsi" w:hAnsiTheme="minorHAnsi" w:cs="Arial"/>
        </w:rPr>
        <w:t>ateli, uzavřenou pojistnou smlouvu</w:t>
      </w:r>
      <w:r w:rsidR="000B3B73">
        <w:rPr>
          <w:rFonts w:asciiTheme="minorHAnsi" w:hAnsiTheme="minorHAnsi" w:cs="Arial"/>
        </w:rPr>
        <w:t xml:space="preserve">. V </w:t>
      </w:r>
      <w:r w:rsidR="000B3B73" w:rsidRPr="00EC5C84">
        <w:rPr>
          <w:rFonts w:asciiTheme="minorHAnsi" w:hAnsiTheme="minorHAnsi" w:cs="Arial"/>
        </w:rPr>
        <w:t xml:space="preserve">případě vzniklé škody </w:t>
      </w:r>
      <w:r w:rsidR="000B3B73">
        <w:rPr>
          <w:rFonts w:asciiTheme="minorHAnsi" w:hAnsiTheme="minorHAnsi" w:cs="Arial"/>
        </w:rPr>
        <w:t>zhotovi</w:t>
      </w:r>
      <w:r w:rsidR="000B3B73" w:rsidRPr="00EC5C84">
        <w:rPr>
          <w:rFonts w:asciiTheme="minorHAnsi" w:hAnsiTheme="minorHAnsi" w:cs="Arial"/>
        </w:rPr>
        <w:t xml:space="preserve">tel uhradí </w:t>
      </w:r>
      <w:r w:rsidR="000B3B73">
        <w:rPr>
          <w:rFonts w:asciiTheme="minorHAnsi" w:hAnsiTheme="minorHAnsi" w:cs="Arial"/>
        </w:rPr>
        <w:t xml:space="preserve">náklady na její odstranění </w:t>
      </w:r>
      <w:r w:rsidR="000B3B73" w:rsidRPr="00EC5C84">
        <w:rPr>
          <w:rFonts w:asciiTheme="minorHAnsi" w:hAnsiTheme="minorHAnsi" w:cs="Arial"/>
        </w:rPr>
        <w:t>bez ohledu na to, zda bude škoda uhrazena pojišťovnou či nikoliv</w:t>
      </w:r>
      <w:r w:rsidR="000B3B73">
        <w:rPr>
          <w:rFonts w:asciiTheme="minorHAnsi" w:hAnsiTheme="minorHAnsi" w:cs="Arial"/>
        </w:rPr>
        <w:t>. Zh</w:t>
      </w:r>
      <w:r w:rsidR="000B3B73" w:rsidRPr="00EC5C84">
        <w:rPr>
          <w:rFonts w:asciiTheme="minorHAnsi" w:hAnsiTheme="minorHAnsi" w:cs="Arial"/>
        </w:rPr>
        <w:t>o</w:t>
      </w:r>
      <w:r w:rsidR="000B3B73">
        <w:rPr>
          <w:rFonts w:asciiTheme="minorHAnsi" w:hAnsiTheme="minorHAnsi" w:cs="Arial"/>
        </w:rPr>
        <w:t>to</w:t>
      </w:r>
      <w:r w:rsidR="000B3B73" w:rsidRPr="00EC5C84">
        <w:rPr>
          <w:rFonts w:asciiTheme="minorHAnsi" w:hAnsiTheme="minorHAnsi" w:cs="Arial"/>
        </w:rPr>
        <w:t>v</w:t>
      </w:r>
      <w:r w:rsidR="000B3B73">
        <w:rPr>
          <w:rFonts w:asciiTheme="minorHAnsi" w:hAnsiTheme="minorHAnsi" w:cs="Arial"/>
        </w:rPr>
        <w:t>i</w:t>
      </w:r>
      <w:r w:rsidR="000B3B73" w:rsidRPr="00EC5C84">
        <w:rPr>
          <w:rFonts w:asciiTheme="minorHAnsi" w:hAnsiTheme="minorHAnsi" w:cs="Arial"/>
        </w:rPr>
        <w:t>tel</w:t>
      </w:r>
      <w:r w:rsidR="000B3B73">
        <w:rPr>
          <w:rFonts w:asciiTheme="minorHAnsi" w:hAnsiTheme="minorHAnsi" w:cs="Arial"/>
        </w:rPr>
        <w:t xml:space="preserve"> nese za vozidla objednatele odpovědnost od okamžiku převzetí</w:t>
      </w:r>
      <w:r w:rsidR="000B3B73" w:rsidRPr="00EC5C84">
        <w:rPr>
          <w:rFonts w:asciiTheme="minorHAnsi" w:hAnsiTheme="minorHAnsi" w:cs="Arial"/>
        </w:rPr>
        <w:t>.</w:t>
      </w:r>
    </w:p>
    <w:p w14:paraId="51BC59F8" w14:textId="77777777" w:rsidR="000B3B73" w:rsidRPr="00D84381" w:rsidRDefault="00D84381" w:rsidP="0027403C">
      <w:pPr>
        <w:numPr>
          <w:ilvl w:val="0"/>
          <w:numId w:val="1"/>
        </w:numPr>
        <w:jc w:val="both"/>
      </w:pPr>
      <w:r>
        <w:rPr>
          <w:rFonts w:asciiTheme="minorHAnsi" w:hAnsiTheme="minorHAnsi" w:cs="Arial"/>
        </w:rPr>
        <w:t>P</w:t>
      </w:r>
      <w:r w:rsidRPr="00EC5C84">
        <w:rPr>
          <w:rFonts w:asciiTheme="minorHAnsi" w:hAnsiTheme="minorHAnsi" w:cs="Arial"/>
        </w:rPr>
        <w:t>řevzetí vozidla po opravě nebo servisní prohlídce v řádném stavu, tj. bez viditelného poškození a s výbavou, se kterou bylo předáno k</w:t>
      </w:r>
      <w:r>
        <w:rPr>
          <w:rFonts w:asciiTheme="minorHAnsi" w:hAnsiTheme="minorHAnsi" w:cs="Arial"/>
        </w:rPr>
        <w:t> </w:t>
      </w:r>
      <w:r w:rsidRPr="00EC5C84">
        <w:rPr>
          <w:rFonts w:asciiTheme="minorHAnsi" w:hAnsiTheme="minorHAnsi" w:cs="Arial"/>
        </w:rPr>
        <w:t>opravě</w:t>
      </w:r>
      <w:r>
        <w:rPr>
          <w:rFonts w:asciiTheme="minorHAnsi" w:hAnsiTheme="minorHAnsi" w:cs="Arial"/>
        </w:rPr>
        <w:t>, potvrzuje uživatel vozidla objednatele svým podpisem.</w:t>
      </w:r>
    </w:p>
    <w:p w14:paraId="41D472A2" w14:textId="77777777" w:rsidR="00D84381" w:rsidRPr="00D84381" w:rsidRDefault="00D84381" w:rsidP="00D84381">
      <w:pPr>
        <w:ind w:left="720"/>
        <w:jc w:val="both"/>
      </w:pPr>
    </w:p>
    <w:p w14:paraId="0E3E8E24" w14:textId="254239E2" w:rsidR="00D84381" w:rsidRPr="00D84381" w:rsidRDefault="00D84381" w:rsidP="0027403C">
      <w:pPr>
        <w:numPr>
          <w:ilvl w:val="0"/>
          <w:numId w:val="1"/>
        </w:numPr>
        <w:jc w:val="both"/>
      </w:pPr>
      <w:r w:rsidRPr="00EC5C84">
        <w:rPr>
          <w:rFonts w:asciiTheme="minorHAnsi" w:hAnsiTheme="minorHAnsi" w:cs="Arial"/>
        </w:rPr>
        <w:t xml:space="preserve">U pojistných událostí </w:t>
      </w:r>
      <w:r w:rsidR="00701138">
        <w:rPr>
          <w:rFonts w:asciiTheme="minorHAnsi" w:hAnsiTheme="minorHAnsi" w:cs="Arial"/>
        </w:rPr>
        <w:t>zhotovi</w:t>
      </w:r>
      <w:r w:rsidRPr="00EC5C84">
        <w:rPr>
          <w:rFonts w:asciiTheme="minorHAnsi" w:hAnsiTheme="minorHAnsi" w:cs="Arial"/>
        </w:rPr>
        <w:t>tel zajistí prohlídku vozidla likvidátorem pojišťovny</w:t>
      </w:r>
      <w:r w:rsidR="00701138">
        <w:rPr>
          <w:rFonts w:asciiTheme="minorHAnsi" w:hAnsiTheme="minorHAnsi" w:cs="Arial"/>
        </w:rPr>
        <w:t xml:space="preserve"> nebo dle smlouvy příslušné pojišťovny provede prohlídku ve své režii</w:t>
      </w:r>
      <w:r w:rsidRPr="00EC5C84">
        <w:rPr>
          <w:rFonts w:asciiTheme="minorHAnsi" w:hAnsiTheme="minorHAnsi" w:cs="Arial"/>
        </w:rPr>
        <w:t xml:space="preserve"> a postupuje dle daných pokynů.</w:t>
      </w:r>
    </w:p>
    <w:p w14:paraId="10DFB407" w14:textId="77777777" w:rsidR="00D84381" w:rsidRDefault="00D84381" w:rsidP="00D84381">
      <w:pPr>
        <w:pStyle w:val="Odstavecseseznamem"/>
      </w:pPr>
    </w:p>
    <w:p w14:paraId="710A25D0" w14:textId="77777777" w:rsidR="00D84381" w:rsidRDefault="00D84381" w:rsidP="00D8438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</w:rPr>
      </w:pPr>
      <w:r w:rsidRPr="00D84381">
        <w:rPr>
          <w:rFonts w:asciiTheme="minorHAnsi" w:hAnsiTheme="minorHAnsi" w:cs="Arial"/>
        </w:rPr>
        <w:t>Každou opravu vozidla</w:t>
      </w:r>
      <w:r>
        <w:rPr>
          <w:rFonts w:asciiTheme="minorHAnsi" w:hAnsiTheme="minorHAnsi" w:cs="Arial"/>
        </w:rPr>
        <w:t>,</w:t>
      </w:r>
      <w:r w:rsidRPr="00D8438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kdy částka</w:t>
      </w:r>
      <w:r w:rsidRPr="00D84381">
        <w:rPr>
          <w:rFonts w:asciiTheme="minorHAnsi" w:hAnsiTheme="minorHAnsi" w:cs="Arial"/>
        </w:rPr>
        <w:t xml:space="preserve"> přesáhne 1 000 Kč, bez ohledu na to, jak bude hrazena (z pojištění odpovědnosti, z havarijního pojištění nebo bez účasti pojišťovny – např. u částek, které nedosahují výše spolu</w:t>
      </w:r>
      <w:r w:rsidR="00E74CFE">
        <w:rPr>
          <w:rFonts w:asciiTheme="minorHAnsi" w:hAnsiTheme="minorHAnsi" w:cs="Arial"/>
        </w:rPr>
        <w:t>účasti u havarijního pojištění)</w:t>
      </w:r>
      <w:r w:rsidR="00E74CFE" w:rsidRPr="00E74CFE">
        <w:rPr>
          <w:rFonts w:asciiTheme="minorHAnsi" w:hAnsiTheme="minorHAnsi" w:cs="Arial"/>
        </w:rPr>
        <w:t xml:space="preserve"> </w:t>
      </w:r>
      <w:r w:rsidR="00E74CFE" w:rsidRPr="00D84381">
        <w:rPr>
          <w:rFonts w:asciiTheme="minorHAnsi" w:hAnsiTheme="minorHAnsi" w:cs="Arial"/>
        </w:rPr>
        <w:t>je třeba předem projednat s oprávněným pracovníkem o</w:t>
      </w:r>
      <w:r w:rsidR="00E74CFE">
        <w:rPr>
          <w:rFonts w:asciiTheme="minorHAnsi" w:hAnsiTheme="minorHAnsi" w:cs="Arial"/>
        </w:rPr>
        <w:t>bjedn</w:t>
      </w:r>
      <w:r w:rsidR="00E74CFE" w:rsidRPr="00D84381">
        <w:rPr>
          <w:rFonts w:asciiTheme="minorHAnsi" w:hAnsiTheme="minorHAnsi" w:cs="Arial"/>
        </w:rPr>
        <w:t>atele</w:t>
      </w:r>
      <w:r w:rsidR="00E74CFE">
        <w:rPr>
          <w:rFonts w:asciiTheme="minorHAnsi" w:hAnsiTheme="minorHAnsi" w:cs="Arial"/>
        </w:rPr>
        <w:t>.</w:t>
      </w:r>
    </w:p>
    <w:p w14:paraId="2D59A263" w14:textId="77777777" w:rsidR="00D84381" w:rsidRPr="00D84381" w:rsidRDefault="00D84381" w:rsidP="00D84381">
      <w:pPr>
        <w:pStyle w:val="Odstavecseseznamem"/>
        <w:rPr>
          <w:rFonts w:asciiTheme="minorHAnsi" w:hAnsiTheme="minorHAnsi" w:cs="Arial"/>
        </w:rPr>
      </w:pPr>
    </w:p>
    <w:p w14:paraId="62B77353" w14:textId="77777777" w:rsidR="00D84381" w:rsidRDefault="00E74CFE" w:rsidP="00D8438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</w:rPr>
      </w:pPr>
      <w:r w:rsidRPr="00EC5C84">
        <w:rPr>
          <w:rFonts w:asciiTheme="minorHAnsi" w:hAnsiTheme="minorHAnsi" w:cs="Arial"/>
        </w:rPr>
        <w:t xml:space="preserve">V případě, kdy </w:t>
      </w:r>
      <w:r>
        <w:rPr>
          <w:rFonts w:asciiTheme="minorHAnsi" w:hAnsiTheme="minorHAnsi" w:cs="Arial"/>
        </w:rPr>
        <w:t>zhotovi</w:t>
      </w:r>
      <w:r w:rsidRPr="00EC5C84">
        <w:rPr>
          <w:rFonts w:asciiTheme="minorHAnsi" w:hAnsiTheme="minorHAnsi" w:cs="Arial"/>
        </w:rPr>
        <w:t xml:space="preserve">tel bude mít pochybnosti o tom, zda je vozidlo užíváno oprávněným uživatelem, zejména s ohledem na jeho podezřelé chování, případně pokud vozidlo nebo jeho část ponese znaky nestandardního používání (neoriginální klíč, zablokované autorádio, atp.) bude neprodleně </w:t>
      </w:r>
      <w:r>
        <w:rPr>
          <w:rFonts w:asciiTheme="minorHAnsi" w:hAnsiTheme="minorHAnsi" w:cs="Arial"/>
        </w:rPr>
        <w:t>kontaktovat odpovědnou osobu objedn</w:t>
      </w:r>
      <w:r w:rsidRPr="00EC5C84">
        <w:rPr>
          <w:rFonts w:asciiTheme="minorHAnsi" w:hAnsiTheme="minorHAnsi" w:cs="Arial"/>
        </w:rPr>
        <w:t>atele.</w:t>
      </w:r>
    </w:p>
    <w:p w14:paraId="32D01C4F" w14:textId="77777777" w:rsidR="00E74CFE" w:rsidRPr="00E74CFE" w:rsidRDefault="00E74CFE" w:rsidP="00E74CFE">
      <w:pPr>
        <w:pStyle w:val="Odstavecseseznamem"/>
        <w:rPr>
          <w:rFonts w:asciiTheme="minorHAnsi" w:hAnsiTheme="minorHAnsi" w:cs="Arial"/>
        </w:rPr>
      </w:pPr>
    </w:p>
    <w:p w14:paraId="06C7DFCC" w14:textId="051785EE" w:rsidR="00E74CFE" w:rsidRPr="00930A42" w:rsidRDefault="00E74CFE" w:rsidP="00E74CFE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Zh</w:t>
      </w:r>
      <w:r w:rsidRPr="00EC5C84">
        <w:rPr>
          <w:rFonts w:asciiTheme="minorHAnsi" w:hAnsiTheme="minorHAnsi" w:cs="Arial"/>
        </w:rPr>
        <w:t>o</w:t>
      </w:r>
      <w:r>
        <w:rPr>
          <w:rFonts w:asciiTheme="minorHAnsi" w:hAnsiTheme="minorHAnsi" w:cs="Arial"/>
        </w:rPr>
        <w:t>tovitel bude informovat o</w:t>
      </w:r>
      <w:r w:rsidRPr="00EC5C84">
        <w:rPr>
          <w:rFonts w:asciiTheme="minorHAnsi" w:hAnsiTheme="minorHAnsi" w:cs="Arial"/>
        </w:rPr>
        <w:t>b</w:t>
      </w:r>
      <w:r>
        <w:rPr>
          <w:rFonts w:asciiTheme="minorHAnsi" w:hAnsiTheme="minorHAnsi" w:cs="Arial"/>
        </w:rPr>
        <w:t>jedn</w:t>
      </w:r>
      <w:r w:rsidRPr="00EC5C84">
        <w:rPr>
          <w:rFonts w:asciiTheme="minorHAnsi" w:hAnsiTheme="minorHAnsi" w:cs="Arial"/>
        </w:rPr>
        <w:t>atele i v případě, kdy vozidlo přistavené k opravě nebo údržbě bude vykazovat s ohledem na jeho stáří a ujeté kilometry neúměrné opotřebení nebo poškození, případně znaky neodborných oprav nebo úprav.</w:t>
      </w:r>
    </w:p>
    <w:p w14:paraId="0FB47EF8" w14:textId="77777777" w:rsidR="002717F7" w:rsidRDefault="005D3E17" w:rsidP="002717F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Obě strany </w:t>
      </w:r>
      <w:r w:rsidRPr="005D3E17">
        <w:rPr>
          <w:rFonts w:asciiTheme="minorHAnsi" w:hAnsiTheme="minorHAnsi" w:cs="Arial"/>
        </w:rPr>
        <w:t>zajistí, aby měl</w:t>
      </w:r>
      <w:r>
        <w:rPr>
          <w:rFonts w:asciiTheme="minorHAnsi" w:hAnsiTheme="minorHAnsi" w:cs="Arial"/>
        </w:rPr>
        <w:t>y</w:t>
      </w:r>
      <w:r w:rsidRPr="005D3E17">
        <w:rPr>
          <w:rFonts w:asciiTheme="minorHAnsi" w:hAnsiTheme="minorHAnsi" w:cs="Arial"/>
        </w:rPr>
        <w:t xml:space="preserve"> k dispozici </w:t>
      </w:r>
      <w:r>
        <w:rPr>
          <w:rFonts w:asciiTheme="minorHAnsi" w:hAnsiTheme="minorHAnsi" w:cs="Arial"/>
        </w:rPr>
        <w:t xml:space="preserve">vždy </w:t>
      </w:r>
      <w:r w:rsidRPr="005D3E17">
        <w:rPr>
          <w:rFonts w:asciiTheme="minorHAnsi" w:hAnsiTheme="minorHAnsi" w:cs="Arial"/>
        </w:rPr>
        <w:t>aktuální seznam</w:t>
      </w:r>
      <w:r>
        <w:rPr>
          <w:rFonts w:asciiTheme="minorHAnsi" w:hAnsiTheme="minorHAnsi" w:cs="Arial"/>
        </w:rPr>
        <w:t>y</w:t>
      </w:r>
      <w:r w:rsidRPr="005D3E17">
        <w:rPr>
          <w:rFonts w:asciiTheme="minorHAnsi" w:hAnsiTheme="minorHAnsi" w:cs="Arial"/>
        </w:rPr>
        <w:t xml:space="preserve"> pracovníků pověřených k</w:t>
      </w:r>
      <w:r w:rsidR="008620E0">
        <w:rPr>
          <w:rFonts w:asciiTheme="minorHAnsi" w:hAnsiTheme="minorHAnsi" w:cs="Arial"/>
        </w:rPr>
        <w:t> </w:t>
      </w:r>
      <w:r w:rsidRPr="005D3E17">
        <w:rPr>
          <w:rFonts w:asciiTheme="minorHAnsi" w:hAnsiTheme="minorHAnsi" w:cs="Arial"/>
        </w:rPr>
        <w:t>jednání</w:t>
      </w:r>
      <w:r w:rsidR="008620E0">
        <w:rPr>
          <w:rFonts w:asciiTheme="minorHAnsi" w:hAnsiTheme="minorHAnsi" w:cs="Arial"/>
        </w:rPr>
        <w:t xml:space="preserve"> – </w:t>
      </w:r>
      <w:proofErr w:type="gramStart"/>
      <w:r w:rsidR="008620E0">
        <w:rPr>
          <w:rFonts w:asciiTheme="minorHAnsi" w:hAnsiTheme="minorHAnsi" w:cs="Arial"/>
        </w:rPr>
        <w:t>viz. příloha</w:t>
      </w:r>
      <w:proofErr w:type="gramEnd"/>
      <w:r w:rsidR="008620E0">
        <w:rPr>
          <w:rFonts w:asciiTheme="minorHAnsi" w:hAnsiTheme="minorHAnsi" w:cs="Arial"/>
        </w:rPr>
        <w:t xml:space="preserve"> č. 1 a příloha č. 2, </w:t>
      </w:r>
      <w:r w:rsidR="003B52DD">
        <w:rPr>
          <w:rFonts w:asciiTheme="minorHAnsi" w:hAnsiTheme="minorHAnsi" w:cs="Arial"/>
        </w:rPr>
        <w:t xml:space="preserve">dále </w:t>
      </w:r>
      <w:r>
        <w:rPr>
          <w:rFonts w:asciiTheme="minorHAnsi" w:hAnsiTheme="minorHAnsi" w:cs="Arial"/>
        </w:rPr>
        <w:t>seznam vozidel k</w:t>
      </w:r>
      <w:r w:rsidR="008620E0">
        <w:rPr>
          <w:rFonts w:asciiTheme="minorHAnsi" w:hAnsiTheme="minorHAnsi" w:cs="Arial"/>
        </w:rPr>
        <w:t> </w:t>
      </w:r>
      <w:r>
        <w:rPr>
          <w:rFonts w:asciiTheme="minorHAnsi" w:hAnsiTheme="minorHAnsi" w:cs="Arial"/>
        </w:rPr>
        <w:t>oprav</w:t>
      </w:r>
      <w:r w:rsidR="003B52DD">
        <w:rPr>
          <w:rFonts w:asciiTheme="minorHAnsi" w:hAnsiTheme="minorHAnsi" w:cs="Arial"/>
        </w:rPr>
        <w:t>ám</w:t>
      </w:r>
      <w:r w:rsidR="008620E0">
        <w:rPr>
          <w:rFonts w:asciiTheme="minorHAnsi" w:hAnsiTheme="minorHAnsi" w:cs="Arial"/>
        </w:rPr>
        <w:t xml:space="preserve"> </w:t>
      </w:r>
      <w:r w:rsidR="003B52DD">
        <w:rPr>
          <w:rFonts w:asciiTheme="minorHAnsi" w:hAnsiTheme="minorHAnsi" w:cs="Arial"/>
        </w:rPr>
        <w:t>–</w:t>
      </w:r>
      <w:r>
        <w:rPr>
          <w:rFonts w:asciiTheme="minorHAnsi" w:hAnsiTheme="minorHAnsi" w:cs="Arial"/>
        </w:rPr>
        <w:t xml:space="preserve"> </w:t>
      </w:r>
      <w:r w:rsidR="003B52DD">
        <w:rPr>
          <w:rFonts w:asciiTheme="minorHAnsi" w:hAnsiTheme="minorHAnsi" w:cs="Arial"/>
        </w:rPr>
        <w:t xml:space="preserve">viz. </w:t>
      </w:r>
      <w:r>
        <w:rPr>
          <w:rFonts w:asciiTheme="minorHAnsi" w:hAnsiTheme="minorHAnsi" w:cs="Arial"/>
        </w:rPr>
        <w:t>příloh</w:t>
      </w:r>
      <w:r w:rsidR="008620E0">
        <w:rPr>
          <w:rFonts w:asciiTheme="minorHAnsi" w:hAnsiTheme="minorHAnsi" w:cs="Arial"/>
        </w:rPr>
        <w:t>a</w:t>
      </w:r>
      <w:r w:rsidRPr="005D3E17">
        <w:rPr>
          <w:rFonts w:asciiTheme="minorHAnsi" w:hAnsiTheme="minorHAnsi" w:cs="Arial"/>
        </w:rPr>
        <w:t xml:space="preserve"> č.</w:t>
      </w:r>
      <w:r>
        <w:rPr>
          <w:rFonts w:asciiTheme="minorHAnsi" w:hAnsiTheme="minorHAnsi" w:cs="Arial"/>
        </w:rPr>
        <w:t xml:space="preserve"> </w:t>
      </w:r>
      <w:r w:rsidR="008620E0">
        <w:rPr>
          <w:rFonts w:asciiTheme="minorHAnsi" w:hAnsiTheme="minorHAnsi" w:cs="Arial"/>
        </w:rPr>
        <w:t>3</w:t>
      </w:r>
      <w:r w:rsidR="00A448E8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případně jiné.</w:t>
      </w:r>
    </w:p>
    <w:p w14:paraId="7DD1ECBA" w14:textId="77777777" w:rsidR="00871F7F" w:rsidRDefault="002717F7" w:rsidP="002717F7">
      <w:pPr>
        <w:pStyle w:val="Odstavecseseznamem"/>
        <w:ind w:left="2844" w:firstLine="1404"/>
        <w:jc w:val="both"/>
      </w:pPr>
      <w:r>
        <w:t xml:space="preserve">   </w:t>
      </w:r>
    </w:p>
    <w:p w14:paraId="699D5D63" w14:textId="0F98EF6C" w:rsidR="00871F7F" w:rsidRDefault="00871F7F" w:rsidP="00871F7F">
      <w:pPr>
        <w:pStyle w:val="Odstavecseseznamem"/>
        <w:ind w:left="2844" w:firstLine="1404"/>
        <w:jc w:val="both"/>
      </w:pPr>
      <w:r>
        <w:tab/>
      </w:r>
      <w:r w:rsidR="00DA72F9" w:rsidRPr="00A44DF6">
        <w:t>III.</w:t>
      </w:r>
    </w:p>
    <w:p w14:paraId="130FD8D8" w14:textId="55148757" w:rsidR="00DA72F9" w:rsidRPr="00871F7F" w:rsidRDefault="00871F7F" w:rsidP="00871F7F">
      <w:pPr>
        <w:pStyle w:val="Odstavecseseznamem"/>
        <w:ind w:left="2844" w:firstLine="1404"/>
        <w:jc w:val="both"/>
      </w:pPr>
      <w:r>
        <w:t>P</w:t>
      </w:r>
      <w:r w:rsidR="00DA72F9" w:rsidRPr="00A44DF6">
        <w:t>latební podmínky</w:t>
      </w:r>
    </w:p>
    <w:p w14:paraId="61FE89A5" w14:textId="77777777" w:rsidR="00DA72F9" w:rsidRPr="00A44DF6" w:rsidRDefault="00DA72F9" w:rsidP="0027403C">
      <w:pPr>
        <w:jc w:val="both"/>
      </w:pPr>
    </w:p>
    <w:p w14:paraId="7CF35B1A" w14:textId="0123ADE5" w:rsidR="00DA72F9" w:rsidRPr="00A44DF6" w:rsidRDefault="00DA72F9" w:rsidP="0027403C">
      <w:pPr>
        <w:numPr>
          <w:ilvl w:val="0"/>
          <w:numId w:val="3"/>
        </w:numPr>
        <w:jc w:val="both"/>
      </w:pPr>
      <w:r w:rsidRPr="00A44DF6">
        <w:t>Objednatel je při bezhotovostní úhradě povinen vyúč</w:t>
      </w:r>
      <w:r w:rsidR="0039780F">
        <w:t>tovanou cenu za jednotlivé dílo</w:t>
      </w:r>
      <w:r w:rsidRPr="00A44DF6">
        <w:t xml:space="preserve"> zaplatit ve lhůtě stanovené v daňovém dokladu, která činí </w:t>
      </w:r>
      <w:r w:rsidR="0039780F">
        <w:t>maxi</w:t>
      </w:r>
      <w:r w:rsidRPr="00A44DF6">
        <w:t xml:space="preserve">málně </w:t>
      </w:r>
      <w:r w:rsidR="00AB0E6E" w:rsidRPr="00EE71E3">
        <w:t>14</w:t>
      </w:r>
      <w:r w:rsidRPr="00EE71E3">
        <w:t xml:space="preserve"> dnů</w:t>
      </w:r>
      <w:r w:rsidRPr="00A44DF6">
        <w:t xml:space="preserve"> od </w:t>
      </w:r>
      <w:r w:rsidR="006E57D5">
        <w:t>vystavení faktury</w:t>
      </w:r>
      <w:r w:rsidRPr="00A44DF6">
        <w:t>.  Odpovědnost za nedodržení zaplacení ceny řádně a včas nese objednatel.</w:t>
      </w:r>
    </w:p>
    <w:p w14:paraId="1EFADE52" w14:textId="66742484" w:rsidR="00DA72F9" w:rsidRPr="00A44DF6" w:rsidRDefault="00DA72F9" w:rsidP="0027403C">
      <w:pPr>
        <w:numPr>
          <w:ilvl w:val="0"/>
          <w:numId w:val="3"/>
        </w:numPr>
        <w:jc w:val="both"/>
      </w:pPr>
      <w:r w:rsidRPr="00A44DF6">
        <w:lastRenderedPageBreak/>
        <w:t>V případě prodlení se zaplacením ceny za dílo řádně a včas se zavazuje objednatel zaplatit zhotoviteli smluvní pokutu ve výši 0,1</w:t>
      </w:r>
      <w:r w:rsidR="00EE71E3">
        <w:t xml:space="preserve"> </w:t>
      </w:r>
      <w:r w:rsidRPr="00A44DF6">
        <w:t xml:space="preserve">% z dlužné částky za každý i započatý den prodlení se splněním tohoto závazku. </w:t>
      </w:r>
    </w:p>
    <w:p w14:paraId="0478C050" w14:textId="630879C9" w:rsidR="00AE2AAC" w:rsidRPr="00A44DF6" w:rsidRDefault="00DA72F9" w:rsidP="0027403C">
      <w:pPr>
        <w:numPr>
          <w:ilvl w:val="0"/>
          <w:numId w:val="3"/>
        </w:numPr>
        <w:jc w:val="both"/>
      </w:pPr>
      <w:r w:rsidRPr="00A44DF6">
        <w:t>V případě že ob</w:t>
      </w:r>
      <w:r w:rsidR="0039780F">
        <w:t xml:space="preserve">jednatel bude v době účinnosti </w:t>
      </w:r>
      <w:r w:rsidRPr="00A44DF6">
        <w:t>této smlouvy v prodlení se splněním jakéhokoliv závazku z jakékoliv jednotlivé smlouvy o dílo, má zhotovitel právo požadovat zaplacení ceny za dílo při předání vozidla po provedení servisní služby a objednatel</w:t>
      </w:r>
      <w:r w:rsidR="0039780F">
        <w:t xml:space="preserve"> se zavazuje cenu při předání </w:t>
      </w:r>
      <w:r w:rsidRPr="00A44DF6">
        <w:t xml:space="preserve">vozidla zaplatit. </w:t>
      </w:r>
    </w:p>
    <w:p w14:paraId="47FC6414" w14:textId="77777777" w:rsidR="00DA31F3" w:rsidRDefault="00DA31F3" w:rsidP="00DA72F9">
      <w:pPr>
        <w:jc w:val="center"/>
      </w:pPr>
    </w:p>
    <w:p w14:paraId="27767077" w14:textId="7BB0C82D" w:rsidR="00DA72F9" w:rsidRPr="00A44DF6" w:rsidRDefault="00DA72F9" w:rsidP="00DA72F9">
      <w:pPr>
        <w:jc w:val="center"/>
      </w:pPr>
      <w:r w:rsidRPr="00A44DF6">
        <w:t>IV.</w:t>
      </w:r>
    </w:p>
    <w:p w14:paraId="05C54FF0" w14:textId="77777777" w:rsidR="00DA72F9" w:rsidRPr="00A44DF6" w:rsidRDefault="00DA72F9" w:rsidP="00DA72F9">
      <w:pPr>
        <w:jc w:val="center"/>
      </w:pPr>
      <w:r w:rsidRPr="00A44DF6">
        <w:t>Rozhodné právo a soudní příslušnost</w:t>
      </w:r>
    </w:p>
    <w:p w14:paraId="7D986155" w14:textId="77777777" w:rsidR="00DA72F9" w:rsidRPr="00A44DF6" w:rsidRDefault="00DA72F9" w:rsidP="00DA72F9">
      <w:pPr>
        <w:jc w:val="center"/>
      </w:pPr>
    </w:p>
    <w:p w14:paraId="59DAEE17" w14:textId="77777777" w:rsidR="00DA72F9" w:rsidRPr="00A44DF6" w:rsidRDefault="00DA72F9" w:rsidP="00DA72F9">
      <w:pPr>
        <w:numPr>
          <w:ilvl w:val="0"/>
          <w:numId w:val="4"/>
        </w:numPr>
        <w:jc w:val="both"/>
      </w:pPr>
      <w:r w:rsidRPr="00A44DF6">
        <w:t>Veškeré případné spory, které by z této smlouvy nebo v souvislosti s ní vznikly, budou smluvní strany řešit vzájemnou dohodou.</w:t>
      </w:r>
    </w:p>
    <w:p w14:paraId="3EECDE11" w14:textId="1D63CF6F" w:rsidR="00DA72F9" w:rsidRPr="00A44DF6" w:rsidRDefault="00DA72F9" w:rsidP="00DA72F9">
      <w:pPr>
        <w:numPr>
          <w:ilvl w:val="0"/>
          <w:numId w:val="4"/>
        </w:numPr>
        <w:jc w:val="both"/>
      </w:pPr>
      <w:r w:rsidRPr="00A44DF6">
        <w:t xml:space="preserve">Pokud nebude dosaženo smírného řešení, </w:t>
      </w:r>
      <w:r w:rsidR="006E57D5">
        <w:t>spor bude řešen u věcně a místně příslušného soudu</w:t>
      </w:r>
      <w:r w:rsidRPr="00A44DF6">
        <w:t xml:space="preserve">. </w:t>
      </w:r>
    </w:p>
    <w:p w14:paraId="201019BB" w14:textId="77777777" w:rsidR="00DA72F9" w:rsidRPr="00A44DF6" w:rsidRDefault="00DA72F9" w:rsidP="00DA72F9">
      <w:pPr>
        <w:numPr>
          <w:ilvl w:val="0"/>
          <w:numId w:val="4"/>
        </w:numPr>
        <w:jc w:val="both"/>
      </w:pPr>
      <w:r w:rsidRPr="00A44DF6">
        <w:t>Tato smlouva, jakož i vztahy z ní vzniklé se řídí českým právním řádem.</w:t>
      </w:r>
    </w:p>
    <w:p w14:paraId="3A9EA202" w14:textId="77777777" w:rsidR="00DA72F9" w:rsidRPr="00A44DF6" w:rsidRDefault="00DA72F9" w:rsidP="00DA72F9">
      <w:pPr>
        <w:jc w:val="both"/>
      </w:pPr>
    </w:p>
    <w:p w14:paraId="72B9ECC8" w14:textId="77777777" w:rsidR="00DA72F9" w:rsidRPr="00A44DF6" w:rsidRDefault="00DA72F9" w:rsidP="00DA72F9">
      <w:pPr>
        <w:jc w:val="center"/>
      </w:pPr>
      <w:r w:rsidRPr="00A44DF6">
        <w:t>V.</w:t>
      </w:r>
    </w:p>
    <w:p w14:paraId="61BDAE7D" w14:textId="77777777" w:rsidR="00DA72F9" w:rsidRPr="00A44DF6" w:rsidRDefault="00DA72F9" w:rsidP="00DA72F9">
      <w:pPr>
        <w:jc w:val="center"/>
      </w:pPr>
      <w:r w:rsidRPr="00A44DF6">
        <w:t>Závěrečná ustanovení</w:t>
      </w:r>
    </w:p>
    <w:p w14:paraId="44DBD8BC" w14:textId="77777777" w:rsidR="00DA72F9" w:rsidRPr="00A44DF6" w:rsidRDefault="00DA72F9" w:rsidP="00DA72F9">
      <w:pPr>
        <w:jc w:val="both"/>
      </w:pPr>
    </w:p>
    <w:p w14:paraId="5056C222" w14:textId="77777777" w:rsidR="00BA3A68" w:rsidRDefault="006E57D5" w:rsidP="00DA72F9">
      <w:pPr>
        <w:numPr>
          <w:ilvl w:val="0"/>
          <w:numId w:val="5"/>
        </w:numPr>
        <w:jc w:val="both"/>
      </w:pPr>
      <w:r>
        <w:t xml:space="preserve">Zhotovitel prohlašuje, že byl seznámen s etickými pravidly spolupráce s obchodními partnery Skupiny PRE (dále jen „EPS“), která jsou veřejně dostupná na internetových stránkách všech společností </w:t>
      </w:r>
      <w:r w:rsidR="00BA3A68">
        <w:t xml:space="preserve">Skupiny PRE </w:t>
      </w:r>
      <w:hyperlink r:id="rId7" w:history="1">
        <w:r w:rsidR="00BA3A68" w:rsidRPr="008B6AD4">
          <w:rPr>
            <w:rStyle w:val="Hypertextovodkaz"/>
          </w:rPr>
          <w:t>https://www.pre.cz/cs/profil-spolecnosti/o-nas/informace-pro-smluvni-partnery/eticka-pravidla-spoluprace-s-obchodnimi-partnery/</w:t>
        </w:r>
      </w:hyperlink>
      <w:r w:rsidR="00BA3A68">
        <w:t xml:space="preserve"> . Zhotovitel tímto prohlašuje, že vykonává veškeré své aktivity plně v souladu s EPS a tato dodržuje.</w:t>
      </w:r>
    </w:p>
    <w:p w14:paraId="411690A5" w14:textId="2287B8B0" w:rsidR="00DA72F9" w:rsidRPr="00A44DF6" w:rsidRDefault="00DA72F9" w:rsidP="00DA72F9">
      <w:pPr>
        <w:numPr>
          <w:ilvl w:val="0"/>
          <w:numId w:val="5"/>
        </w:numPr>
        <w:jc w:val="both"/>
      </w:pPr>
      <w:r w:rsidRPr="00A44DF6">
        <w:t>Tato smlouva</w:t>
      </w:r>
      <w:r w:rsidR="0039780F">
        <w:t xml:space="preserve"> nabývá účinnosti dnem podpisu </w:t>
      </w:r>
      <w:r w:rsidRPr="00A44DF6">
        <w:t xml:space="preserve">obou smluvních stran a sjednává se na dobu neurčitou s možností výpovědi kterékoliv ze smluvních stran bez uvedení důvodu s tříměsíční výpovědní dobou, která počíná běžet prvním dnem měsíce následujícího po doručení </w:t>
      </w:r>
      <w:r w:rsidR="00BA3A68">
        <w:t xml:space="preserve">výpovědi </w:t>
      </w:r>
      <w:r w:rsidRPr="00A44DF6">
        <w:t xml:space="preserve">druhé smluvní straně. </w:t>
      </w:r>
    </w:p>
    <w:p w14:paraId="19B7D672" w14:textId="77777777" w:rsidR="00DA72F9" w:rsidRDefault="00DA72F9" w:rsidP="00DA72F9">
      <w:pPr>
        <w:numPr>
          <w:ilvl w:val="0"/>
          <w:numId w:val="5"/>
        </w:numPr>
        <w:jc w:val="both"/>
      </w:pPr>
      <w:r w:rsidRPr="00A44DF6">
        <w:t>Veškeré změny této smlouvy musejí být činěny písemnou formou a podepsány osobami oprávněnými jednat za smluvní strany.</w:t>
      </w:r>
    </w:p>
    <w:p w14:paraId="77A36C5D" w14:textId="61383757" w:rsidR="00DA72F9" w:rsidRDefault="003C43C2" w:rsidP="00DA72F9">
      <w:pPr>
        <w:numPr>
          <w:ilvl w:val="0"/>
          <w:numId w:val="5"/>
        </w:numPr>
        <w:jc w:val="both"/>
      </w:pPr>
      <w:r>
        <w:t xml:space="preserve">Tato </w:t>
      </w:r>
      <w:r w:rsidR="00DA72F9" w:rsidRPr="00A44DF6">
        <w:t xml:space="preserve">Smlouva </w:t>
      </w:r>
      <w:r>
        <w:t>se uzavírá elektronicky, je podepsána v 1 originále pomocí uznávaných elektronických podpisů osob oprávněných jednat za Smluvní strany.</w:t>
      </w:r>
    </w:p>
    <w:p w14:paraId="62384624" w14:textId="39C8C2D5" w:rsidR="00A214A1" w:rsidRDefault="0063283D" w:rsidP="00DA72F9">
      <w:pPr>
        <w:numPr>
          <w:ilvl w:val="0"/>
          <w:numId w:val="5"/>
        </w:numPr>
        <w:jc w:val="both"/>
      </w:pPr>
      <w:r>
        <w:t>Smluvní strany souhlasí se zveřejněním této smlouvy v jejím plném znění dle zákona č. 340 / 2015 Sb., o registru smluv. Objednatel zajistí uveřejnění smlouvy.</w:t>
      </w:r>
    </w:p>
    <w:p w14:paraId="0C0C4C16" w14:textId="77777777" w:rsidR="00A214A1" w:rsidRDefault="00A214A1" w:rsidP="00DA72F9">
      <w:pPr>
        <w:jc w:val="both"/>
      </w:pPr>
    </w:p>
    <w:p w14:paraId="65064FBA" w14:textId="21E9510A" w:rsidR="00DA72F9" w:rsidRPr="00A44DF6" w:rsidRDefault="00DA72F9" w:rsidP="00DA72F9">
      <w:pPr>
        <w:jc w:val="both"/>
      </w:pPr>
      <w:r w:rsidRPr="00A44DF6">
        <w:t>V</w:t>
      </w:r>
      <w:r w:rsidR="00A2640C">
        <w:t> </w:t>
      </w:r>
      <w:r w:rsidR="009D58F0">
        <w:t>Benešově</w:t>
      </w:r>
      <w:r w:rsidR="0039780F">
        <w:t xml:space="preserve"> dne</w:t>
      </w:r>
      <w:r w:rsidR="0027403C">
        <w:t xml:space="preserve"> …………………</w:t>
      </w:r>
      <w:r w:rsidR="00A2640C">
        <w:t>………………………</w:t>
      </w:r>
      <w:r w:rsidR="008520FA">
        <w:t>.</w:t>
      </w:r>
      <w:r w:rsidR="008520FA">
        <w:tab/>
      </w:r>
      <w:r w:rsidR="0027403C">
        <w:tab/>
      </w:r>
      <w:r w:rsidR="0027403C" w:rsidRPr="00A44DF6">
        <w:t>V</w:t>
      </w:r>
      <w:r w:rsidR="0062494B">
        <w:t> </w:t>
      </w:r>
      <w:proofErr w:type="gramStart"/>
      <w:r w:rsidR="0062494B">
        <w:t>Sedlci-</w:t>
      </w:r>
      <w:proofErr w:type="spellStart"/>
      <w:r w:rsidR="0062494B">
        <w:t>Prčici</w:t>
      </w:r>
      <w:proofErr w:type="spellEnd"/>
      <w:r w:rsidR="00245F5C">
        <w:t xml:space="preserve"> </w:t>
      </w:r>
      <w:r w:rsidR="009D58F0">
        <w:t xml:space="preserve"> dne</w:t>
      </w:r>
      <w:proofErr w:type="gramEnd"/>
      <w:r w:rsidR="00271AF3">
        <w:t xml:space="preserve"> </w:t>
      </w:r>
      <w:r w:rsidR="009D58F0">
        <w:t xml:space="preserve">……………………………………………   </w:t>
      </w:r>
    </w:p>
    <w:p w14:paraId="6BACF04B" w14:textId="77777777" w:rsidR="005451B1" w:rsidRDefault="005451B1" w:rsidP="00DA72F9">
      <w:pPr>
        <w:jc w:val="both"/>
      </w:pPr>
    </w:p>
    <w:p w14:paraId="277001BF" w14:textId="77777777" w:rsidR="00FC6468" w:rsidRDefault="00FC6468" w:rsidP="00DA72F9">
      <w:pPr>
        <w:jc w:val="both"/>
      </w:pPr>
    </w:p>
    <w:p w14:paraId="601EE5FB" w14:textId="77777777" w:rsidR="00CD164E" w:rsidRDefault="00CD164E" w:rsidP="00DA72F9">
      <w:pPr>
        <w:jc w:val="both"/>
      </w:pPr>
    </w:p>
    <w:p w14:paraId="1D1D7752" w14:textId="77777777" w:rsidR="00CD164E" w:rsidRDefault="00CD164E" w:rsidP="00DA72F9">
      <w:pPr>
        <w:jc w:val="both"/>
      </w:pPr>
    </w:p>
    <w:p w14:paraId="0E20E11A" w14:textId="77777777" w:rsidR="00CD164E" w:rsidRDefault="00CD164E" w:rsidP="00DA72F9">
      <w:pPr>
        <w:jc w:val="both"/>
      </w:pPr>
    </w:p>
    <w:p w14:paraId="27022A63" w14:textId="77777777" w:rsidR="00CD164E" w:rsidRDefault="00CD164E" w:rsidP="00DA72F9">
      <w:pPr>
        <w:jc w:val="both"/>
      </w:pPr>
    </w:p>
    <w:p w14:paraId="1C7F64D3" w14:textId="77777777" w:rsidR="00CD164E" w:rsidRDefault="00CD164E" w:rsidP="00DA72F9">
      <w:pPr>
        <w:jc w:val="both"/>
      </w:pPr>
    </w:p>
    <w:p w14:paraId="174AB735" w14:textId="5E4BBEDA" w:rsidR="00DA72F9" w:rsidRPr="00A44DF6" w:rsidRDefault="00DA72F9" w:rsidP="00DA72F9">
      <w:pPr>
        <w:jc w:val="both"/>
      </w:pPr>
      <w:r w:rsidRPr="00A44DF6">
        <w:t>…………………………………………………………</w:t>
      </w:r>
      <w:r w:rsidR="0027403C">
        <w:t>…………</w:t>
      </w:r>
      <w:r w:rsidR="0027403C">
        <w:tab/>
      </w:r>
      <w:r w:rsidR="0027403C">
        <w:tab/>
      </w:r>
      <w:r w:rsidR="0029199A">
        <w:t xml:space="preserve">   </w:t>
      </w:r>
      <w:r w:rsidRPr="00A44DF6">
        <w:t>……………………………………………………</w:t>
      </w:r>
      <w:r w:rsidR="0027403C">
        <w:t>……………..</w:t>
      </w:r>
    </w:p>
    <w:p w14:paraId="28632DF8" w14:textId="68403722" w:rsidR="009C5811" w:rsidRDefault="00DA72F9" w:rsidP="0027403C">
      <w:pPr>
        <w:jc w:val="both"/>
      </w:pPr>
      <w:r w:rsidRPr="00A44DF6">
        <w:tab/>
      </w:r>
      <w:r w:rsidR="00AE142B">
        <w:t xml:space="preserve">   </w:t>
      </w:r>
      <w:r w:rsidR="0029199A">
        <w:t xml:space="preserve">       </w:t>
      </w:r>
      <w:r w:rsidR="00AE142B">
        <w:t xml:space="preserve"> </w:t>
      </w:r>
      <w:r w:rsidR="00A2640C" w:rsidRPr="00AE59C1">
        <w:rPr>
          <w:b/>
          <w:bCs/>
        </w:rPr>
        <w:t>Za z</w:t>
      </w:r>
      <w:r w:rsidRPr="00AE59C1">
        <w:rPr>
          <w:b/>
          <w:bCs/>
        </w:rPr>
        <w:t>hotovitel</w:t>
      </w:r>
      <w:r w:rsidR="00A2640C" w:rsidRPr="00AE59C1">
        <w:rPr>
          <w:b/>
          <w:bCs/>
        </w:rPr>
        <w:t>e</w:t>
      </w:r>
      <w:r w:rsidRPr="00A44DF6">
        <w:tab/>
      </w:r>
      <w:r w:rsidR="00AE142B">
        <w:tab/>
      </w:r>
      <w:r w:rsidR="00AE142B">
        <w:tab/>
      </w:r>
      <w:r w:rsidR="00AE142B">
        <w:tab/>
      </w:r>
      <w:r w:rsidR="0029199A">
        <w:tab/>
      </w:r>
      <w:r w:rsidR="0029199A">
        <w:tab/>
      </w:r>
      <w:r w:rsidR="00AE142B" w:rsidRPr="00AE59C1">
        <w:rPr>
          <w:b/>
          <w:bCs/>
        </w:rPr>
        <w:t>Z</w:t>
      </w:r>
      <w:r w:rsidR="00A2640C" w:rsidRPr="00AE59C1">
        <w:rPr>
          <w:b/>
          <w:bCs/>
        </w:rPr>
        <w:t>a o</w:t>
      </w:r>
      <w:r w:rsidRPr="00AE59C1">
        <w:rPr>
          <w:b/>
          <w:bCs/>
        </w:rPr>
        <w:t>bjednatel</w:t>
      </w:r>
      <w:r w:rsidR="00A2640C" w:rsidRPr="00AE59C1">
        <w:rPr>
          <w:b/>
          <w:bCs/>
        </w:rPr>
        <w:t>e</w:t>
      </w:r>
    </w:p>
    <w:p w14:paraId="110B0D25" w14:textId="58FF0D02" w:rsidR="00AE142B" w:rsidRDefault="0029199A" w:rsidP="00AE142B">
      <w:pPr>
        <w:ind w:firstLine="708"/>
        <w:jc w:val="both"/>
      </w:pPr>
      <w:r>
        <w:t xml:space="preserve">         </w:t>
      </w:r>
      <w:r w:rsidR="00A2640C">
        <w:t>Ing. Marek Šimí</w:t>
      </w:r>
      <w:r>
        <w:t>k</w:t>
      </w:r>
      <w:r>
        <w:tab/>
      </w:r>
      <w:r>
        <w:tab/>
      </w:r>
      <w:r>
        <w:tab/>
      </w:r>
      <w:r>
        <w:tab/>
      </w:r>
      <w:r>
        <w:tab/>
        <w:t xml:space="preserve">         Mgr. Stanislav Urban</w:t>
      </w:r>
    </w:p>
    <w:p w14:paraId="74542ECC" w14:textId="21AB7ED8" w:rsidR="0062494B" w:rsidRDefault="0029199A" w:rsidP="0062494B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t xml:space="preserve">    </w:t>
      </w:r>
      <w:r w:rsidR="00A2640C">
        <w:t>jednatel AUTO IN s.r.</w:t>
      </w:r>
      <w:r>
        <w:t>o.</w:t>
      </w:r>
      <w:r>
        <w:tab/>
      </w:r>
      <w:r>
        <w:tab/>
      </w:r>
      <w:r>
        <w:tab/>
      </w:r>
      <w:r w:rsidR="00AE142B" w:rsidRPr="00642EA9">
        <w:t xml:space="preserve"> </w:t>
      </w:r>
      <w:r w:rsidRPr="00642EA9">
        <w:t xml:space="preserve">      </w:t>
      </w:r>
      <w:r w:rsidR="00642EA9">
        <w:t xml:space="preserve">   </w:t>
      </w:r>
      <w:r w:rsidRPr="00642EA9">
        <w:t xml:space="preserve"> </w:t>
      </w:r>
      <w:r w:rsidRPr="00642EA9">
        <w:rPr>
          <w:rFonts w:ascii="Times New Roman" w:hAnsi="Times New Roman"/>
          <w:color w:val="000000"/>
        </w:rPr>
        <w:t xml:space="preserve">ředitel DDŠ Sedlec </w:t>
      </w:r>
      <w:r w:rsidR="0062494B">
        <w:rPr>
          <w:rFonts w:ascii="Times New Roman" w:hAnsi="Times New Roman"/>
          <w:color w:val="000000"/>
        </w:rPr>
        <w:t>–</w:t>
      </w:r>
      <w:r w:rsidRPr="00642EA9">
        <w:rPr>
          <w:rFonts w:ascii="Times New Roman" w:hAnsi="Times New Roman"/>
          <w:color w:val="000000"/>
        </w:rPr>
        <w:t xml:space="preserve"> Prčice</w:t>
      </w:r>
    </w:p>
    <w:p w14:paraId="764500EA" w14:textId="77777777" w:rsidR="0062494B" w:rsidRDefault="0062494B" w:rsidP="0062494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D06C72" w14:textId="77777777" w:rsidR="0062494B" w:rsidRDefault="0062494B" w:rsidP="003917BE">
      <w:pPr>
        <w:jc w:val="both"/>
        <w:rPr>
          <w:u w:val="single"/>
        </w:rPr>
      </w:pPr>
    </w:p>
    <w:p w14:paraId="0103A529" w14:textId="68F3B0BF" w:rsidR="00CD164E" w:rsidRPr="0062494B" w:rsidRDefault="00AE2AAC" w:rsidP="003917BE">
      <w:pPr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62494B">
        <w:rPr>
          <w:u w:val="single"/>
        </w:rPr>
        <w:t>Seznam příloh:</w:t>
      </w:r>
    </w:p>
    <w:p w14:paraId="75F52A2B" w14:textId="7743D9B3" w:rsidR="003917BE" w:rsidRDefault="00CB58AD" w:rsidP="003917BE">
      <w:pPr>
        <w:jc w:val="both"/>
      </w:pPr>
      <w:r>
        <w:t xml:space="preserve">Příloha č. 1 - </w:t>
      </w:r>
      <w:r w:rsidR="00AE2AAC">
        <w:t>Kontaktní osoby objednatele</w:t>
      </w:r>
    </w:p>
    <w:p w14:paraId="390D8CE2" w14:textId="77777777" w:rsidR="003917BE" w:rsidRDefault="00CB58AD" w:rsidP="003917BE">
      <w:pPr>
        <w:jc w:val="both"/>
        <w:rPr>
          <w:rFonts w:ascii="Times New Roman" w:hAnsi="Times New Roman"/>
          <w:sz w:val="24"/>
          <w:szCs w:val="24"/>
        </w:rPr>
      </w:pPr>
      <w:r>
        <w:t xml:space="preserve">Příloha č. 2 - </w:t>
      </w:r>
      <w:r w:rsidR="00AE2AAC">
        <w:t>Kontaktní osoby zhotovitele</w:t>
      </w:r>
    </w:p>
    <w:p w14:paraId="7C6A116F" w14:textId="6FE4D6B3" w:rsidR="00B929AB" w:rsidRPr="003917BE" w:rsidRDefault="00CD7359" w:rsidP="003917BE">
      <w:pPr>
        <w:jc w:val="both"/>
        <w:rPr>
          <w:rFonts w:ascii="Times New Roman" w:hAnsi="Times New Roman"/>
          <w:sz w:val="24"/>
          <w:szCs w:val="24"/>
        </w:rPr>
      </w:pPr>
      <w:r>
        <w:t xml:space="preserve">Příloha č. 3 - Seznam vozidel </w:t>
      </w:r>
    </w:p>
    <w:p w14:paraId="3734207C" w14:textId="7322969A" w:rsidR="0011711B" w:rsidRPr="003917BE" w:rsidRDefault="0011711B" w:rsidP="0011711B">
      <w:pPr>
        <w:jc w:val="both"/>
        <w:rPr>
          <w:b/>
        </w:rPr>
      </w:pPr>
      <w:r w:rsidRPr="00A303FA">
        <w:rPr>
          <w:b/>
          <w:bCs/>
        </w:rPr>
        <w:lastRenderedPageBreak/>
        <w:t>Příloha č. 1</w:t>
      </w:r>
      <w:r w:rsidR="00A303FA">
        <w:rPr>
          <w:b/>
          <w:bCs/>
        </w:rPr>
        <w:t xml:space="preserve"> -</w:t>
      </w:r>
      <w:r w:rsidR="00A303FA">
        <w:t xml:space="preserve"> </w:t>
      </w:r>
      <w:r w:rsidRPr="003917BE">
        <w:rPr>
          <w:b/>
        </w:rPr>
        <w:t>Kontaktní osoby objednavatele</w:t>
      </w:r>
      <w:r w:rsidR="00A303FA">
        <w:rPr>
          <w:b/>
        </w:rPr>
        <w:t>:</w:t>
      </w:r>
    </w:p>
    <w:p w14:paraId="131E3C54" w14:textId="77777777" w:rsidR="0011711B" w:rsidRPr="003917BE" w:rsidRDefault="0011711B" w:rsidP="0011711B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6E61836B" w14:textId="570A995C" w:rsidR="002D71EA" w:rsidRPr="003917BE" w:rsidRDefault="0011711B" w:rsidP="0062494B">
      <w:pPr>
        <w:pStyle w:val="Default"/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917BE">
        <w:rPr>
          <w:rFonts w:asciiTheme="minorHAnsi" w:hAnsiTheme="minorHAnsi" w:cstheme="minorHAnsi"/>
          <w:color w:val="auto"/>
          <w:sz w:val="22"/>
          <w:szCs w:val="22"/>
        </w:rPr>
        <w:t>Mgr. Stanislav Urban, ředitel, tel</w:t>
      </w:r>
      <w:r w:rsidR="0073252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732527">
        <w:rPr>
          <w:rFonts w:asciiTheme="minorHAnsi" w:hAnsiTheme="minorHAnsi" w:cstheme="minorHAnsi"/>
          <w:color w:val="auto"/>
          <w:sz w:val="22"/>
          <w:szCs w:val="22"/>
        </w:rPr>
        <w:t>xxx</w:t>
      </w:r>
      <w:proofErr w:type="spellEnd"/>
    </w:p>
    <w:p w14:paraId="2980A758" w14:textId="19FA580B" w:rsidR="002D71EA" w:rsidRPr="003917BE" w:rsidRDefault="00732527" w:rsidP="0062494B">
      <w:pPr>
        <w:pStyle w:val="Default"/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xxx</w:t>
      </w:r>
      <w:proofErr w:type="spellEnd"/>
      <w:r w:rsidR="002D71EA" w:rsidRPr="003917BE">
        <w:rPr>
          <w:rFonts w:asciiTheme="minorHAnsi" w:hAnsiTheme="minorHAnsi" w:cstheme="minorHAnsi"/>
          <w:color w:val="auto"/>
          <w:sz w:val="22"/>
          <w:szCs w:val="22"/>
        </w:rPr>
        <w:t xml:space="preserve">, sekretariát ředitele, tel.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xxx</w:t>
      </w:r>
      <w:proofErr w:type="spellEnd"/>
    </w:p>
    <w:p w14:paraId="5D3892FF" w14:textId="6DD5000E" w:rsidR="002D71EA" w:rsidRPr="003917BE" w:rsidRDefault="00732527" w:rsidP="0062494B">
      <w:pPr>
        <w:pStyle w:val="Default"/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xxx</w:t>
      </w:r>
      <w:proofErr w:type="spellEnd"/>
      <w:r w:rsidR="002D71EA" w:rsidRPr="003917BE">
        <w:rPr>
          <w:rFonts w:asciiTheme="minorHAnsi" w:hAnsiTheme="minorHAnsi" w:cstheme="minorHAnsi"/>
          <w:color w:val="auto"/>
          <w:sz w:val="22"/>
          <w:szCs w:val="22"/>
        </w:rPr>
        <w:t xml:space="preserve"> referent majetkové správy, tel.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xxx</w:t>
      </w:r>
      <w:proofErr w:type="spellEnd"/>
    </w:p>
    <w:p w14:paraId="5D220670" w14:textId="104AD3BC" w:rsidR="0011711B" w:rsidRPr="003917BE" w:rsidRDefault="0011711B" w:rsidP="002D71E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1A47BD3" w14:textId="77777777" w:rsidR="002075BF" w:rsidRDefault="002075BF" w:rsidP="004F01EB">
      <w:pPr>
        <w:jc w:val="both"/>
        <w:rPr>
          <w:b/>
          <w:bCs/>
        </w:rPr>
      </w:pPr>
    </w:p>
    <w:p w14:paraId="1589B41B" w14:textId="77777777" w:rsidR="002075BF" w:rsidRDefault="002075BF" w:rsidP="004F01EB">
      <w:pPr>
        <w:jc w:val="both"/>
        <w:rPr>
          <w:b/>
          <w:bCs/>
        </w:rPr>
      </w:pPr>
    </w:p>
    <w:p w14:paraId="7A9BC0AD" w14:textId="1AA31957" w:rsidR="004F01EB" w:rsidRPr="003917BE" w:rsidRDefault="004F01EB" w:rsidP="004F01EB">
      <w:pPr>
        <w:jc w:val="both"/>
        <w:rPr>
          <w:b/>
        </w:rPr>
      </w:pPr>
      <w:r w:rsidRPr="00A303FA">
        <w:rPr>
          <w:b/>
          <w:bCs/>
        </w:rPr>
        <w:t>Příloha č. 2</w:t>
      </w:r>
      <w:r w:rsidR="00A303FA">
        <w:rPr>
          <w:b/>
          <w:bCs/>
        </w:rPr>
        <w:t xml:space="preserve"> - </w:t>
      </w:r>
      <w:r w:rsidRPr="003917BE">
        <w:rPr>
          <w:b/>
        </w:rPr>
        <w:t>Kontaktní osoby zhotovitele</w:t>
      </w:r>
      <w:r w:rsidR="00A303FA">
        <w:rPr>
          <w:b/>
        </w:rPr>
        <w:t>:</w:t>
      </w:r>
    </w:p>
    <w:p w14:paraId="47CA2333" w14:textId="77777777" w:rsidR="003917BE" w:rsidRDefault="003917BE" w:rsidP="00773CA4">
      <w:pPr>
        <w:rPr>
          <w:rFonts w:asciiTheme="minorHAnsi" w:hAnsiTheme="minorHAnsi" w:cs="Arial"/>
          <w:b/>
          <w:bCs/>
          <w:u w:val="single"/>
        </w:rPr>
      </w:pPr>
    </w:p>
    <w:p w14:paraId="3F148CC9" w14:textId="5FEDFB2F" w:rsidR="00E63EE3" w:rsidRPr="0062494B" w:rsidRDefault="00E63EE3" w:rsidP="00773CA4">
      <w:pPr>
        <w:rPr>
          <w:rFonts w:asciiTheme="minorHAnsi" w:hAnsiTheme="minorHAnsi" w:cs="Arial"/>
          <w:bCs/>
          <w:u w:val="single"/>
        </w:rPr>
      </w:pPr>
      <w:r w:rsidRPr="0062494B">
        <w:rPr>
          <w:rFonts w:asciiTheme="minorHAnsi" w:hAnsiTheme="minorHAnsi" w:cs="Arial"/>
          <w:bCs/>
          <w:u w:val="single"/>
        </w:rPr>
        <w:t xml:space="preserve">Provozovna </w:t>
      </w:r>
      <w:r w:rsidR="009D58F0" w:rsidRPr="0062494B">
        <w:rPr>
          <w:rFonts w:asciiTheme="minorHAnsi" w:hAnsiTheme="minorHAnsi" w:cs="Arial"/>
          <w:bCs/>
          <w:u w:val="single"/>
        </w:rPr>
        <w:t>Benešov</w:t>
      </w:r>
    </w:p>
    <w:p w14:paraId="1269CC18" w14:textId="43510EAF" w:rsidR="00E63EE3" w:rsidRPr="003917BE" w:rsidRDefault="00E63EE3" w:rsidP="00E63EE3">
      <w:pPr>
        <w:jc w:val="both"/>
        <w:rPr>
          <w:rFonts w:asciiTheme="minorHAnsi" w:hAnsiTheme="minorHAnsi" w:cs="Arial"/>
          <w:bCs/>
        </w:rPr>
      </w:pPr>
      <w:r w:rsidRPr="003917BE">
        <w:rPr>
          <w:rFonts w:asciiTheme="minorHAnsi" w:hAnsiTheme="minorHAnsi" w:cs="Arial"/>
          <w:bCs/>
        </w:rPr>
        <w:t>Adresa:</w:t>
      </w:r>
      <w:r w:rsidRPr="003917BE">
        <w:rPr>
          <w:rFonts w:asciiTheme="minorHAnsi" w:hAnsiTheme="minorHAnsi" w:cs="Arial"/>
          <w:bCs/>
        </w:rPr>
        <w:tab/>
      </w:r>
      <w:r w:rsidRPr="003917BE">
        <w:rPr>
          <w:rFonts w:asciiTheme="minorHAnsi" w:hAnsiTheme="minorHAnsi" w:cs="Arial"/>
          <w:bCs/>
        </w:rPr>
        <w:tab/>
      </w:r>
      <w:r w:rsidRPr="003917BE">
        <w:rPr>
          <w:rFonts w:asciiTheme="minorHAnsi" w:hAnsiTheme="minorHAnsi" w:cs="Arial"/>
          <w:bCs/>
        </w:rPr>
        <w:tab/>
      </w:r>
      <w:r w:rsidR="00A2640C" w:rsidRPr="003917BE">
        <w:rPr>
          <w:rFonts w:asciiTheme="minorHAnsi" w:hAnsiTheme="minorHAnsi" w:cs="Arial"/>
          <w:bCs/>
        </w:rPr>
        <w:tab/>
      </w:r>
      <w:r w:rsidR="009D58F0" w:rsidRPr="003917BE">
        <w:rPr>
          <w:rFonts w:asciiTheme="minorHAnsi" w:hAnsiTheme="minorHAnsi" w:cs="Arial"/>
          <w:bCs/>
        </w:rPr>
        <w:t xml:space="preserve">K Potoku 2404, </w:t>
      </w:r>
      <w:r w:rsidR="00773CA4" w:rsidRPr="003917BE">
        <w:rPr>
          <w:rFonts w:asciiTheme="minorHAnsi" w:hAnsiTheme="minorHAnsi" w:cs="Arial"/>
          <w:bCs/>
        </w:rPr>
        <w:t xml:space="preserve">Benešov u Prahy, </w:t>
      </w:r>
      <w:r w:rsidR="009D58F0" w:rsidRPr="003917BE">
        <w:rPr>
          <w:rFonts w:asciiTheme="minorHAnsi" w:hAnsiTheme="minorHAnsi" w:cs="Arial"/>
          <w:bCs/>
        </w:rPr>
        <w:t>256</w:t>
      </w:r>
      <w:r w:rsidR="00773CA4" w:rsidRPr="003917BE">
        <w:rPr>
          <w:rFonts w:asciiTheme="minorHAnsi" w:hAnsiTheme="minorHAnsi" w:cs="Arial"/>
          <w:bCs/>
        </w:rPr>
        <w:t xml:space="preserve"> </w:t>
      </w:r>
      <w:r w:rsidR="009D58F0" w:rsidRPr="003917BE">
        <w:rPr>
          <w:rFonts w:asciiTheme="minorHAnsi" w:hAnsiTheme="minorHAnsi" w:cs="Arial"/>
          <w:bCs/>
        </w:rPr>
        <w:t>01</w:t>
      </w:r>
    </w:p>
    <w:p w14:paraId="1E9B68C4" w14:textId="19DD7569" w:rsidR="00773CA4" w:rsidRPr="003917BE" w:rsidRDefault="00E63EE3" w:rsidP="003917BE">
      <w:pPr>
        <w:jc w:val="both"/>
        <w:rPr>
          <w:rFonts w:asciiTheme="minorHAnsi" w:hAnsiTheme="minorHAnsi"/>
        </w:rPr>
      </w:pPr>
      <w:r w:rsidRPr="003917BE">
        <w:rPr>
          <w:rFonts w:asciiTheme="minorHAnsi" w:hAnsiTheme="minorHAnsi" w:cs="Arial"/>
          <w:bCs/>
        </w:rPr>
        <w:t xml:space="preserve">Provozní doba: </w:t>
      </w:r>
      <w:r w:rsidRPr="003917BE">
        <w:rPr>
          <w:rFonts w:asciiTheme="minorHAnsi" w:hAnsiTheme="minorHAnsi" w:cs="Arial"/>
          <w:bCs/>
        </w:rPr>
        <w:tab/>
      </w:r>
      <w:r w:rsidRPr="003917BE">
        <w:rPr>
          <w:rFonts w:asciiTheme="minorHAnsi" w:hAnsiTheme="minorHAnsi" w:cs="Arial"/>
          <w:b/>
          <w:bCs/>
        </w:rPr>
        <w:tab/>
      </w:r>
      <w:r w:rsidR="00521B72" w:rsidRPr="003917BE">
        <w:rPr>
          <w:rFonts w:asciiTheme="minorHAnsi" w:hAnsiTheme="minorHAnsi" w:cs="Arial"/>
          <w:b/>
          <w:bCs/>
        </w:rPr>
        <w:tab/>
      </w:r>
      <w:r w:rsidRPr="003917BE">
        <w:rPr>
          <w:rFonts w:asciiTheme="minorHAnsi" w:hAnsiTheme="minorHAnsi" w:cs="Arial"/>
        </w:rPr>
        <w:t>Po – P</w:t>
      </w:r>
      <w:r w:rsidR="00773CA4" w:rsidRPr="003917BE">
        <w:rPr>
          <w:rFonts w:asciiTheme="minorHAnsi" w:hAnsiTheme="minorHAnsi" w:cs="Arial"/>
        </w:rPr>
        <w:t>á</w:t>
      </w:r>
      <w:r w:rsidR="00773CA4" w:rsidRPr="003917BE">
        <w:rPr>
          <w:rFonts w:asciiTheme="minorHAnsi" w:hAnsiTheme="minorHAnsi" w:cs="Arial"/>
        </w:rPr>
        <w:tab/>
      </w:r>
      <w:r w:rsidR="009D58F0" w:rsidRPr="003917BE">
        <w:rPr>
          <w:rFonts w:asciiTheme="minorHAnsi" w:hAnsiTheme="minorHAnsi" w:cs="Arial"/>
        </w:rPr>
        <w:t>7</w:t>
      </w:r>
      <w:r w:rsidRPr="003917BE">
        <w:rPr>
          <w:rFonts w:asciiTheme="minorHAnsi" w:hAnsiTheme="minorHAnsi" w:cs="Arial"/>
        </w:rPr>
        <w:t>:00 - 1</w:t>
      </w:r>
      <w:r w:rsidR="002E3EA4" w:rsidRPr="003917BE">
        <w:rPr>
          <w:rFonts w:asciiTheme="minorHAnsi" w:hAnsiTheme="minorHAnsi" w:cs="Arial"/>
        </w:rPr>
        <w:t>7</w:t>
      </w:r>
      <w:r w:rsidRPr="003917BE">
        <w:rPr>
          <w:rFonts w:asciiTheme="minorHAnsi" w:hAnsiTheme="minorHAnsi" w:cs="Arial"/>
        </w:rPr>
        <w:t xml:space="preserve">:00   </w:t>
      </w:r>
      <w:r w:rsidRPr="003917BE">
        <w:rPr>
          <w:rFonts w:asciiTheme="minorHAnsi" w:hAnsiTheme="minorHAnsi" w:cs="Arial"/>
        </w:rPr>
        <w:tab/>
      </w:r>
      <w:r w:rsidRPr="003917BE">
        <w:rPr>
          <w:rFonts w:asciiTheme="minorHAnsi" w:hAnsiTheme="minorHAnsi" w:cs="Arial"/>
        </w:rPr>
        <w:tab/>
      </w:r>
    </w:p>
    <w:p w14:paraId="31E4534C" w14:textId="77777777" w:rsidR="003917BE" w:rsidRDefault="003917BE" w:rsidP="002E3EA4">
      <w:pPr>
        <w:rPr>
          <w:rFonts w:asciiTheme="minorHAnsi" w:hAnsiTheme="minorHAnsi" w:cs="Arial"/>
          <w:b/>
        </w:rPr>
      </w:pPr>
    </w:p>
    <w:p w14:paraId="6429F871" w14:textId="226505FB" w:rsidR="00433579" w:rsidRPr="003917BE" w:rsidRDefault="00732527" w:rsidP="0062494B">
      <w:pPr>
        <w:spacing w:before="120"/>
        <w:rPr>
          <w:rFonts w:asciiTheme="minorHAnsi" w:hAnsiTheme="minorHAnsi" w:cs="Arial"/>
          <w:bCs/>
        </w:rPr>
      </w:pPr>
      <w:proofErr w:type="spellStart"/>
      <w:r>
        <w:rPr>
          <w:rFonts w:asciiTheme="minorHAnsi" w:hAnsiTheme="minorHAnsi" w:cs="Arial"/>
          <w:bCs/>
        </w:rPr>
        <w:t>xxx</w:t>
      </w:r>
      <w:proofErr w:type="spellEnd"/>
      <w:r w:rsidR="00773CA4" w:rsidRPr="003917BE">
        <w:rPr>
          <w:rFonts w:asciiTheme="minorHAnsi" w:hAnsiTheme="minorHAnsi" w:cs="Arial"/>
          <w:bCs/>
        </w:rPr>
        <w:t>, v</w:t>
      </w:r>
      <w:r w:rsidR="00E63EE3" w:rsidRPr="003917BE">
        <w:rPr>
          <w:rFonts w:asciiTheme="minorHAnsi" w:hAnsiTheme="minorHAnsi" w:cs="Arial"/>
          <w:bCs/>
        </w:rPr>
        <w:t>edoucí</w:t>
      </w:r>
      <w:r w:rsidR="00A2640C" w:rsidRPr="003917BE">
        <w:rPr>
          <w:rFonts w:asciiTheme="minorHAnsi" w:hAnsiTheme="minorHAnsi" w:cs="Arial"/>
          <w:bCs/>
        </w:rPr>
        <w:t xml:space="preserve"> </w:t>
      </w:r>
      <w:r w:rsidR="00E63EE3" w:rsidRPr="003917BE">
        <w:rPr>
          <w:rFonts w:asciiTheme="minorHAnsi" w:hAnsiTheme="minorHAnsi" w:cs="Arial"/>
          <w:bCs/>
        </w:rPr>
        <w:t>servisu</w:t>
      </w:r>
      <w:r w:rsidR="0087676C" w:rsidRPr="003917BE">
        <w:rPr>
          <w:rFonts w:asciiTheme="minorHAnsi" w:hAnsiTheme="minorHAnsi" w:cs="Arial"/>
          <w:bCs/>
        </w:rPr>
        <w:t>,</w:t>
      </w:r>
      <w:r w:rsidR="00773CA4" w:rsidRPr="003917BE">
        <w:rPr>
          <w:rFonts w:asciiTheme="minorHAnsi" w:hAnsiTheme="minorHAnsi" w:cs="Arial"/>
          <w:bCs/>
        </w:rPr>
        <w:t xml:space="preserve"> přijímací technik,</w:t>
      </w:r>
      <w:r w:rsidR="0087676C" w:rsidRPr="003917BE">
        <w:rPr>
          <w:rFonts w:asciiTheme="minorHAnsi" w:hAnsiTheme="minorHAnsi" w:cs="Arial"/>
          <w:bCs/>
        </w:rPr>
        <w:t xml:space="preserve"> likvidace PU,</w:t>
      </w:r>
      <w:r w:rsidR="00773CA4" w:rsidRPr="003917BE">
        <w:rPr>
          <w:rFonts w:asciiTheme="minorHAnsi" w:hAnsiTheme="minorHAnsi" w:cs="Arial"/>
          <w:bCs/>
        </w:rPr>
        <w:t xml:space="preserve"> </w:t>
      </w:r>
      <w:r w:rsidR="00E63EE3" w:rsidRPr="003917BE">
        <w:rPr>
          <w:rFonts w:asciiTheme="minorHAnsi" w:hAnsiTheme="minorHAnsi" w:cs="Arial"/>
          <w:bCs/>
        </w:rPr>
        <w:t xml:space="preserve">tel. </w:t>
      </w:r>
      <w:proofErr w:type="spellStart"/>
      <w:r>
        <w:rPr>
          <w:rFonts w:asciiTheme="minorHAnsi" w:hAnsiTheme="minorHAnsi" w:cs="Arial"/>
          <w:bCs/>
        </w:rPr>
        <w:t>xxx</w:t>
      </w:r>
      <w:proofErr w:type="spellEnd"/>
    </w:p>
    <w:p w14:paraId="122C9FB0" w14:textId="0C1A5FF5" w:rsidR="00433579" w:rsidRPr="003917BE" w:rsidRDefault="00732527" w:rsidP="0062494B">
      <w:pPr>
        <w:spacing w:before="120"/>
        <w:rPr>
          <w:rFonts w:asciiTheme="minorHAnsi" w:hAnsiTheme="minorHAnsi" w:cs="Arial"/>
          <w:bCs/>
        </w:rPr>
      </w:pPr>
      <w:proofErr w:type="spellStart"/>
      <w:r>
        <w:rPr>
          <w:rFonts w:asciiTheme="minorHAnsi" w:hAnsiTheme="minorHAnsi" w:cs="Arial"/>
          <w:bCs/>
        </w:rPr>
        <w:t>xxx</w:t>
      </w:r>
      <w:proofErr w:type="spellEnd"/>
      <w:r w:rsidR="0087676C" w:rsidRPr="003917BE">
        <w:rPr>
          <w:rFonts w:asciiTheme="minorHAnsi" w:hAnsiTheme="minorHAnsi" w:cs="Arial"/>
          <w:bCs/>
        </w:rPr>
        <w:t xml:space="preserve">, přijímací a garanční technik, tel. </w:t>
      </w:r>
      <w:proofErr w:type="spellStart"/>
      <w:r>
        <w:rPr>
          <w:rFonts w:asciiTheme="minorHAnsi" w:hAnsiTheme="minorHAnsi" w:cs="Arial"/>
          <w:bCs/>
        </w:rPr>
        <w:t>xxx</w:t>
      </w:r>
      <w:proofErr w:type="spellEnd"/>
    </w:p>
    <w:p w14:paraId="1D914A1F" w14:textId="1CD0C0B6" w:rsidR="00521B72" w:rsidRPr="003917BE" w:rsidRDefault="00732527" w:rsidP="0062494B">
      <w:pPr>
        <w:spacing w:before="120"/>
        <w:rPr>
          <w:rFonts w:asciiTheme="minorHAnsi" w:hAnsiTheme="minorHAnsi" w:cs="Arial"/>
          <w:bCs/>
          <w:highlight w:val="yellow"/>
          <w:u w:val="single"/>
        </w:rPr>
      </w:pPr>
      <w:proofErr w:type="spellStart"/>
      <w:r>
        <w:rPr>
          <w:rFonts w:asciiTheme="minorHAnsi" w:hAnsiTheme="minorHAnsi" w:cs="Arial"/>
          <w:bCs/>
        </w:rPr>
        <w:t>xxx</w:t>
      </w:r>
      <w:proofErr w:type="spellEnd"/>
      <w:r w:rsidR="0087676C" w:rsidRPr="003917BE">
        <w:rPr>
          <w:rFonts w:asciiTheme="minorHAnsi" w:hAnsiTheme="minorHAnsi" w:cs="Arial"/>
          <w:bCs/>
        </w:rPr>
        <w:t>, v</w:t>
      </w:r>
      <w:r w:rsidR="00521B72" w:rsidRPr="003917BE">
        <w:rPr>
          <w:rFonts w:asciiTheme="minorHAnsi" w:hAnsiTheme="minorHAnsi" w:cs="Arial"/>
          <w:bCs/>
        </w:rPr>
        <w:t xml:space="preserve">edoucí </w:t>
      </w:r>
      <w:r w:rsidR="0087676C" w:rsidRPr="003917BE">
        <w:rPr>
          <w:rFonts w:asciiTheme="minorHAnsi" w:hAnsiTheme="minorHAnsi" w:cs="Arial"/>
          <w:bCs/>
        </w:rPr>
        <w:t>provozovny</w:t>
      </w:r>
      <w:r w:rsidR="00433579" w:rsidRPr="003917BE">
        <w:rPr>
          <w:rFonts w:asciiTheme="minorHAnsi" w:hAnsiTheme="minorHAnsi" w:cs="Arial"/>
          <w:bCs/>
        </w:rPr>
        <w:t xml:space="preserve">, </w:t>
      </w:r>
      <w:r w:rsidR="00521B72" w:rsidRPr="003917BE">
        <w:rPr>
          <w:rFonts w:asciiTheme="minorHAnsi" w:hAnsiTheme="minorHAnsi" w:cs="Arial"/>
          <w:bCs/>
        </w:rPr>
        <w:t xml:space="preserve">tel. </w:t>
      </w:r>
      <w:proofErr w:type="spellStart"/>
      <w:r>
        <w:rPr>
          <w:rFonts w:asciiTheme="minorHAnsi" w:hAnsiTheme="minorHAnsi" w:cs="Arial"/>
          <w:bCs/>
        </w:rPr>
        <w:t>xxx</w:t>
      </w:r>
      <w:proofErr w:type="spellEnd"/>
    </w:p>
    <w:p w14:paraId="0A1D79C1" w14:textId="77777777" w:rsidR="002075BF" w:rsidRDefault="002075BF" w:rsidP="00886DA9">
      <w:pPr>
        <w:jc w:val="both"/>
        <w:rPr>
          <w:b/>
          <w:bCs/>
        </w:rPr>
      </w:pPr>
    </w:p>
    <w:p w14:paraId="4BD715B3" w14:textId="77777777" w:rsidR="002075BF" w:rsidRDefault="002075BF" w:rsidP="00886DA9">
      <w:pPr>
        <w:jc w:val="both"/>
        <w:rPr>
          <w:b/>
          <w:bCs/>
        </w:rPr>
      </w:pPr>
    </w:p>
    <w:p w14:paraId="06BF5EA5" w14:textId="2BD165C5" w:rsidR="00886DA9" w:rsidRDefault="00886DA9" w:rsidP="00886DA9">
      <w:pPr>
        <w:jc w:val="both"/>
        <w:rPr>
          <w:b/>
          <w:bCs/>
        </w:rPr>
      </w:pPr>
      <w:r w:rsidRPr="00A303FA">
        <w:rPr>
          <w:b/>
          <w:bCs/>
        </w:rPr>
        <w:t>Příloha č. 3</w:t>
      </w:r>
      <w:r w:rsidR="00A303FA" w:rsidRPr="00A303FA">
        <w:rPr>
          <w:b/>
          <w:bCs/>
        </w:rPr>
        <w:t xml:space="preserve"> -</w:t>
      </w:r>
      <w:r w:rsidRPr="00A303FA">
        <w:rPr>
          <w:b/>
          <w:bCs/>
        </w:rPr>
        <w:t xml:space="preserve"> </w:t>
      </w:r>
      <w:r w:rsidR="00A303FA" w:rsidRPr="00A303FA">
        <w:rPr>
          <w:b/>
          <w:bCs/>
        </w:rPr>
        <w:t>Seznam vozidel</w:t>
      </w:r>
      <w:r w:rsidR="00A303FA">
        <w:rPr>
          <w:b/>
          <w:bCs/>
        </w:rPr>
        <w:t>:</w:t>
      </w:r>
    </w:p>
    <w:p w14:paraId="7840E235" w14:textId="77777777" w:rsidR="001B00AE" w:rsidRDefault="001B00AE" w:rsidP="001B00AE">
      <w:pPr>
        <w:jc w:val="both"/>
        <w:rPr>
          <w:b/>
          <w:bCs/>
        </w:rPr>
      </w:pPr>
    </w:p>
    <w:tbl>
      <w:tblPr>
        <w:tblW w:w="1005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2315"/>
        <w:gridCol w:w="709"/>
        <w:gridCol w:w="1134"/>
        <w:gridCol w:w="567"/>
        <w:gridCol w:w="709"/>
        <w:gridCol w:w="1417"/>
        <w:gridCol w:w="1701"/>
        <w:gridCol w:w="993"/>
      </w:tblGrid>
      <w:tr w:rsidR="001B4D77" w:rsidRPr="00ED4382" w14:paraId="60B4A2A8" w14:textId="77777777" w:rsidTr="001B4D77">
        <w:trPr>
          <w:trHeight w:val="1215"/>
        </w:trPr>
        <w:tc>
          <w:tcPr>
            <w:tcW w:w="513" w:type="dxa"/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47279E" w14:textId="77777777" w:rsidR="001B4D77" w:rsidRPr="00ED4382" w:rsidRDefault="001B4D77" w:rsidP="004B04C3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proofErr w:type="spellStart"/>
            <w:r w:rsidRPr="00ED4382">
              <w:rPr>
                <w:b/>
                <w:bCs/>
                <w:color w:val="000000"/>
                <w:sz w:val="18"/>
                <w:szCs w:val="18"/>
              </w:rPr>
              <w:t>Poř</w:t>
            </w:r>
            <w:proofErr w:type="spellEnd"/>
            <w:r w:rsidRPr="00ED4382">
              <w:rPr>
                <w:b/>
                <w:bCs/>
                <w:color w:val="000000"/>
                <w:sz w:val="18"/>
                <w:szCs w:val="18"/>
              </w:rPr>
              <w:t>. č.</w:t>
            </w:r>
          </w:p>
        </w:tc>
        <w:tc>
          <w:tcPr>
            <w:tcW w:w="2315" w:type="dxa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C7BAC8" w14:textId="77777777" w:rsidR="001B4D77" w:rsidRPr="00ED4382" w:rsidRDefault="001B4D77" w:rsidP="004B04C3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D4382">
              <w:rPr>
                <w:b/>
                <w:bCs/>
                <w:color w:val="000000"/>
                <w:sz w:val="18"/>
                <w:szCs w:val="18"/>
              </w:rPr>
              <w:t>Typ a provedení vozidla</w:t>
            </w:r>
          </w:p>
        </w:tc>
        <w:tc>
          <w:tcPr>
            <w:tcW w:w="709" w:type="dxa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555116" w14:textId="77777777" w:rsidR="001B4D77" w:rsidRPr="00ED4382" w:rsidRDefault="001B4D77" w:rsidP="004B04C3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D4382">
              <w:rPr>
                <w:b/>
                <w:bCs/>
                <w:color w:val="000000"/>
                <w:sz w:val="18"/>
                <w:szCs w:val="18"/>
              </w:rPr>
              <w:t>Palivo</w:t>
            </w:r>
          </w:p>
        </w:tc>
        <w:tc>
          <w:tcPr>
            <w:tcW w:w="1134" w:type="dxa"/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14AF4F" w14:textId="77777777" w:rsidR="001B4D77" w:rsidRPr="00ED4382" w:rsidRDefault="001B4D77" w:rsidP="004B04C3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D4382">
              <w:rPr>
                <w:b/>
                <w:bCs/>
                <w:color w:val="000000"/>
                <w:sz w:val="18"/>
                <w:szCs w:val="18"/>
              </w:rPr>
              <w:t>SPZ</w:t>
            </w:r>
          </w:p>
        </w:tc>
        <w:tc>
          <w:tcPr>
            <w:tcW w:w="567" w:type="dxa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9615E8" w14:textId="77777777" w:rsidR="001B4D77" w:rsidRPr="00ED4382" w:rsidRDefault="001B4D77" w:rsidP="004B04C3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D4382">
              <w:rPr>
                <w:b/>
                <w:bCs/>
                <w:color w:val="000000"/>
                <w:sz w:val="18"/>
                <w:szCs w:val="18"/>
              </w:rPr>
              <w:t>výkon motoru (kW)</w:t>
            </w:r>
          </w:p>
        </w:tc>
        <w:tc>
          <w:tcPr>
            <w:tcW w:w="709" w:type="dxa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D34590" w14:textId="77777777" w:rsidR="001B4D77" w:rsidRPr="00ED4382" w:rsidRDefault="001B4D77" w:rsidP="004B04C3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D4382">
              <w:rPr>
                <w:b/>
                <w:bCs/>
                <w:color w:val="000000"/>
                <w:sz w:val="18"/>
                <w:szCs w:val="18"/>
              </w:rPr>
              <w:t>objem motoru (cm3)</w:t>
            </w:r>
          </w:p>
        </w:tc>
        <w:tc>
          <w:tcPr>
            <w:tcW w:w="1417" w:type="dxa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208ED0" w14:textId="1BD6F3A8" w:rsidR="001B4D77" w:rsidRPr="00ED4382" w:rsidRDefault="001B4D77" w:rsidP="00166876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barva</w:t>
            </w:r>
          </w:p>
        </w:tc>
        <w:tc>
          <w:tcPr>
            <w:tcW w:w="1701" w:type="dxa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1391D0" w14:textId="28F0F1BF" w:rsidR="001B4D77" w:rsidRPr="00ED4382" w:rsidRDefault="001B4D77" w:rsidP="004B04C3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D4382">
              <w:rPr>
                <w:b/>
                <w:bCs/>
                <w:color w:val="000000"/>
                <w:sz w:val="18"/>
                <w:szCs w:val="18"/>
              </w:rPr>
              <w:t>datum 1.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uvedení </w:t>
            </w:r>
            <w:r w:rsidRPr="00ED4382">
              <w:rPr>
                <w:b/>
                <w:bCs/>
                <w:color w:val="000000"/>
                <w:sz w:val="18"/>
                <w:szCs w:val="18"/>
              </w:rPr>
              <w:t> do provozu</w:t>
            </w:r>
          </w:p>
        </w:tc>
        <w:tc>
          <w:tcPr>
            <w:tcW w:w="993" w:type="dxa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CDA0A4" w14:textId="77777777" w:rsidR="001B4D77" w:rsidRPr="00ED4382" w:rsidRDefault="001B4D77" w:rsidP="004B04C3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D4382">
              <w:rPr>
                <w:b/>
                <w:bCs/>
                <w:color w:val="000000"/>
                <w:sz w:val="18"/>
                <w:szCs w:val="18"/>
              </w:rPr>
              <w:t>rok výroby</w:t>
            </w:r>
          </w:p>
        </w:tc>
      </w:tr>
      <w:tr w:rsidR="001B4D77" w14:paraId="547E3860" w14:textId="77777777" w:rsidTr="00732527">
        <w:trPr>
          <w:trHeight w:val="300"/>
        </w:trPr>
        <w:tc>
          <w:tcPr>
            <w:tcW w:w="5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D0EF8F" w14:textId="28BE6041" w:rsidR="001B4D77" w:rsidRDefault="001B4D77" w:rsidP="001B4D77">
            <w:pPr>
              <w:spacing w:before="100" w:beforeAutospacing="1" w:after="100" w:afterAutospacing="1"/>
              <w:jc w:val="center"/>
            </w:pPr>
          </w:p>
        </w:tc>
        <w:tc>
          <w:tcPr>
            <w:tcW w:w="23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830356" w14:textId="5E8B801A" w:rsidR="001B4D77" w:rsidRDefault="001B4D77" w:rsidP="001B4D77">
            <w:pPr>
              <w:spacing w:before="100" w:beforeAutospacing="1" w:after="100" w:afterAutospacing="1"/>
            </w:pPr>
          </w:p>
        </w:tc>
        <w:tc>
          <w:tcPr>
            <w:tcW w:w="7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23D189" w14:textId="3091A59F" w:rsidR="001B4D77" w:rsidRDefault="001B4D77" w:rsidP="001B4D77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A3FB3" w14:textId="3FF83838" w:rsidR="001B4D77" w:rsidRDefault="001B4D77" w:rsidP="001B4D77">
            <w:pPr>
              <w:spacing w:before="100" w:beforeAutospacing="1" w:after="100" w:afterAutospacing="1"/>
            </w:pP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DA8215" w14:textId="309785E4" w:rsidR="001B4D77" w:rsidRDefault="001B4D77" w:rsidP="001B4D77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BD211F" w14:textId="40239853" w:rsidR="001B4D77" w:rsidRDefault="001B4D77" w:rsidP="001B4D77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AC4C4B" w14:textId="5D91DEF7" w:rsidR="001B4D77" w:rsidRDefault="001B4D77" w:rsidP="001B4D77">
            <w:pPr>
              <w:spacing w:before="100" w:beforeAutospacing="1" w:after="100" w:afterAutospacing="1"/>
              <w:jc w:val="center"/>
            </w:pP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F7D5A0" w14:textId="6517CFF5" w:rsidR="001B4D77" w:rsidRDefault="001B4D77" w:rsidP="001B4D77">
            <w:pPr>
              <w:spacing w:before="100" w:beforeAutospacing="1" w:after="100" w:afterAutospacing="1"/>
              <w:jc w:val="center"/>
            </w:pPr>
          </w:p>
        </w:tc>
        <w:tc>
          <w:tcPr>
            <w:tcW w:w="9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CB490C" w14:textId="0F7DB866" w:rsidR="001B4D77" w:rsidRDefault="001B4D77" w:rsidP="001B4D77">
            <w:pPr>
              <w:spacing w:before="100" w:beforeAutospacing="1" w:after="100" w:afterAutospacing="1"/>
              <w:jc w:val="center"/>
            </w:pPr>
          </w:p>
        </w:tc>
      </w:tr>
      <w:tr w:rsidR="001B4D77" w14:paraId="0F41D98D" w14:textId="77777777" w:rsidTr="00732527">
        <w:trPr>
          <w:trHeight w:val="300"/>
        </w:trPr>
        <w:tc>
          <w:tcPr>
            <w:tcW w:w="5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459CA9" w14:textId="1A410481" w:rsidR="001B4D77" w:rsidRDefault="001B4D77" w:rsidP="001B4D77">
            <w:pPr>
              <w:spacing w:before="100" w:beforeAutospacing="1" w:after="100" w:afterAutospacing="1"/>
              <w:jc w:val="center"/>
            </w:pPr>
          </w:p>
        </w:tc>
        <w:tc>
          <w:tcPr>
            <w:tcW w:w="23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97B471" w14:textId="4A222061" w:rsidR="001B4D77" w:rsidRDefault="001B4D77" w:rsidP="001B4D77">
            <w:pPr>
              <w:spacing w:before="100" w:beforeAutospacing="1" w:after="100" w:afterAutospacing="1"/>
            </w:pPr>
          </w:p>
        </w:tc>
        <w:tc>
          <w:tcPr>
            <w:tcW w:w="7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F243F8" w14:textId="3F841B8F" w:rsidR="001B4D77" w:rsidRDefault="001B4D77" w:rsidP="001B4D77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2650AA" w14:textId="5269CA56" w:rsidR="001B4D77" w:rsidRDefault="001B4D77" w:rsidP="001B4D77">
            <w:pPr>
              <w:spacing w:before="100" w:beforeAutospacing="1" w:after="100" w:afterAutospacing="1"/>
            </w:pP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F18638" w14:textId="4857266C" w:rsidR="001B4D77" w:rsidRDefault="001B4D77" w:rsidP="001B4D77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B6BA82" w14:textId="392E82A8" w:rsidR="001B4D77" w:rsidRDefault="001B4D77" w:rsidP="001B4D77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1DCE7E" w14:textId="03AA593F" w:rsidR="001B4D77" w:rsidRDefault="001B4D77" w:rsidP="001B4D77">
            <w:pPr>
              <w:spacing w:before="100" w:beforeAutospacing="1" w:after="100" w:afterAutospacing="1"/>
              <w:jc w:val="center"/>
            </w:pP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877344" w14:textId="756A2214" w:rsidR="001B4D77" w:rsidRDefault="001B4D77" w:rsidP="001B4D77">
            <w:pPr>
              <w:spacing w:before="100" w:beforeAutospacing="1" w:after="100" w:afterAutospacing="1"/>
              <w:jc w:val="center"/>
            </w:pPr>
          </w:p>
        </w:tc>
        <w:tc>
          <w:tcPr>
            <w:tcW w:w="9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5DDA15" w14:textId="2A7F6C4A" w:rsidR="001B4D77" w:rsidRDefault="001B4D77" w:rsidP="001B4D77">
            <w:pPr>
              <w:spacing w:before="100" w:beforeAutospacing="1" w:after="100" w:afterAutospacing="1"/>
              <w:jc w:val="center"/>
            </w:pPr>
          </w:p>
        </w:tc>
      </w:tr>
      <w:tr w:rsidR="001B4D77" w14:paraId="4C475FEC" w14:textId="77777777" w:rsidTr="001B4D77">
        <w:trPr>
          <w:trHeight w:val="300"/>
        </w:trPr>
        <w:tc>
          <w:tcPr>
            <w:tcW w:w="5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751E7F" w14:textId="549448CC" w:rsidR="001B4D77" w:rsidRDefault="001B4D77" w:rsidP="001B4D7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3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1FF28A" w14:textId="1BD4FA55" w:rsidR="001B4D77" w:rsidRDefault="001B4D77" w:rsidP="001B4D77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7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84A1C" w14:textId="616286A9" w:rsidR="001B4D77" w:rsidRDefault="001B4D77" w:rsidP="001B4D7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2FF3EE" w14:textId="3A9AD823" w:rsidR="001B4D77" w:rsidRDefault="001B4D77" w:rsidP="001B4D7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ADD0B3" w14:textId="74FD75BD" w:rsidR="001B4D77" w:rsidRDefault="001B4D77" w:rsidP="001B4D7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7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2C1168" w14:textId="0214DA0A" w:rsidR="001B4D77" w:rsidRDefault="001B4D77" w:rsidP="001B4D7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A4AD55" w14:textId="5BFFDED8" w:rsidR="001B4D77" w:rsidRDefault="001B4D77" w:rsidP="001B4D7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9A5498" w14:textId="514B9780" w:rsidR="001B4D77" w:rsidRDefault="001B4D77" w:rsidP="001B4D7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9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AC2655" w14:textId="4B56857B" w:rsidR="001B4D77" w:rsidRDefault="001B4D77" w:rsidP="001B4D7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1B4D77" w14:paraId="6785ADF5" w14:textId="77777777" w:rsidTr="00732527">
        <w:trPr>
          <w:trHeight w:val="300"/>
        </w:trPr>
        <w:tc>
          <w:tcPr>
            <w:tcW w:w="51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3BB61D" w14:textId="6EE873FF" w:rsidR="001B4D77" w:rsidRDefault="001B4D77" w:rsidP="001B4D77">
            <w:pPr>
              <w:spacing w:before="100" w:beforeAutospacing="1" w:after="100" w:afterAutospacing="1"/>
              <w:jc w:val="center"/>
            </w:pPr>
          </w:p>
        </w:tc>
        <w:tc>
          <w:tcPr>
            <w:tcW w:w="23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C659BE" w14:textId="7D1D7A44" w:rsidR="001B4D77" w:rsidRDefault="001B4D77" w:rsidP="001B4D77">
            <w:pPr>
              <w:spacing w:before="100" w:beforeAutospacing="1" w:after="100" w:afterAutospacing="1"/>
            </w:pPr>
          </w:p>
        </w:tc>
        <w:tc>
          <w:tcPr>
            <w:tcW w:w="7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6D9462" w14:textId="0257CB43" w:rsidR="001B4D77" w:rsidRDefault="001B4D77" w:rsidP="001B4D77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23C94" w14:textId="3A77006B" w:rsidR="001B4D77" w:rsidRDefault="001B4D77" w:rsidP="001B4D77">
            <w:pPr>
              <w:spacing w:before="100" w:beforeAutospacing="1" w:after="100" w:afterAutospacing="1"/>
            </w:pP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3AF6D3" w14:textId="128CB135" w:rsidR="001B4D77" w:rsidRDefault="001B4D77" w:rsidP="001B4D77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1BB646" w14:textId="0EF971BA" w:rsidR="001B4D77" w:rsidRDefault="001B4D77" w:rsidP="001B4D77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2C690F" w14:textId="618D90D0" w:rsidR="001B4D77" w:rsidRDefault="001B4D77" w:rsidP="001B4D77">
            <w:pPr>
              <w:spacing w:before="100" w:beforeAutospacing="1" w:after="100" w:afterAutospacing="1"/>
              <w:jc w:val="center"/>
            </w:pP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C71ED2" w14:textId="07C667ED" w:rsidR="001B4D77" w:rsidRDefault="001B4D77" w:rsidP="001B4D77">
            <w:pPr>
              <w:spacing w:before="100" w:beforeAutospacing="1" w:after="100" w:afterAutospacing="1"/>
              <w:jc w:val="center"/>
            </w:pPr>
          </w:p>
        </w:tc>
        <w:tc>
          <w:tcPr>
            <w:tcW w:w="9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F624DE" w14:textId="57B9A39B" w:rsidR="001B4D77" w:rsidRDefault="001B4D77" w:rsidP="001B4D77">
            <w:pPr>
              <w:spacing w:before="100" w:beforeAutospacing="1" w:after="100" w:afterAutospacing="1"/>
              <w:jc w:val="center"/>
            </w:pPr>
          </w:p>
        </w:tc>
      </w:tr>
      <w:tr w:rsidR="001B4D77" w14:paraId="3AF672AB" w14:textId="77777777" w:rsidTr="00732527">
        <w:trPr>
          <w:trHeight w:val="300"/>
        </w:trPr>
        <w:tc>
          <w:tcPr>
            <w:tcW w:w="51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6F7802" w14:textId="14503402" w:rsidR="001B4D77" w:rsidRDefault="001B4D77" w:rsidP="001B4D77">
            <w:pPr>
              <w:spacing w:before="100" w:beforeAutospacing="1" w:after="100" w:afterAutospacing="1"/>
              <w:jc w:val="center"/>
            </w:pPr>
          </w:p>
        </w:tc>
        <w:tc>
          <w:tcPr>
            <w:tcW w:w="23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5B9CB2" w14:textId="511B0308" w:rsidR="001B4D77" w:rsidRDefault="001B4D77" w:rsidP="001B4D77">
            <w:pPr>
              <w:spacing w:before="100" w:beforeAutospacing="1" w:after="100" w:afterAutospacing="1"/>
            </w:pPr>
          </w:p>
        </w:tc>
        <w:tc>
          <w:tcPr>
            <w:tcW w:w="7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974CCF" w14:textId="53968938" w:rsidR="001B4D77" w:rsidRDefault="001B4D77" w:rsidP="001B4D77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6A4324" w14:textId="41F448B8" w:rsidR="001B4D77" w:rsidRDefault="001B4D77" w:rsidP="001B4D77">
            <w:pPr>
              <w:spacing w:before="100" w:beforeAutospacing="1" w:after="100" w:afterAutospacing="1"/>
            </w:pP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9EA0C9" w14:textId="61C0F142" w:rsidR="001B4D77" w:rsidRDefault="001B4D77" w:rsidP="001B4D77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8AF74A" w14:textId="08E20405" w:rsidR="001B4D77" w:rsidRDefault="001B4D77" w:rsidP="001B4D77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3DBB89" w14:textId="089CF7FB" w:rsidR="001B4D77" w:rsidRDefault="001B4D77" w:rsidP="001B4D77">
            <w:pPr>
              <w:spacing w:before="100" w:beforeAutospacing="1" w:after="100" w:afterAutospacing="1"/>
              <w:jc w:val="center"/>
            </w:pP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502E97" w14:textId="10D9A509" w:rsidR="001B4D77" w:rsidRDefault="001B4D77" w:rsidP="001B4D77">
            <w:pPr>
              <w:spacing w:before="100" w:beforeAutospacing="1" w:after="100" w:afterAutospacing="1"/>
              <w:jc w:val="center"/>
            </w:pPr>
          </w:p>
        </w:tc>
        <w:tc>
          <w:tcPr>
            <w:tcW w:w="9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183D0E" w14:textId="66B6E0C4" w:rsidR="001B4D77" w:rsidRDefault="001B4D77" w:rsidP="001B4D77">
            <w:pPr>
              <w:spacing w:before="100" w:beforeAutospacing="1" w:after="100" w:afterAutospacing="1"/>
              <w:jc w:val="center"/>
            </w:pPr>
          </w:p>
        </w:tc>
      </w:tr>
      <w:tr w:rsidR="001B4D77" w14:paraId="7EE04DDF" w14:textId="77777777" w:rsidTr="00732527">
        <w:trPr>
          <w:trHeight w:val="300"/>
        </w:trPr>
        <w:tc>
          <w:tcPr>
            <w:tcW w:w="51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99D068" w14:textId="733E8419" w:rsidR="001B4D77" w:rsidRDefault="001B4D77" w:rsidP="001B4D77">
            <w:pPr>
              <w:spacing w:before="100" w:beforeAutospacing="1" w:after="100" w:afterAutospacing="1"/>
              <w:jc w:val="center"/>
            </w:pPr>
          </w:p>
        </w:tc>
        <w:tc>
          <w:tcPr>
            <w:tcW w:w="23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DCE7CA" w14:textId="07C031AE" w:rsidR="001B4D77" w:rsidRDefault="001B4D77" w:rsidP="001B4D77">
            <w:pPr>
              <w:spacing w:before="100" w:beforeAutospacing="1" w:after="100" w:afterAutospacing="1"/>
            </w:pPr>
          </w:p>
        </w:tc>
        <w:tc>
          <w:tcPr>
            <w:tcW w:w="7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B53190" w14:textId="5654A163" w:rsidR="001B4D77" w:rsidRDefault="001B4D77" w:rsidP="001B4D77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B1A7C" w14:textId="5F83976A" w:rsidR="001B4D77" w:rsidRDefault="001B4D77" w:rsidP="001B4D77">
            <w:pPr>
              <w:spacing w:before="100" w:beforeAutospacing="1" w:after="100" w:afterAutospacing="1"/>
            </w:pP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73D139" w14:textId="2F4E0787" w:rsidR="001B4D77" w:rsidRDefault="001B4D77" w:rsidP="001B4D77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2E712B" w14:textId="51D9E5B4" w:rsidR="001B4D77" w:rsidRDefault="001B4D77" w:rsidP="001B4D77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B842F4" w14:textId="0DC82256" w:rsidR="001B4D77" w:rsidRDefault="001B4D77" w:rsidP="001B4D77">
            <w:pPr>
              <w:spacing w:before="100" w:beforeAutospacing="1" w:after="100" w:afterAutospacing="1"/>
              <w:jc w:val="center"/>
            </w:pP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ED7DA7" w14:textId="5355631D" w:rsidR="001B4D77" w:rsidRDefault="001B4D77" w:rsidP="001B4D77">
            <w:pPr>
              <w:spacing w:before="100" w:beforeAutospacing="1" w:after="100" w:afterAutospacing="1"/>
              <w:jc w:val="center"/>
            </w:pPr>
          </w:p>
        </w:tc>
        <w:tc>
          <w:tcPr>
            <w:tcW w:w="9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FA68E7" w14:textId="63E7EBFE" w:rsidR="001B4D77" w:rsidRDefault="001B4D77" w:rsidP="001B4D77">
            <w:pPr>
              <w:spacing w:before="100" w:beforeAutospacing="1" w:after="100" w:afterAutospacing="1"/>
              <w:jc w:val="center"/>
            </w:pPr>
          </w:p>
        </w:tc>
      </w:tr>
      <w:tr w:rsidR="001B4D77" w14:paraId="3BAE9125" w14:textId="77777777" w:rsidTr="001B4D77">
        <w:trPr>
          <w:trHeight w:val="300"/>
        </w:trPr>
        <w:tc>
          <w:tcPr>
            <w:tcW w:w="51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0CE798" w14:textId="5B762893" w:rsidR="001B4D77" w:rsidRDefault="001B4D77" w:rsidP="001B4D7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3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1DB8B7" w14:textId="07E0F07A" w:rsidR="001B4D77" w:rsidRDefault="001B4D77" w:rsidP="001B4D77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7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44201E" w14:textId="39B5A0A7" w:rsidR="001B4D77" w:rsidRDefault="001B4D77" w:rsidP="001B4D7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0FE5C" w14:textId="4BC4030B" w:rsidR="001B4D77" w:rsidRDefault="001B4D77" w:rsidP="001B4D7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7AD2A3" w14:textId="47E232CF" w:rsidR="001B4D77" w:rsidRDefault="001B4D77" w:rsidP="001B4D7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7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EF6812" w14:textId="2BB4886B" w:rsidR="001B4D77" w:rsidRDefault="001B4D77" w:rsidP="001B4D7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4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783E7F" w14:textId="45DC339B" w:rsidR="001B4D77" w:rsidRDefault="001B4D77" w:rsidP="001B4D7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0284AD" w14:textId="0C1968F5" w:rsidR="001B4D77" w:rsidRDefault="001B4D77" w:rsidP="001B4D7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9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A8A1F6" w14:textId="405EB382" w:rsidR="001B4D77" w:rsidRDefault="001B4D77" w:rsidP="001B4D7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</w:tbl>
    <w:p w14:paraId="51BE5FC9" w14:textId="77777777" w:rsidR="0062494B" w:rsidRDefault="0062494B" w:rsidP="00DA31F3">
      <w:pPr>
        <w:rPr>
          <w:rFonts w:asciiTheme="minorHAnsi" w:hAnsiTheme="minorHAnsi"/>
          <w:szCs w:val="26"/>
        </w:rPr>
      </w:pPr>
      <w:r>
        <w:rPr>
          <w:rFonts w:asciiTheme="minorHAnsi" w:hAnsiTheme="minorHAnsi"/>
          <w:szCs w:val="26"/>
        </w:rPr>
        <w:br/>
      </w:r>
    </w:p>
    <w:p w14:paraId="12A05C25" w14:textId="5121B509" w:rsidR="00DA31F3" w:rsidRPr="0062494B" w:rsidRDefault="00E63EE3" w:rsidP="00DA31F3">
      <w:pPr>
        <w:rPr>
          <w:rFonts w:asciiTheme="minorHAnsi" w:hAnsiTheme="minorHAnsi"/>
          <w:szCs w:val="26"/>
          <w:u w:val="single"/>
        </w:rPr>
      </w:pPr>
      <w:r w:rsidRPr="0062494B">
        <w:rPr>
          <w:rFonts w:asciiTheme="minorHAnsi" w:hAnsiTheme="minorHAnsi"/>
          <w:szCs w:val="26"/>
          <w:u w:val="single"/>
        </w:rPr>
        <w:t>Příjem</w:t>
      </w:r>
      <w:r w:rsidR="0062494B">
        <w:rPr>
          <w:rFonts w:asciiTheme="minorHAnsi" w:hAnsiTheme="minorHAnsi"/>
          <w:szCs w:val="26"/>
          <w:u w:val="single"/>
        </w:rPr>
        <w:t xml:space="preserve"> servisu:</w:t>
      </w:r>
    </w:p>
    <w:p w14:paraId="63F8740D" w14:textId="18D3506B" w:rsidR="00DA31F3" w:rsidRDefault="00DA31F3" w:rsidP="00DA31F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Kontakty na další provozovny ve městech Benešov, Pardubice, Hradec Králové, Plzeň, Ústí nad Labem, Děčín, Chrudim, Liberec, Jablonec nad Nisou, Svitavy, Ostrava - na </w:t>
      </w:r>
      <w:hyperlink r:id="rId8" w:history="1">
        <w:r w:rsidRPr="00881E58">
          <w:rPr>
            <w:rStyle w:val="Hypertextovodkaz"/>
            <w:rFonts w:asciiTheme="minorHAnsi" w:hAnsiTheme="minorHAnsi"/>
          </w:rPr>
          <w:t>www.autoin.cz</w:t>
        </w:r>
      </w:hyperlink>
    </w:p>
    <w:sectPr w:rsidR="00DA31F3" w:rsidSect="00DA31F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7B3111"/>
    <w:multiLevelType w:val="hybridMultilevel"/>
    <w:tmpl w:val="0AA267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55C95"/>
    <w:multiLevelType w:val="hybridMultilevel"/>
    <w:tmpl w:val="0C1E33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B510E"/>
    <w:multiLevelType w:val="hybridMultilevel"/>
    <w:tmpl w:val="F63CFE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E30DB"/>
    <w:multiLevelType w:val="hybridMultilevel"/>
    <w:tmpl w:val="504865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pStyle w:val="Nadpis3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509DF"/>
    <w:multiLevelType w:val="hybridMultilevel"/>
    <w:tmpl w:val="01A09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A68EC"/>
    <w:multiLevelType w:val="hybridMultilevel"/>
    <w:tmpl w:val="7B2CC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E2F73"/>
    <w:multiLevelType w:val="hybridMultilevel"/>
    <w:tmpl w:val="1FCAFAF2"/>
    <w:lvl w:ilvl="0" w:tplc="C78A86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2F9"/>
    <w:rsid w:val="00081E74"/>
    <w:rsid w:val="000B3B73"/>
    <w:rsid w:val="000C391D"/>
    <w:rsid w:val="000D171B"/>
    <w:rsid w:val="000D33B1"/>
    <w:rsid w:val="000E4F3F"/>
    <w:rsid w:val="000F13FE"/>
    <w:rsid w:val="000F363B"/>
    <w:rsid w:val="0010049D"/>
    <w:rsid w:val="0011711B"/>
    <w:rsid w:val="00124ACA"/>
    <w:rsid w:val="00127773"/>
    <w:rsid w:val="00166876"/>
    <w:rsid w:val="00173436"/>
    <w:rsid w:val="001744D6"/>
    <w:rsid w:val="001A21E2"/>
    <w:rsid w:val="001B00AE"/>
    <w:rsid w:val="001B4D77"/>
    <w:rsid w:val="001D495D"/>
    <w:rsid w:val="001F7692"/>
    <w:rsid w:val="002075BF"/>
    <w:rsid w:val="002139FB"/>
    <w:rsid w:val="00245F5C"/>
    <w:rsid w:val="002717F7"/>
    <w:rsid w:val="00271AF3"/>
    <w:rsid w:val="0027403C"/>
    <w:rsid w:val="0029199A"/>
    <w:rsid w:val="002A5E9A"/>
    <w:rsid w:val="002D5C8E"/>
    <w:rsid w:val="002D6114"/>
    <w:rsid w:val="002D71EA"/>
    <w:rsid w:val="002E3EA4"/>
    <w:rsid w:val="002F3CE3"/>
    <w:rsid w:val="0033043A"/>
    <w:rsid w:val="00337774"/>
    <w:rsid w:val="00382E27"/>
    <w:rsid w:val="003906E8"/>
    <w:rsid w:val="003917BE"/>
    <w:rsid w:val="00392F0C"/>
    <w:rsid w:val="0039780F"/>
    <w:rsid w:val="003B52DD"/>
    <w:rsid w:val="003C43C2"/>
    <w:rsid w:val="003E2632"/>
    <w:rsid w:val="004136A3"/>
    <w:rsid w:val="00433579"/>
    <w:rsid w:val="004534AA"/>
    <w:rsid w:val="004569CA"/>
    <w:rsid w:val="004779EB"/>
    <w:rsid w:val="004A6541"/>
    <w:rsid w:val="004C114F"/>
    <w:rsid w:val="004C21FB"/>
    <w:rsid w:val="004D2B17"/>
    <w:rsid w:val="004F01EB"/>
    <w:rsid w:val="00510973"/>
    <w:rsid w:val="005117A6"/>
    <w:rsid w:val="0051416E"/>
    <w:rsid w:val="005147BF"/>
    <w:rsid w:val="00521B72"/>
    <w:rsid w:val="005451B1"/>
    <w:rsid w:val="005636E3"/>
    <w:rsid w:val="00596FC7"/>
    <w:rsid w:val="005D3209"/>
    <w:rsid w:val="005D3E17"/>
    <w:rsid w:val="005F468F"/>
    <w:rsid w:val="00601936"/>
    <w:rsid w:val="0060332F"/>
    <w:rsid w:val="00603B70"/>
    <w:rsid w:val="00604624"/>
    <w:rsid w:val="0061684E"/>
    <w:rsid w:val="0062494B"/>
    <w:rsid w:val="0063283D"/>
    <w:rsid w:val="00642EA9"/>
    <w:rsid w:val="00645D34"/>
    <w:rsid w:val="006561EC"/>
    <w:rsid w:val="006716F5"/>
    <w:rsid w:val="006A5097"/>
    <w:rsid w:val="006A5B61"/>
    <w:rsid w:val="006B4311"/>
    <w:rsid w:val="006D0ADB"/>
    <w:rsid w:val="006D5E18"/>
    <w:rsid w:val="006D7EC9"/>
    <w:rsid w:val="006E57D5"/>
    <w:rsid w:val="00701138"/>
    <w:rsid w:val="00732527"/>
    <w:rsid w:val="00742B5A"/>
    <w:rsid w:val="00746BDC"/>
    <w:rsid w:val="00773CA4"/>
    <w:rsid w:val="00783A75"/>
    <w:rsid w:val="0079609A"/>
    <w:rsid w:val="007B29EB"/>
    <w:rsid w:val="007D0F38"/>
    <w:rsid w:val="007D1272"/>
    <w:rsid w:val="007F6475"/>
    <w:rsid w:val="007F654A"/>
    <w:rsid w:val="008065B2"/>
    <w:rsid w:val="00812BCA"/>
    <w:rsid w:val="0082383B"/>
    <w:rsid w:val="008341C9"/>
    <w:rsid w:val="00843D9B"/>
    <w:rsid w:val="008478D8"/>
    <w:rsid w:val="008520FA"/>
    <w:rsid w:val="008620E0"/>
    <w:rsid w:val="00871F7F"/>
    <w:rsid w:val="00872791"/>
    <w:rsid w:val="0087676C"/>
    <w:rsid w:val="00883FAE"/>
    <w:rsid w:val="00886DA9"/>
    <w:rsid w:val="0089181F"/>
    <w:rsid w:val="008A1E3E"/>
    <w:rsid w:val="008A48FC"/>
    <w:rsid w:val="008A5D66"/>
    <w:rsid w:val="008A7E75"/>
    <w:rsid w:val="008B1B5B"/>
    <w:rsid w:val="008B54FA"/>
    <w:rsid w:val="008C6DBA"/>
    <w:rsid w:val="008D45FA"/>
    <w:rsid w:val="00910113"/>
    <w:rsid w:val="00925BC0"/>
    <w:rsid w:val="00930A42"/>
    <w:rsid w:val="00943C5E"/>
    <w:rsid w:val="0094459C"/>
    <w:rsid w:val="009A744B"/>
    <w:rsid w:val="009B339F"/>
    <w:rsid w:val="009B5D20"/>
    <w:rsid w:val="009C5811"/>
    <w:rsid w:val="009D1C07"/>
    <w:rsid w:val="009D58F0"/>
    <w:rsid w:val="009F2246"/>
    <w:rsid w:val="00A07430"/>
    <w:rsid w:val="00A175E7"/>
    <w:rsid w:val="00A214A1"/>
    <w:rsid w:val="00A2640C"/>
    <w:rsid w:val="00A27D0D"/>
    <w:rsid w:val="00A303FA"/>
    <w:rsid w:val="00A448E8"/>
    <w:rsid w:val="00A44DF6"/>
    <w:rsid w:val="00A7437B"/>
    <w:rsid w:val="00AA3ADE"/>
    <w:rsid w:val="00AB0E6E"/>
    <w:rsid w:val="00AB44A9"/>
    <w:rsid w:val="00AB66CC"/>
    <w:rsid w:val="00AC42C0"/>
    <w:rsid w:val="00AC7D18"/>
    <w:rsid w:val="00AE142B"/>
    <w:rsid w:val="00AE2AAC"/>
    <w:rsid w:val="00AE59C1"/>
    <w:rsid w:val="00AF3681"/>
    <w:rsid w:val="00B2039D"/>
    <w:rsid w:val="00B20878"/>
    <w:rsid w:val="00B47024"/>
    <w:rsid w:val="00B67BA0"/>
    <w:rsid w:val="00B929AB"/>
    <w:rsid w:val="00B934D1"/>
    <w:rsid w:val="00BA3A68"/>
    <w:rsid w:val="00BA4BCB"/>
    <w:rsid w:val="00BC6F84"/>
    <w:rsid w:val="00BD0A67"/>
    <w:rsid w:val="00C17B04"/>
    <w:rsid w:val="00C20A27"/>
    <w:rsid w:val="00C4456A"/>
    <w:rsid w:val="00C6230C"/>
    <w:rsid w:val="00C62B2E"/>
    <w:rsid w:val="00C6411E"/>
    <w:rsid w:val="00C70D93"/>
    <w:rsid w:val="00CA16F4"/>
    <w:rsid w:val="00CB58AD"/>
    <w:rsid w:val="00CD164E"/>
    <w:rsid w:val="00CD7359"/>
    <w:rsid w:val="00D04BAC"/>
    <w:rsid w:val="00D21F7B"/>
    <w:rsid w:val="00D535BD"/>
    <w:rsid w:val="00D539C3"/>
    <w:rsid w:val="00D571A5"/>
    <w:rsid w:val="00D72D91"/>
    <w:rsid w:val="00D84381"/>
    <w:rsid w:val="00D96EB0"/>
    <w:rsid w:val="00DA31F3"/>
    <w:rsid w:val="00DA72F9"/>
    <w:rsid w:val="00DA756E"/>
    <w:rsid w:val="00DD08F9"/>
    <w:rsid w:val="00E128D9"/>
    <w:rsid w:val="00E30D2E"/>
    <w:rsid w:val="00E431CD"/>
    <w:rsid w:val="00E60898"/>
    <w:rsid w:val="00E63EE3"/>
    <w:rsid w:val="00E70863"/>
    <w:rsid w:val="00E74CFE"/>
    <w:rsid w:val="00E91A87"/>
    <w:rsid w:val="00EC5C84"/>
    <w:rsid w:val="00ED015E"/>
    <w:rsid w:val="00EE71E3"/>
    <w:rsid w:val="00EF1BE1"/>
    <w:rsid w:val="00F27D42"/>
    <w:rsid w:val="00F83834"/>
    <w:rsid w:val="00FA3CD2"/>
    <w:rsid w:val="00FC6468"/>
    <w:rsid w:val="00FE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FB9D"/>
  <w15:docId w15:val="{94098AC0-A73E-4495-834C-C627DB5E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72F9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4F01EB"/>
    <w:pPr>
      <w:keepNext/>
      <w:numPr>
        <w:ilvl w:val="2"/>
        <w:numId w:val="1"/>
      </w:numPr>
      <w:suppressAutoHyphens/>
      <w:jc w:val="center"/>
      <w:outlineLvl w:val="2"/>
    </w:pPr>
    <w:rPr>
      <w:rFonts w:ascii="Arial" w:hAnsi="Arial" w:cs="Arial"/>
      <w:b/>
      <w:bCs/>
      <w:sz w:val="26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A72F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B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2B2E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2A5E9A"/>
    <w:rPr>
      <w:b/>
      <w:bCs/>
    </w:rPr>
  </w:style>
  <w:style w:type="paragraph" w:styleId="Odstavecseseznamem">
    <w:name w:val="List Paragraph"/>
    <w:basedOn w:val="Normln"/>
    <w:uiPriority w:val="34"/>
    <w:qFormat/>
    <w:rsid w:val="00AE2AA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D72D91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rsid w:val="004F01EB"/>
    <w:rPr>
      <w:rFonts w:ascii="Arial" w:eastAsia="Times New Roman" w:hAnsi="Arial" w:cs="Arial"/>
      <w:b/>
      <w:bCs/>
      <w:sz w:val="26"/>
      <w:szCs w:val="24"/>
      <w:lang w:eastAsia="zh-CN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82E27"/>
    <w:rPr>
      <w:color w:val="808080"/>
      <w:shd w:val="clear" w:color="auto" w:fill="E6E6E6"/>
    </w:rPr>
  </w:style>
  <w:style w:type="paragraph" w:customStyle="1" w:styleId="Default">
    <w:name w:val="Default"/>
    <w:rsid w:val="00B67B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markedcontent">
    <w:name w:val="markedcontent"/>
    <w:basedOn w:val="Standardnpsmoodstavce"/>
    <w:rsid w:val="007D0F38"/>
  </w:style>
  <w:style w:type="paragraph" w:styleId="Normlnweb">
    <w:name w:val="Normal (Web)"/>
    <w:basedOn w:val="Normln"/>
    <w:uiPriority w:val="99"/>
    <w:semiHidden/>
    <w:unhideWhenUsed/>
    <w:rsid w:val="007D0F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oin.cz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re.cz/cs/profil-spolecnosti/o-nas/informace-pro-smluvni-partnery/eticka-pravidla-spoluprace-s-obchodnimi-partner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utoin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B559D-D4F6-402B-89A5-31379A00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</dc:creator>
  <cp:lastModifiedBy>Monika Šárová</cp:lastModifiedBy>
  <cp:revision>4</cp:revision>
  <dcterms:created xsi:type="dcterms:W3CDTF">2022-08-12T08:33:00Z</dcterms:created>
  <dcterms:modified xsi:type="dcterms:W3CDTF">2022-08-12T08:38:00Z</dcterms:modified>
</cp:coreProperties>
</file>