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3148" w14:textId="77777777" w:rsidR="00AC0307" w:rsidRDefault="001A1AC4" w:rsidP="00BD36FC">
      <w:pPr>
        <w:jc w:val="center"/>
        <w:rPr>
          <w:b/>
          <w:sz w:val="32"/>
          <w:szCs w:val="32"/>
          <w:lang w:eastAsia="cs-CZ"/>
        </w:rPr>
      </w:pPr>
      <w:r>
        <w:rPr>
          <w:b/>
          <w:sz w:val="32"/>
          <w:szCs w:val="32"/>
          <w:lang w:eastAsia="cs-CZ"/>
        </w:rPr>
        <w:t>Přílohy</w:t>
      </w:r>
    </w:p>
    <w:p w14:paraId="48143149" w14:textId="77777777" w:rsidR="00AC0307" w:rsidRDefault="001A1AC4" w:rsidP="00BD36FC">
      <w:pPr>
        <w:jc w:val="center"/>
        <w:rPr>
          <w:b/>
          <w:sz w:val="32"/>
          <w:szCs w:val="32"/>
          <w:lang w:eastAsia="cs-CZ"/>
        </w:rPr>
      </w:pPr>
      <w:r>
        <w:rPr>
          <w:b/>
          <w:sz w:val="32"/>
          <w:szCs w:val="32"/>
          <w:lang w:eastAsia="cs-CZ"/>
        </w:rPr>
        <w:t xml:space="preserve">Návrh smlouvy </w:t>
      </w:r>
      <w:r>
        <w:rPr>
          <w:rFonts w:asciiTheme="minorHAnsi" w:hAnsiTheme="minorHAnsi" w:cstheme="minorHAnsi"/>
          <w:b/>
          <w:sz w:val="32"/>
          <w:szCs w:val="32"/>
        </w:rPr>
        <w:t>o energetických službách určených veřejnému zadavateli</w:t>
      </w:r>
    </w:p>
    <w:p w14:paraId="4814314A" w14:textId="77777777" w:rsidR="00AC0307" w:rsidRDefault="00AC0307" w:rsidP="00BD36FC">
      <w:pPr>
        <w:spacing w:line="288" w:lineRule="auto"/>
        <w:rPr>
          <w:rFonts w:ascii="Arial" w:hAnsi="Arial"/>
          <w:b/>
          <w:sz w:val="28"/>
          <w:szCs w:val="28"/>
          <w:lang w:eastAsia="cs-CZ"/>
        </w:rPr>
      </w:pPr>
    </w:p>
    <w:p w14:paraId="4814314B" w14:textId="77777777" w:rsidR="00AC0307" w:rsidRDefault="001A1AC4" w:rsidP="00BD36FC">
      <w:pPr>
        <w:spacing w:line="288" w:lineRule="auto"/>
        <w:rPr>
          <w:rFonts w:ascii="Arial" w:hAnsi="Arial"/>
          <w:b/>
          <w:sz w:val="28"/>
          <w:szCs w:val="28"/>
          <w:lang w:eastAsia="cs-CZ"/>
        </w:rPr>
      </w:pPr>
      <w:r>
        <w:rPr>
          <w:rFonts w:ascii="Arial" w:hAnsi="Arial"/>
          <w:b/>
          <w:sz w:val="28"/>
          <w:szCs w:val="28"/>
          <w:lang w:eastAsia="cs-CZ"/>
        </w:rPr>
        <w:t>Obsah:</w:t>
      </w:r>
    </w:p>
    <w:p w14:paraId="232D602F" w14:textId="5CDCC1E9" w:rsidR="00413F81" w:rsidRDefault="001A1AC4">
      <w:pPr>
        <w:pStyle w:val="TOC1"/>
        <w:rPr>
          <w:rFonts w:asciiTheme="minorHAnsi" w:eastAsiaTheme="minorEastAsia" w:hAnsiTheme="minorHAnsi" w:cstheme="minorBidi"/>
          <w:b w:val="0"/>
          <w:bCs w:val="0"/>
          <w:caps w:val="0"/>
          <w:noProof/>
          <w:sz w:val="22"/>
          <w:szCs w:val="22"/>
          <w:lang w:eastAsia="cs-CZ"/>
        </w:rPr>
      </w:pPr>
      <w:r>
        <w:rPr>
          <w:rFonts w:ascii="Arial" w:hAnsi="Arial"/>
          <w:sz w:val="28"/>
          <w:szCs w:val="28"/>
          <w:lang w:eastAsia="cs-CZ"/>
        </w:rPr>
        <w:fldChar w:fldCharType="begin"/>
      </w:r>
      <w:r>
        <w:rPr>
          <w:rFonts w:ascii="Arial" w:hAnsi="Arial"/>
          <w:sz w:val="28"/>
          <w:szCs w:val="28"/>
          <w:lang w:eastAsia="cs-CZ"/>
        </w:rPr>
        <w:instrText xml:space="preserve"> TOC \o "1-1" \h \z \t "Nadpis 2;2;Nadpis 3;3" </w:instrText>
      </w:r>
      <w:r>
        <w:rPr>
          <w:rFonts w:ascii="Arial" w:hAnsi="Arial"/>
          <w:sz w:val="28"/>
          <w:szCs w:val="28"/>
          <w:lang w:eastAsia="cs-CZ"/>
        </w:rPr>
        <w:fldChar w:fldCharType="separate"/>
      </w:r>
      <w:hyperlink w:anchor="_Toc100673902" w:history="1">
        <w:r w:rsidR="00413F81" w:rsidRPr="008409C9">
          <w:rPr>
            <w:rStyle w:val="Hyperlink"/>
            <w:noProof/>
          </w:rPr>
          <w:t>Příloha č. 1: Popis výchozího stavu včetně referenční spotřeby a referenčních nákladů</w:t>
        </w:r>
        <w:r w:rsidR="00413F81">
          <w:rPr>
            <w:noProof/>
            <w:webHidden/>
          </w:rPr>
          <w:tab/>
        </w:r>
        <w:r w:rsidR="00413F81">
          <w:rPr>
            <w:noProof/>
            <w:webHidden/>
          </w:rPr>
          <w:fldChar w:fldCharType="begin"/>
        </w:r>
        <w:r w:rsidR="00413F81">
          <w:rPr>
            <w:noProof/>
            <w:webHidden/>
          </w:rPr>
          <w:instrText xml:space="preserve"> PAGEREF _Toc100673902 \h </w:instrText>
        </w:r>
        <w:r w:rsidR="00413F81">
          <w:rPr>
            <w:noProof/>
            <w:webHidden/>
          </w:rPr>
        </w:r>
        <w:r w:rsidR="00413F81">
          <w:rPr>
            <w:noProof/>
            <w:webHidden/>
          </w:rPr>
          <w:fldChar w:fldCharType="separate"/>
        </w:r>
        <w:r w:rsidR="008D3D49">
          <w:rPr>
            <w:noProof/>
            <w:webHidden/>
          </w:rPr>
          <w:t>3</w:t>
        </w:r>
        <w:r w:rsidR="00413F81">
          <w:rPr>
            <w:noProof/>
            <w:webHidden/>
          </w:rPr>
          <w:fldChar w:fldCharType="end"/>
        </w:r>
      </w:hyperlink>
    </w:p>
    <w:p w14:paraId="3C0C58BE" w14:textId="6C1E108D"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06" w:history="1">
        <w:r w:rsidR="00413F81" w:rsidRPr="008409C9">
          <w:rPr>
            <w:rStyle w:val="Hyperlink"/>
            <w:noProof/>
          </w:rPr>
          <w:t>Příloha č. 2: Popis základních opatření</w:t>
        </w:r>
        <w:r w:rsidR="00413F81">
          <w:rPr>
            <w:noProof/>
            <w:webHidden/>
          </w:rPr>
          <w:tab/>
        </w:r>
        <w:r w:rsidR="00413F81">
          <w:rPr>
            <w:noProof/>
            <w:webHidden/>
          </w:rPr>
          <w:fldChar w:fldCharType="begin"/>
        </w:r>
        <w:r w:rsidR="00413F81">
          <w:rPr>
            <w:noProof/>
            <w:webHidden/>
          </w:rPr>
          <w:instrText xml:space="preserve"> PAGEREF _Toc100673906 \h </w:instrText>
        </w:r>
        <w:r w:rsidR="00413F81">
          <w:rPr>
            <w:noProof/>
            <w:webHidden/>
          </w:rPr>
        </w:r>
        <w:r w:rsidR="00413F81">
          <w:rPr>
            <w:noProof/>
            <w:webHidden/>
          </w:rPr>
          <w:fldChar w:fldCharType="separate"/>
        </w:r>
        <w:r w:rsidR="008D3D49">
          <w:rPr>
            <w:noProof/>
            <w:webHidden/>
          </w:rPr>
          <w:t>35</w:t>
        </w:r>
        <w:r w:rsidR="00413F81">
          <w:rPr>
            <w:noProof/>
            <w:webHidden/>
          </w:rPr>
          <w:fldChar w:fldCharType="end"/>
        </w:r>
      </w:hyperlink>
    </w:p>
    <w:p w14:paraId="40B54279" w14:textId="4847D3BC"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07" w:history="1">
        <w:r w:rsidR="00413F81" w:rsidRPr="008409C9">
          <w:rPr>
            <w:rStyle w:val="Hyperlink"/>
            <w:noProof/>
          </w:rPr>
          <w:t>Příloha č. 3: Cena a její úhrada</w:t>
        </w:r>
        <w:r w:rsidR="00413F81">
          <w:rPr>
            <w:noProof/>
            <w:webHidden/>
          </w:rPr>
          <w:tab/>
        </w:r>
        <w:r w:rsidR="00413F81">
          <w:rPr>
            <w:noProof/>
            <w:webHidden/>
          </w:rPr>
          <w:fldChar w:fldCharType="begin"/>
        </w:r>
        <w:r w:rsidR="00413F81">
          <w:rPr>
            <w:noProof/>
            <w:webHidden/>
          </w:rPr>
          <w:instrText xml:space="preserve"> PAGEREF _Toc100673907 \h </w:instrText>
        </w:r>
        <w:r w:rsidR="00413F81">
          <w:rPr>
            <w:noProof/>
            <w:webHidden/>
          </w:rPr>
        </w:r>
        <w:r w:rsidR="00413F81">
          <w:rPr>
            <w:noProof/>
            <w:webHidden/>
          </w:rPr>
          <w:fldChar w:fldCharType="separate"/>
        </w:r>
        <w:r w:rsidR="008D3D49">
          <w:rPr>
            <w:noProof/>
            <w:webHidden/>
          </w:rPr>
          <w:t>82</w:t>
        </w:r>
        <w:r w:rsidR="00413F81">
          <w:rPr>
            <w:noProof/>
            <w:webHidden/>
          </w:rPr>
          <w:fldChar w:fldCharType="end"/>
        </w:r>
      </w:hyperlink>
    </w:p>
    <w:p w14:paraId="04C3E072" w14:textId="24EE545B"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08" w:history="1">
        <w:r w:rsidR="00413F81" w:rsidRPr="008409C9">
          <w:rPr>
            <w:rStyle w:val="Hyperlink"/>
            <w:noProof/>
          </w:rPr>
          <w:t>Příloha č. 4: Harmonogram realizace projektu</w:t>
        </w:r>
        <w:r w:rsidR="00413F81">
          <w:rPr>
            <w:noProof/>
            <w:webHidden/>
          </w:rPr>
          <w:tab/>
        </w:r>
        <w:r w:rsidR="00413F81">
          <w:rPr>
            <w:noProof/>
            <w:webHidden/>
          </w:rPr>
          <w:fldChar w:fldCharType="begin"/>
        </w:r>
        <w:r w:rsidR="00413F81">
          <w:rPr>
            <w:noProof/>
            <w:webHidden/>
          </w:rPr>
          <w:instrText xml:space="preserve"> PAGEREF _Toc100673908 \h </w:instrText>
        </w:r>
        <w:r w:rsidR="00413F81">
          <w:rPr>
            <w:noProof/>
            <w:webHidden/>
          </w:rPr>
        </w:r>
        <w:r w:rsidR="00413F81">
          <w:rPr>
            <w:noProof/>
            <w:webHidden/>
          </w:rPr>
          <w:fldChar w:fldCharType="separate"/>
        </w:r>
        <w:r w:rsidR="008D3D49">
          <w:rPr>
            <w:noProof/>
            <w:webHidden/>
          </w:rPr>
          <w:t>87</w:t>
        </w:r>
        <w:r w:rsidR="00413F81">
          <w:rPr>
            <w:noProof/>
            <w:webHidden/>
          </w:rPr>
          <w:fldChar w:fldCharType="end"/>
        </w:r>
      </w:hyperlink>
    </w:p>
    <w:p w14:paraId="698629A3" w14:textId="3B15F268"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09" w:history="1">
        <w:r w:rsidR="00413F81" w:rsidRPr="008409C9">
          <w:rPr>
            <w:rStyle w:val="Hyperlink"/>
            <w:noProof/>
          </w:rPr>
          <w:t>Příloha č. 5: Výše garantované úspory</w:t>
        </w:r>
        <w:r w:rsidR="00413F81">
          <w:rPr>
            <w:noProof/>
            <w:webHidden/>
          </w:rPr>
          <w:tab/>
        </w:r>
        <w:r w:rsidR="00413F81">
          <w:rPr>
            <w:noProof/>
            <w:webHidden/>
          </w:rPr>
          <w:fldChar w:fldCharType="begin"/>
        </w:r>
        <w:r w:rsidR="00413F81">
          <w:rPr>
            <w:noProof/>
            <w:webHidden/>
          </w:rPr>
          <w:instrText xml:space="preserve"> PAGEREF _Toc100673909 \h </w:instrText>
        </w:r>
        <w:r w:rsidR="00413F81">
          <w:rPr>
            <w:noProof/>
            <w:webHidden/>
          </w:rPr>
        </w:r>
        <w:r w:rsidR="00413F81">
          <w:rPr>
            <w:noProof/>
            <w:webHidden/>
          </w:rPr>
          <w:fldChar w:fldCharType="separate"/>
        </w:r>
        <w:r w:rsidR="008D3D49">
          <w:rPr>
            <w:noProof/>
            <w:webHidden/>
          </w:rPr>
          <w:t>91</w:t>
        </w:r>
        <w:r w:rsidR="00413F81">
          <w:rPr>
            <w:noProof/>
            <w:webHidden/>
          </w:rPr>
          <w:fldChar w:fldCharType="end"/>
        </w:r>
      </w:hyperlink>
    </w:p>
    <w:p w14:paraId="5AF84335" w14:textId="1D170338"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0" w:history="1">
        <w:r w:rsidR="00413F81" w:rsidRPr="008409C9">
          <w:rPr>
            <w:rStyle w:val="Hyperlink"/>
            <w:noProof/>
          </w:rPr>
          <w:t>Příloha č. 6: Vyhodnocování dosažených úspor</w:t>
        </w:r>
        <w:r w:rsidR="00413F81">
          <w:rPr>
            <w:noProof/>
            <w:webHidden/>
          </w:rPr>
          <w:tab/>
        </w:r>
        <w:r w:rsidR="00413F81">
          <w:rPr>
            <w:noProof/>
            <w:webHidden/>
          </w:rPr>
          <w:fldChar w:fldCharType="begin"/>
        </w:r>
        <w:r w:rsidR="00413F81">
          <w:rPr>
            <w:noProof/>
            <w:webHidden/>
          </w:rPr>
          <w:instrText xml:space="preserve"> PAGEREF _Toc100673910 \h </w:instrText>
        </w:r>
        <w:r w:rsidR="00413F81">
          <w:rPr>
            <w:noProof/>
            <w:webHidden/>
          </w:rPr>
        </w:r>
        <w:r w:rsidR="00413F81">
          <w:rPr>
            <w:noProof/>
            <w:webHidden/>
          </w:rPr>
          <w:fldChar w:fldCharType="separate"/>
        </w:r>
        <w:r w:rsidR="008D3D49">
          <w:rPr>
            <w:noProof/>
            <w:webHidden/>
          </w:rPr>
          <w:t>95</w:t>
        </w:r>
        <w:r w:rsidR="00413F81">
          <w:rPr>
            <w:noProof/>
            <w:webHidden/>
          </w:rPr>
          <w:fldChar w:fldCharType="end"/>
        </w:r>
      </w:hyperlink>
    </w:p>
    <w:p w14:paraId="01371ECD" w14:textId="0FD7C83A"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1" w:history="1">
        <w:r w:rsidR="00413F81" w:rsidRPr="008409C9">
          <w:rPr>
            <w:rStyle w:val="Hyperlink"/>
            <w:noProof/>
          </w:rPr>
          <w:t>Příloha č. 7: Energetický management</w:t>
        </w:r>
        <w:r w:rsidR="00413F81">
          <w:rPr>
            <w:noProof/>
            <w:webHidden/>
          </w:rPr>
          <w:tab/>
        </w:r>
        <w:r w:rsidR="00413F81">
          <w:rPr>
            <w:noProof/>
            <w:webHidden/>
          </w:rPr>
          <w:fldChar w:fldCharType="begin"/>
        </w:r>
        <w:r w:rsidR="00413F81">
          <w:rPr>
            <w:noProof/>
            <w:webHidden/>
          </w:rPr>
          <w:instrText xml:space="preserve"> PAGEREF _Toc100673911 \h </w:instrText>
        </w:r>
        <w:r w:rsidR="00413F81">
          <w:rPr>
            <w:noProof/>
            <w:webHidden/>
          </w:rPr>
        </w:r>
        <w:r w:rsidR="00413F81">
          <w:rPr>
            <w:noProof/>
            <w:webHidden/>
          </w:rPr>
          <w:fldChar w:fldCharType="separate"/>
        </w:r>
        <w:r w:rsidR="008D3D49">
          <w:rPr>
            <w:noProof/>
            <w:webHidden/>
          </w:rPr>
          <w:t>112</w:t>
        </w:r>
        <w:r w:rsidR="00413F81">
          <w:rPr>
            <w:noProof/>
            <w:webHidden/>
          </w:rPr>
          <w:fldChar w:fldCharType="end"/>
        </w:r>
      </w:hyperlink>
    </w:p>
    <w:p w14:paraId="3AA54A15" w14:textId="729F7602"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2" w:history="1">
        <w:r w:rsidR="00413F81" w:rsidRPr="008409C9">
          <w:rPr>
            <w:rStyle w:val="Hyperlink"/>
            <w:noProof/>
          </w:rPr>
          <w:t>Příloha č. 8: Oprávněné osoby</w:t>
        </w:r>
        <w:r w:rsidR="00413F81">
          <w:rPr>
            <w:noProof/>
            <w:webHidden/>
          </w:rPr>
          <w:tab/>
        </w:r>
        <w:r w:rsidR="00413F81">
          <w:rPr>
            <w:noProof/>
            <w:webHidden/>
          </w:rPr>
          <w:fldChar w:fldCharType="begin"/>
        </w:r>
        <w:r w:rsidR="00413F81">
          <w:rPr>
            <w:noProof/>
            <w:webHidden/>
          </w:rPr>
          <w:instrText xml:space="preserve"> PAGEREF _Toc100673912 \h </w:instrText>
        </w:r>
        <w:r w:rsidR="00413F81">
          <w:rPr>
            <w:noProof/>
            <w:webHidden/>
          </w:rPr>
        </w:r>
        <w:r w:rsidR="00413F81">
          <w:rPr>
            <w:noProof/>
            <w:webHidden/>
          </w:rPr>
          <w:fldChar w:fldCharType="separate"/>
        </w:r>
        <w:r w:rsidR="008D3D49">
          <w:rPr>
            <w:noProof/>
            <w:webHidden/>
          </w:rPr>
          <w:t>117</w:t>
        </w:r>
        <w:r w:rsidR="00413F81">
          <w:rPr>
            <w:noProof/>
            <w:webHidden/>
          </w:rPr>
          <w:fldChar w:fldCharType="end"/>
        </w:r>
      </w:hyperlink>
    </w:p>
    <w:p w14:paraId="7217D687" w14:textId="2563E288"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3" w:history="1">
        <w:r w:rsidR="00413F81" w:rsidRPr="008409C9">
          <w:rPr>
            <w:rStyle w:val="Hyperlink"/>
            <w:noProof/>
          </w:rPr>
          <w:t>Příloha č. 9: Seznam poddodavatelů</w:t>
        </w:r>
        <w:r w:rsidR="00413F81">
          <w:rPr>
            <w:noProof/>
            <w:webHidden/>
          </w:rPr>
          <w:tab/>
        </w:r>
        <w:r w:rsidR="00413F81">
          <w:rPr>
            <w:noProof/>
            <w:webHidden/>
          </w:rPr>
          <w:fldChar w:fldCharType="begin"/>
        </w:r>
        <w:r w:rsidR="00413F81">
          <w:rPr>
            <w:noProof/>
            <w:webHidden/>
          </w:rPr>
          <w:instrText xml:space="preserve"> PAGEREF _Toc100673913 \h </w:instrText>
        </w:r>
        <w:r w:rsidR="00413F81">
          <w:rPr>
            <w:noProof/>
            <w:webHidden/>
          </w:rPr>
        </w:r>
        <w:r w:rsidR="00413F81">
          <w:rPr>
            <w:noProof/>
            <w:webHidden/>
          </w:rPr>
          <w:fldChar w:fldCharType="separate"/>
        </w:r>
        <w:r w:rsidR="008D3D49">
          <w:rPr>
            <w:noProof/>
            <w:webHidden/>
          </w:rPr>
          <w:t>119</w:t>
        </w:r>
        <w:r w:rsidR="00413F81">
          <w:rPr>
            <w:noProof/>
            <w:webHidden/>
          </w:rPr>
          <w:fldChar w:fldCharType="end"/>
        </w:r>
      </w:hyperlink>
    </w:p>
    <w:p w14:paraId="3A219458" w14:textId="246C388E"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5" w:history="1">
        <w:r w:rsidR="00413F81" w:rsidRPr="008409C9">
          <w:rPr>
            <w:rStyle w:val="Hyperlink"/>
            <w:noProof/>
          </w:rPr>
          <w:t>Příloha č. 10: Smlouvy o poskytování záručního a pozáručního servisu</w:t>
        </w:r>
        <w:r w:rsidR="00413F81">
          <w:rPr>
            <w:noProof/>
            <w:webHidden/>
          </w:rPr>
          <w:tab/>
        </w:r>
        <w:r w:rsidR="00413F81">
          <w:rPr>
            <w:noProof/>
            <w:webHidden/>
          </w:rPr>
          <w:fldChar w:fldCharType="begin"/>
        </w:r>
        <w:r w:rsidR="00413F81">
          <w:rPr>
            <w:noProof/>
            <w:webHidden/>
          </w:rPr>
          <w:instrText xml:space="preserve"> PAGEREF _Toc100673915 \h </w:instrText>
        </w:r>
        <w:r w:rsidR="00413F81">
          <w:rPr>
            <w:noProof/>
            <w:webHidden/>
          </w:rPr>
        </w:r>
        <w:r w:rsidR="00413F81">
          <w:rPr>
            <w:noProof/>
            <w:webHidden/>
          </w:rPr>
          <w:fldChar w:fldCharType="separate"/>
        </w:r>
        <w:r w:rsidR="008D3D49">
          <w:rPr>
            <w:noProof/>
            <w:webHidden/>
          </w:rPr>
          <w:t>120</w:t>
        </w:r>
        <w:r w:rsidR="00413F81">
          <w:rPr>
            <w:noProof/>
            <w:webHidden/>
          </w:rPr>
          <w:fldChar w:fldCharType="end"/>
        </w:r>
      </w:hyperlink>
    </w:p>
    <w:p w14:paraId="3544CE7C" w14:textId="1AE72A7F"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6" w:history="1">
        <w:r w:rsidR="00413F81" w:rsidRPr="008409C9">
          <w:rPr>
            <w:rStyle w:val="Hyperlink"/>
            <w:noProof/>
          </w:rPr>
          <w:t>Příloha č. 13: Technologické celky</w:t>
        </w:r>
        <w:r w:rsidR="00413F81">
          <w:rPr>
            <w:noProof/>
            <w:webHidden/>
          </w:rPr>
          <w:tab/>
        </w:r>
        <w:r w:rsidR="00413F81">
          <w:rPr>
            <w:noProof/>
            <w:webHidden/>
          </w:rPr>
          <w:fldChar w:fldCharType="begin"/>
        </w:r>
        <w:r w:rsidR="00413F81">
          <w:rPr>
            <w:noProof/>
            <w:webHidden/>
          </w:rPr>
          <w:instrText xml:space="preserve"> PAGEREF _Toc100673916 \h </w:instrText>
        </w:r>
        <w:r w:rsidR="00413F81">
          <w:rPr>
            <w:noProof/>
            <w:webHidden/>
          </w:rPr>
        </w:r>
        <w:r w:rsidR="00413F81">
          <w:rPr>
            <w:noProof/>
            <w:webHidden/>
          </w:rPr>
          <w:fldChar w:fldCharType="separate"/>
        </w:r>
        <w:r w:rsidR="008D3D49">
          <w:rPr>
            <w:noProof/>
            <w:webHidden/>
          </w:rPr>
          <w:t>121</w:t>
        </w:r>
        <w:r w:rsidR="00413F81">
          <w:rPr>
            <w:noProof/>
            <w:webHidden/>
          </w:rPr>
          <w:fldChar w:fldCharType="end"/>
        </w:r>
      </w:hyperlink>
    </w:p>
    <w:p w14:paraId="2BB22EB5" w14:textId="289DD754" w:rsidR="00413F81" w:rsidRDefault="00000000">
      <w:pPr>
        <w:pStyle w:val="TOC1"/>
        <w:rPr>
          <w:rFonts w:asciiTheme="minorHAnsi" w:eastAsiaTheme="minorEastAsia" w:hAnsiTheme="minorHAnsi" w:cstheme="minorBidi"/>
          <w:b w:val="0"/>
          <w:bCs w:val="0"/>
          <w:caps w:val="0"/>
          <w:noProof/>
          <w:sz w:val="22"/>
          <w:szCs w:val="22"/>
          <w:lang w:eastAsia="cs-CZ"/>
        </w:rPr>
      </w:pPr>
      <w:hyperlink w:anchor="_Toc100673917" w:history="1">
        <w:r w:rsidR="00413F81" w:rsidRPr="008409C9">
          <w:rPr>
            <w:rStyle w:val="Hyperlink"/>
            <w:noProof/>
          </w:rPr>
          <w:t>Příloha č. 14: Inflační doložka</w:t>
        </w:r>
        <w:r w:rsidR="00413F81">
          <w:rPr>
            <w:noProof/>
            <w:webHidden/>
          </w:rPr>
          <w:tab/>
        </w:r>
        <w:r w:rsidR="00413F81">
          <w:rPr>
            <w:noProof/>
            <w:webHidden/>
          </w:rPr>
          <w:fldChar w:fldCharType="begin"/>
        </w:r>
        <w:r w:rsidR="00413F81">
          <w:rPr>
            <w:noProof/>
            <w:webHidden/>
          </w:rPr>
          <w:instrText xml:space="preserve"> PAGEREF _Toc100673917 \h </w:instrText>
        </w:r>
        <w:r w:rsidR="00413F81">
          <w:rPr>
            <w:noProof/>
            <w:webHidden/>
          </w:rPr>
        </w:r>
        <w:r w:rsidR="00413F81">
          <w:rPr>
            <w:noProof/>
            <w:webHidden/>
          </w:rPr>
          <w:fldChar w:fldCharType="separate"/>
        </w:r>
        <w:r w:rsidR="008D3D49">
          <w:rPr>
            <w:noProof/>
            <w:webHidden/>
          </w:rPr>
          <w:t>122</w:t>
        </w:r>
        <w:r w:rsidR="00413F81">
          <w:rPr>
            <w:noProof/>
            <w:webHidden/>
          </w:rPr>
          <w:fldChar w:fldCharType="end"/>
        </w:r>
      </w:hyperlink>
    </w:p>
    <w:p w14:paraId="48143155" w14:textId="6DB6B06A" w:rsidR="00AC0307" w:rsidRDefault="001A1AC4" w:rsidP="00BD36FC">
      <w:pPr>
        <w:spacing w:line="264" w:lineRule="auto"/>
        <w:rPr>
          <w:rFonts w:ascii="Arial" w:hAnsi="Arial"/>
          <w:b/>
          <w:sz w:val="28"/>
          <w:szCs w:val="28"/>
          <w:lang w:eastAsia="cs-CZ"/>
        </w:rPr>
      </w:pPr>
      <w:r>
        <w:rPr>
          <w:rFonts w:ascii="Arial" w:hAnsi="Arial"/>
          <w:b/>
          <w:sz w:val="28"/>
          <w:szCs w:val="28"/>
          <w:lang w:eastAsia="cs-CZ"/>
        </w:rPr>
        <w:fldChar w:fldCharType="end"/>
      </w:r>
      <w:r w:rsidRPr="004C2587">
        <w:rPr>
          <w:rFonts w:ascii="Arial" w:hAnsi="Arial"/>
          <w:sz w:val="28"/>
          <w:szCs w:val="28"/>
          <w:lang w:eastAsia="cs-CZ"/>
        </w:rPr>
        <w:br w:type="page"/>
      </w:r>
      <w:r>
        <w:rPr>
          <w:rFonts w:ascii="Arial" w:hAnsi="Arial"/>
          <w:b/>
          <w:sz w:val="28"/>
          <w:szCs w:val="28"/>
          <w:lang w:eastAsia="cs-CZ"/>
        </w:rPr>
        <w:lastRenderedPageBreak/>
        <w:t>ÚVOD</w:t>
      </w:r>
    </w:p>
    <w:p w14:paraId="48143156" w14:textId="6E18027F" w:rsidR="00AC0307" w:rsidRDefault="001A1AC4" w:rsidP="00BD36FC">
      <w:pPr>
        <w:spacing w:line="264" w:lineRule="auto"/>
        <w:rPr>
          <w:lang w:eastAsia="cs-CZ"/>
        </w:rPr>
      </w:pPr>
      <w:r>
        <w:rPr>
          <w:lang w:eastAsia="cs-CZ"/>
        </w:rPr>
        <w:t>Přílohy ke smlouvě o poskytování energetických služeb se zaručeným výsledkem (SES) jsou vytvořeny tak, aby popsaly v plném rozsahu projekt, jeho přínosy a detaily realizace.</w:t>
      </w:r>
    </w:p>
    <w:p w14:paraId="48143157" w14:textId="77777777" w:rsidR="00AC0307" w:rsidRDefault="001A1AC4" w:rsidP="00BD36FC">
      <w:pPr>
        <w:spacing w:line="264" w:lineRule="auto"/>
        <w:rPr>
          <w:lang w:eastAsia="cs-CZ"/>
        </w:rPr>
      </w:pPr>
      <w:r>
        <w:rPr>
          <w:lang w:eastAsia="cs-CZ"/>
        </w:rPr>
        <w:t xml:space="preserve">Přílohy ke smlouvě SES současně obsahují vše, co je součástí tzv. plánu měření a verifikace dosažených výsledků projektu (plán M&amp;V). Plán M&amp;V má být vždy vypracován v době, kdy se navrhují energeticky úsporná opatření, a je povinnou součástí smlouvy o poskytování energetických služeb se zaručeným výsledkem. </w:t>
      </w:r>
    </w:p>
    <w:p w14:paraId="48143158" w14:textId="77777777" w:rsidR="00AC0307" w:rsidRDefault="001A1AC4" w:rsidP="00BD36FC">
      <w:pPr>
        <w:spacing w:line="264" w:lineRule="auto"/>
        <w:rPr>
          <w:lang w:eastAsia="cs-CZ"/>
        </w:rPr>
      </w:pPr>
      <w:r>
        <w:rPr>
          <w:lang w:eastAsia="cs-CZ"/>
        </w:rPr>
        <w:t xml:space="preserve">Obsah plánu M&amp;V je stanoven Mezinárodním protokolem k měření a verifikaci úspor (International Performance </w:t>
      </w:r>
      <w:proofErr w:type="spellStart"/>
      <w:r>
        <w:rPr>
          <w:lang w:eastAsia="cs-CZ"/>
        </w:rPr>
        <w:t>Measurement</w:t>
      </w:r>
      <w:proofErr w:type="spellEnd"/>
      <w:r>
        <w:rPr>
          <w:lang w:eastAsia="cs-CZ"/>
        </w:rPr>
        <w:t xml:space="preserve"> and </w:t>
      </w:r>
      <w:proofErr w:type="spellStart"/>
      <w:r>
        <w:rPr>
          <w:lang w:eastAsia="cs-CZ"/>
        </w:rPr>
        <w:t>Verification</w:t>
      </w:r>
      <w:proofErr w:type="spellEnd"/>
      <w:r>
        <w:rPr>
          <w:lang w:eastAsia="cs-CZ"/>
        </w:rPr>
        <w:t xml:space="preserve"> </w:t>
      </w:r>
      <w:proofErr w:type="spellStart"/>
      <w:r>
        <w:rPr>
          <w:lang w:eastAsia="cs-CZ"/>
        </w:rPr>
        <w:t>Protocol</w:t>
      </w:r>
      <w:proofErr w:type="spellEnd"/>
      <w:r>
        <w:rPr>
          <w:lang w:eastAsia="cs-CZ"/>
        </w:rPr>
        <w:t>) organizace EVO (</w:t>
      </w:r>
      <w:proofErr w:type="spellStart"/>
      <w:r>
        <w:rPr>
          <w:lang w:eastAsia="cs-CZ"/>
        </w:rPr>
        <w:t>Efficiency</w:t>
      </w:r>
      <w:proofErr w:type="spellEnd"/>
      <w:r>
        <w:rPr>
          <w:lang w:eastAsia="cs-CZ"/>
        </w:rPr>
        <w:t xml:space="preserve"> </w:t>
      </w:r>
      <w:proofErr w:type="spellStart"/>
      <w:r>
        <w:rPr>
          <w:lang w:eastAsia="cs-CZ"/>
        </w:rPr>
        <w:t>Valuation</w:t>
      </w:r>
      <w:proofErr w:type="spellEnd"/>
      <w:r>
        <w:rPr>
          <w:lang w:eastAsia="cs-CZ"/>
        </w:rPr>
        <w:t xml:space="preserve"> </w:t>
      </w:r>
      <w:proofErr w:type="spellStart"/>
      <w:r>
        <w:rPr>
          <w:lang w:eastAsia="cs-CZ"/>
        </w:rPr>
        <w:t>Organisation</w:t>
      </w:r>
      <w:proofErr w:type="spellEnd"/>
      <w:r>
        <w:rPr>
          <w:lang w:eastAsia="cs-CZ"/>
        </w:rPr>
        <w:t xml:space="preserve">, který byl do České republiky přenesen v roce 2011 v rámci projektu PERMANENT Evropské komise, a který je v češtině ke stažení na stránce </w:t>
      </w:r>
      <w:hyperlink r:id="rId8" w:history="1">
        <w:r>
          <w:rPr>
            <w:rStyle w:val="Hyperlink"/>
            <w:lang w:eastAsia="cs-CZ"/>
          </w:rPr>
          <w:t>www.evo-world.org</w:t>
        </w:r>
      </w:hyperlink>
      <w:r>
        <w:rPr>
          <w:lang w:eastAsia="cs-CZ"/>
        </w:rPr>
        <w:t xml:space="preserve">. IPMVP poskytuje přehled nejlepších současných přístupů a technik verifikace výsledků projektů zaměřených na úspory energie a vody a projektů zaměřených na využívání obnovitelných zdrojů energie v komerčních a průmyslových zařízeních. Obzvláště se používá v případě energetických služeb s garantovanou úsporou, kdy se úspory musejí dokladovat přímo klientovi a závisí na nich splátka investice provedené firmou energetických služeb (ESCO). </w:t>
      </w:r>
    </w:p>
    <w:p w14:paraId="3BB3A210" w14:textId="77777777" w:rsidR="004C2587" w:rsidRDefault="004C2587" w:rsidP="00BD36FC">
      <w:pPr>
        <w:spacing w:line="264" w:lineRule="auto"/>
        <w:jc w:val="left"/>
        <w:rPr>
          <w:rFonts w:eastAsia="Calibri"/>
          <w:b/>
          <w:bCs/>
          <w:sz w:val="28"/>
          <w:szCs w:val="28"/>
        </w:rPr>
      </w:pPr>
      <w:r>
        <w:br w:type="page"/>
      </w:r>
    </w:p>
    <w:p w14:paraId="4814315A" w14:textId="470B3934" w:rsidR="00AC0307" w:rsidRDefault="001A1AC4" w:rsidP="00BD36FC">
      <w:pPr>
        <w:pStyle w:val="Heading1"/>
      </w:pPr>
      <w:bookmarkStart w:id="0" w:name="_Toc100673902"/>
      <w:r>
        <w:lastRenderedPageBreak/>
        <w:t>Příloha č. 1: Popis výchozího stavu včetně referenční spotřeby a referenčních nákladů</w:t>
      </w:r>
      <w:bookmarkEnd w:id="0"/>
    </w:p>
    <w:p w14:paraId="4814315B" w14:textId="0B689AE7" w:rsidR="00AC0307" w:rsidRDefault="004C2587" w:rsidP="00BD36FC">
      <w:r>
        <w:t xml:space="preserve">Místem plnění jsou následující </w:t>
      </w:r>
      <w:r w:rsidR="008A07DE">
        <w:t xml:space="preserve">areály / </w:t>
      </w:r>
      <w:r>
        <w:t>objekty v majetku Klienta:</w:t>
      </w:r>
    </w:p>
    <w:p w14:paraId="3E9478C9" w14:textId="6FF49455" w:rsidR="00E71C5C" w:rsidRDefault="00AF1459" w:rsidP="00BD36FC">
      <w:pPr>
        <w:spacing w:before="0"/>
        <w:jc w:val="left"/>
        <w:rPr>
          <w:lang w:eastAsia="cs-CZ"/>
        </w:rPr>
      </w:pPr>
      <w:r>
        <w:rPr>
          <w:noProof/>
        </w:rPr>
        <w:drawing>
          <wp:inline distT="0" distB="0" distL="0" distR="0" wp14:anchorId="14EB856E" wp14:editId="067967D5">
            <wp:extent cx="5760720" cy="3475355"/>
            <wp:effectExtent l="0" t="0" r="0" b="0"/>
            <wp:docPr id="42" name="Obrázek 4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stůl&#10;&#10;Popis byl vytvořen automaticky"/>
                    <pic:cNvPicPr/>
                  </pic:nvPicPr>
                  <pic:blipFill>
                    <a:blip r:embed="rId9"/>
                    <a:stretch>
                      <a:fillRect/>
                    </a:stretch>
                  </pic:blipFill>
                  <pic:spPr>
                    <a:xfrm>
                      <a:off x="0" y="0"/>
                      <a:ext cx="5760720" cy="3475355"/>
                    </a:xfrm>
                    <a:prstGeom prst="rect">
                      <a:avLst/>
                    </a:prstGeom>
                  </pic:spPr>
                </pic:pic>
              </a:graphicData>
            </a:graphic>
          </wp:inline>
        </w:drawing>
      </w:r>
      <w:r w:rsidR="00E71C5C">
        <w:rPr>
          <w:lang w:eastAsia="cs-CZ"/>
        </w:rPr>
        <w:br w:type="page"/>
      </w:r>
    </w:p>
    <w:p w14:paraId="2B55116C" w14:textId="1E55AEF6" w:rsidR="00E71C5C" w:rsidRPr="00E41615" w:rsidRDefault="00E71C5C" w:rsidP="00E41615">
      <w:pPr>
        <w:pStyle w:val="Heading2"/>
      </w:pPr>
      <w:bookmarkStart w:id="1" w:name="_Toc55480693"/>
      <w:bookmarkStart w:id="2" w:name="_Toc92199514"/>
      <w:bookmarkStart w:id="3" w:name="_Toc98513776"/>
      <w:bookmarkStart w:id="4" w:name="_Toc98514192"/>
      <w:bookmarkStart w:id="5" w:name="_Toc100673903"/>
      <w:r w:rsidRPr="00E41615">
        <w:lastRenderedPageBreak/>
        <w:t>POPIS VÝCHOZÍHO STAVU</w:t>
      </w:r>
      <w:bookmarkEnd w:id="1"/>
      <w:bookmarkEnd w:id="2"/>
      <w:bookmarkEnd w:id="3"/>
      <w:bookmarkEnd w:id="4"/>
      <w:bookmarkEnd w:id="5"/>
    </w:p>
    <w:p w14:paraId="36FEB8CC" w14:textId="7E6D8E0E" w:rsidR="00E71C5C" w:rsidRPr="00D21576" w:rsidRDefault="00E71C5C" w:rsidP="00FE2739">
      <w:pPr>
        <w:pStyle w:val="ListParagraph"/>
        <w:numPr>
          <w:ilvl w:val="0"/>
          <w:numId w:val="5"/>
        </w:numPr>
        <w:spacing w:line="264" w:lineRule="auto"/>
        <w:ind w:left="709" w:hanging="709"/>
        <w:contextualSpacing w:val="0"/>
        <w:rPr>
          <w:b/>
          <w:bCs/>
          <w:sz w:val="28"/>
          <w:szCs w:val="28"/>
        </w:rPr>
      </w:pPr>
      <w:r w:rsidRPr="00D21576">
        <w:rPr>
          <w:b/>
          <w:bCs/>
          <w:sz w:val="28"/>
          <w:szCs w:val="28"/>
        </w:rPr>
        <w:t>SO-01 a SO-02 Hlavní areál Nemocnice Na Homolce, Roentgenova 37/2, Praha 5</w:t>
      </w:r>
    </w:p>
    <w:p w14:paraId="302409EF" w14:textId="6410966E" w:rsidR="00E71C5C" w:rsidRPr="00D21576" w:rsidRDefault="00E71C5C" w:rsidP="00FE2739">
      <w:pPr>
        <w:pStyle w:val="ListParagraph"/>
        <w:numPr>
          <w:ilvl w:val="1"/>
          <w:numId w:val="5"/>
        </w:numPr>
        <w:tabs>
          <w:tab w:val="left" w:pos="709"/>
        </w:tabs>
        <w:spacing w:line="264" w:lineRule="auto"/>
        <w:ind w:left="0" w:firstLine="0"/>
        <w:contextualSpacing w:val="0"/>
        <w:rPr>
          <w:b/>
          <w:bCs/>
          <w:sz w:val="24"/>
          <w:szCs w:val="24"/>
        </w:rPr>
      </w:pPr>
      <w:bookmarkStart w:id="6" w:name="_Hlk37751003"/>
      <w:r w:rsidRPr="00D21576">
        <w:rPr>
          <w:b/>
          <w:bCs/>
          <w:sz w:val="24"/>
          <w:szCs w:val="24"/>
        </w:rPr>
        <w:t xml:space="preserve">Stručný popis </w:t>
      </w:r>
      <w:r w:rsidR="00D21576" w:rsidRPr="00D21576">
        <w:rPr>
          <w:b/>
          <w:bCs/>
          <w:sz w:val="24"/>
          <w:szCs w:val="24"/>
        </w:rPr>
        <w:t>areálu</w:t>
      </w:r>
      <w:r w:rsidRPr="00D21576">
        <w:rPr>
          <w:b/>
          <w:bCs/>
          <w:sz w:val="24"/>
          <w:szCs w:val="24"/>
        </w:rPr>
        <w:t xml:space="preserve"> a jeho provozu</w:t>
      </w:r>
    </w:p>
    <w:bookmarkEnd w:id="6"/>
    <w:p w14:paraId="1A56F725" w14:textId="6CA2C7CD" w:rsidR="00E71C5C" w:rsidRDefault="00E71C5C" w:rsidP="00BD36FC">
      <w:pPr>
        <w:spacing w:line="264" w:lineRule="auto"/>
        <w:rPr>
          <w:lang w:eastAsia="cs-CZ"/>
        </w:rPr>
      </w:pPr>
      <w:r w:rsidRPr="00E71C5C">
        <w:rPr>
          <w:lang w:eastAsia="cs-CZ"/>
        </w:rPr>
        <w:t>Areál a budovy, které se v něm nachází, jsou určeny především pro poskytování zdravotnických služeb a k úkonům s nimi souvisejícími. Charakterem se jedná o specializované pracoviště s ambulantní i lůžkovou péčí.</w:t>
      </w:r>
    </w:p>
    <w:p w14:paraId="0DCCEA06" w14:textId="77777777" w:rsidR="00E71C5C" w:rsidRPr="00E71C5C" w:rsidRDefault="00E71C5C" w:rsidP="00BD36FC">
      <w:pPr>
        <w:tabs>
          <w:tab w:val="left" w:pos="284"/>
        </w:tabs>
        <w:spacing w:line="264" w:lineRule="auto"/>
        <w:rPr>
          <w:lang w:eastAsia="cs-CZ"/>
        </w:rPr>
      </w:pPr>
      <w:r w:rsidRPr="00E71C5C">
        <w:rPr>
          <w:lang w:eastAsia="cs-CZ"/>
        </w:rPr>
        <w:t>Nemocnice Na Homolce je nadstavbové klinické zdravotnické zařízení, které na rozdíl od fakultních nemocnic nemá zájem poskytovat kompletní spektrum zdravotnických služeb, ale naopak se zaměřuje na vysoce kvalifikovanou a technologicky vyspělou léčbu v určitých oborech. Má status vědecko-výzkumného pracoviště.</w:t>
      </w:r>
    </w:p>
    <w:p w14:paraId="093A925E" w14:textId="77777777" w:rsidR="00E71C5C" w:rsidRPr="00E71C5C" w:rsidRDefault="00E71C5C" w:rsidP="00BD36FC">
      <w:pPr>
        <w:tabs>
          <w:tab w:val="left" w:pos="284"/>
        </w:tabs>
        <w:spacing w:line="264" w:lineRule="auto"/>
        <w:rPr>
          <w:lang w:eastAsia="cs-CZ"/>
        </w:rPr>
      </w:pPr>
      <w:r w:rsidRPr="00E71C5C">
        <w:rPr>
          <w:lang w:eastAsia="cs-CZ"/>
        </w:rPr>
        <w:t>Nemocnice disponuje celkem 357 lůžky. V roce 2018 zde bylo ošetřeno ambulantně 1 192 860 pacientů, hospitalizováno celkem 20 790 pacientů, provedeno 15 591 operací. Nemocnice měla v roce 2018 celkem 1 787 zaměstnanců.</w:t>
      </w:r>
    </w:p>
    <w:p w14:paraId="270DDDBE" w14:textId="513FA880" w:rsidR="00E71C5C" w:rsidRPr="00E71C5C" w:rsidRDefault="00E71C5C" w:rsidP="00BD36FC">
      <w:pPr>
        <w:tabs>
          <w:tab w:val="left" w:pos="284"/>
        </w:tabs>
        <w:spacing w:line="264" w:lineRule="auto"/>
        <w:rPr>
          <w:lang w:eastAsia="cs-CZ"/>
        </w:rPr>
      </w:pPr>
      <w:r w:rsidRPr="00E71C5C">
        <w:rPr>
          <w:lang w:eastAsia="cs-CZ"/>
        </w:rPr>
        <w:t>S ohledem na charakter zařízení je v provozu nepřetržitě. Míra využití zařízení se dá považovat za stabilní</w:t>
      </w:r>
      <w:r>
        <w:rPr>
          <w:lang w:eastAsia="cs-CZ"/>
        </w:rPr>
        <w:t>.</w:t>
      </w:r>
    </w:p>
    <w:p w14:paraId="5088D3AB" w14:textId="258743DE" w:rsidR="00E71C5C" w:rsidRPr="00E71C5C" w:rsidRDefault="00E71C5C" w:rsidP="00BD36FC">
      <w:pPr>
        <w:tabs>
          <w:tab w:val="left" w:pos="284"/>
        </w:tabs>
        <w:spacing w:line="264" w:lineRule="auto"/>
        <w:rPr>
          <w:rFonts w:asciiTheme="minorHAnsi" w:hAnsiTheme="minorHAnsi" w:cstheme="minorHAnsi"/>
          <w:szCs w:val="24"/>
        </w:rPr>
      </w:pPr>
      <w:r>
        <w:rPr>
          <w:rFonts w:asciiTheme="minorHAnsi" w:hAnsiTheme="minorHAnsi" w:cstheme="minorHAnsi"/>
          <w:szCs w:val="24"/>
        </w:rPr>
        <w:t xml:space="preserve">Areál </w:t>
      </w:r>
      <w:r w:rsidRPr="00E71C5C">
        <w:rPr>
          <w:rFonts w:asciiTheme="minorHAnsi" w:hAnsiTheme="minorHAnsi" w:cstheme="minorHAnsi"/>
          <w:szCs w:val="24"/>
        </w:rPr>
        <w:t>Nemocnice Na Homolce sestává následujících objektů:</w:t>
      </w:r>
    </w:p>
    <w:p w14:paraId="2C2D2BE7"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 xml:space="preserve">Objekt 011 – Hlavní vrátnice </w:t>
      </w:r>
    </w:p>
    <w:p w14:paraId="5BF9FC28"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012 – Vrátnice</w:t>
      </w:r>
    </w:p>
    <w:p w14:paraId="204B7010"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091 – Vedlejší vrátnice</w:t>
      </w:r>
    </w:p>
    <w:p w14:paraId="4AEA0568" w14:textId="77777777" w:rsidR="00E71C5C" w:rsidRPr="00E71C5C" w:rsidRDefault="00E71C5C" w:rsidP="00BD36FC">
      <w:pPr>
        <w:tabs>
          <w:tab w:val="left" w:pos="284"/>
        </w:tabs>
        <w:spacing w:line="264" w:lineRule="auto"/>
        <w:rPr>
          <w:rFonts w:asciiTheme="minorHAnsi" w:hAnsiTheme="minorHAnsi" w:cstheme="minorHAnsi"/>
          <w:b/>
          <w:szCs w:val="24"/>
        </w:rPr>
      </w:pPr>
      <w:r w:rsidRPr="00E71C5C">
        <w:rPr>
          <w:rFonts w:asciiTheme="minorHAnsi" w:hAnsiTheme="minorHAnsi" w:cstheme="minorHAnsi"/>
          <w:b/>
          <w:szCs w:val="24"/>
        </w:rPr>
        <w:t>Hlavní budova:</w:t>
      </w:r>
    </w:p>
    <w:p w14:paraId="0EDE4917"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002 – Poliklinika, ambulance,</w:t>
      </w:r>
    </w:p>
    <w:p w14:paraId="00A6B6D3"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003 – Lůžková část, operační sály,</w:t>
      </w:r>
    </w:p>
    <w:p w14:paraId="16C06A5D"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004 – ARO, operační sály, rehabilitace,</w:t>
      </w:r>
    </w:p>
    <w:p w14:paraId="6EBD1D9E"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005 – Laboratoře, administrativa, stravování, bazén,</w:t>
      </w:r>
    </w:p>
    <w:p w14:paraId="682625B4"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006 – Sterilizace infikovaných vod, sklady,</w:t>
      </w:r>
    </w:p>
    <w:p w14:paraId="1A8150D2"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007 – Dětská poliklinika, gynekologie, administrativa.</w:t>
      </w:r>
    </w:p>
    <w:p w14:paraId="01ED2BD5" w14:textId="77777777" w:rsidR="00E71C5C" w:rsidRPr="00E71C5C" w:rsidRDefault="00E71C5C" w:rsidP="00BD36FC">
      <w:pPr>
        <w:tabs>
          <w:tab w:val="left" w:pos="284"/>
        </w:tabs>
        <w:spacing w:line="264" w:lineRule="auto"/>
        <w:rPr>
          <w:rFonts w:asciiTheme="minorHAnsi" w:hAnsiTheme="minorHAnsi" w:cstheme="minorHAnsi"/>
          <w:b/>
          <w:szCs w:val="24"/>
        </w:rPr>
      </w:pPr>
      <w:r w:rsidRPr="00E71C5C">
        <w:rPr>
          <w:rFonts w:asciiTheme="minorHAnsi" w:hAnsiTheme="minorHAnsi" w:cstheme="minorHAnsi"/>
          <w:b/>
          <w:szCs w:val="24"/>
        </w:rPr>
        <w:t>Oddělené zdravotnické objekty:</w:t>
      </w:r>
    </w:p>
    <w:p w14:paraId="02B74AE5"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008 – Mikrobiologie, patologie,</w:t>
      </w:r>
    </w:p>
    <w:p w14:paraId="4CC0F5BB"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080 – Nukleární medicína, PET centrum,</w:t>
      </w:r>
    </w:p>
    <w:p w14:paraId="219FDCCD"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090 – Magnetická rezonance, kongresové centrum.</w:t>
      </w:r>
    </w:p>
    <w:p w14:paraId="7B8F5988" w14:textId="77777777" w:rsidR="00E71C5C" w:rsidRPr="00E71C5C" w:rsidRDefault="00E71C5C" w:rsidP="00BD36FC">
      <w:pPr>
        <w:tabs>
          <w:tab w:val="left" w:pos="284"/>
        </w:tabs>
        <w:spacing w:line="264" w:lineRule="auto"/>
        <w:rPr>
          <w:rFonts w:asciiTheme="minorHAnsi" w:hAnsiTheme="minorHAnsi" w:cstheme="minorHAnsi"/>
          <w:b/>
          <w:szCs w:val="24"/>
        </w:rPr>
      </w:pPr>
      <w:r w:rsidRPr="00E71C5C">
        <w:rPr>
          <w:rFonts w:asciiTheme="minorHAnsi" w:hAnsiTheme="minorHAnsi" w:cstheme="minorHAnsi"/>
          <w:b/>
          <w:szCs w:val="24"/>
        </w:rPr>
        <w:t>Objekty technického zázemí:</w:t>
      </w:r>
    </w:p>
    <w:p w14:paraId="456ABBDB"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009 – Energocentrum, trafostanice,</w:t>
      </w:r>
    </w:p>
    <w:p w14:paraId="2AB5875E"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010 – Servis vozů,</w:t>
      </w:r>
    </w:p>
    <w:p w14:paraId="1116ED94"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014 – Sklad hořlavin,</w:t>
      </w:r>
    </w:p>
    <w:p w14:paraId="37A504BB"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015 – Dílny, sklad výbušných materiálů,</w:t>
      </w:r>
    </w:p>
    <w:p w14:paraId="50B35C17"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016 – Naftové hospodářství,</w:t>
      </w:r>
    </w:p>
    <w:p w14:paraId="0BE0B640" w14:textId="77777777" w:rsidR="00E71C5C" w:rsidRPr="00E71C5C" w:rsidRDefault="00E71C5C" w:rsidP="00BD36FC">
      <w:pPr>
        <w:tabs>
          <w:tab w:val="left" w:pos="284"/>
        </w:tabs>
        <w:spacing w:before="60" w:line="264" w:lineRule="auto"/>
        <w:rPr>
          <w:rFonts w:asciiTheme="minorHAnsi" w:hAnsiTheme="minorHAnsi" w:cstheme="minorHAnsi"/>
          <w:szCs w:val="24"/>
        </w:rPr>
      </w:pPr>
      <w:r w:rsidRPr="00E71C5C">
        <w:rPr>
          <w:rFonts w:asciiTheme="minorHAnsi" w:hAnsiTheme="minorHAnsi" w:cstheme="minorHAnsi"/>
          <w:szCs w:val="24"/>
        </w:rPr>
        <w:t>Objekt 017 – Odpařovací stanice kyslíku.</w:t>
      </w:r>
    </w:p>
    <w:p w14:paraId="5223187B" w14:textId="77777777" w:rsidR="00E71C5C" w:rsidRDefault="00E71C5C" w:rsidP="00BD36FC">
      <w:pPr>
        <w:spacing w:line="264" w:lineRule="auto"/>
        <w:rPr>
          <w:lang w:eastAsia="cs-CZ"/>
        </w:rPr>
      </w:pPr>
    </w:p>
    <w:p w14:paraId="0FCDF992" w14:textId="42248746" w:rsidR="00D21576" w:rsidRDefault="00D21576" w:rsidP="00BD36FC">
      <w:pPr>
        <w:pStyle w:val="Caption"/>
        <w:spacing w:before="120" w:after="0" w:line="264" w:lineRule="auto"/>
      </w:pPr>
      <w:r>
        <w:lastRenderedPageBreak/>
        <w:t xml:space="preserve">Obrázek </w:t>
      </w:r>
      <w:r w:rsidR="00000000">
        <w:fldChar w:fldCharType="begin"/>
      </w:r>
      <w:r w:rsidR="00000000">
        <w:instrText xml:space="preserve"> SEQ Obrázek \* ARABIC </w:instrText>
      </w:r>
      <w:r w:rsidR="00000000">
        <w:fldChar w:fldCharType="separate"/>
      </w:r>
      <w:r>
        <w:rPr>
          <w:noProof/>
        </w:rPr>
        <w:t>1</w:t>
      </w:r>
      <w:r w:rsidR="00000000">
        <w:rPr>
          <w:noProof/>
        </w:rPr>
        <w:fldChar w:fldCharType="end"/>
      </w:r>
      <w:r>
        <w:t xml:space="preserve"> Schéma umístění budov</w:t>
      </w:r>
    </w:p>
    <w:p w14:paraId="6A932DE8" w14:textId="110CA479" w:rsidR="00E71C5C" w:rsidRDefault="00E71C5C" w:rsidP="00BD36FC">
      <w:pPr>
        <w:spacing w:line="264" w:lineRule="auto"/>
        <w:rPr>
          <w:lang w:eastAsia="cs-CZ"/>
        </w:rPr>
      </w:pPr>
      <w:r w:rsidRPr="009A6EE4">
        <w:rPr>
          <w:rFonts w:ascii="Verdana" w:hAnsi="Verdana" w:cstheme="minorHAnsi"/>
          <w:noProof/>
          <w:sz w:val="20"/>
        </w:rPr>
        <w:drawing>
          <wp:inline distT="0" distB="0" distL="0" distR="0" wp14:anchorId="0AD6BA99" wp14:editId="1AD6748E">
            <wp:extent cx="3611748" cy="5804301"/>
            <wp:effectExtent l="8573" t="0" r="0" b="0"/>
            <wp:docPr id="4" name="Obrázek 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mapa&#10;&#10;Popis byl vytvořen automaticky"/>
                    <pic:cNvPicPr/>
                  </pic:nvPicPr>
                  <pic:blipFill rotWithShape="1">
                    <a:blip r:embed="rId10" cstate="print">
                      <a:extLst>
                        <a:ext uri="{28A0092B-C50C-407E-A947-70E740481C1C}">
                          <a14:useLocalDpi xmlns:a14="http://schemas.microsoft.com/office/drawing/2010/main" val="0"/>
                        </a:ext>
                      </a:extLst>
                    </a:blip>
                    <a:srcRect/>
                    <a:stretch/>
                  </pic:blipFill>
                  <pic:spPr bwMode="auto">
                    <a:xfrm rot="5400000" flipH="1" flipV="1">
                      <a:off x="0" y="0"/>
                      <a:ext cx="3618224" cy="5814708"/>
                    </a:xfrm>
                    <a:prstGeom prst="rect">
                      <a:avLst/>
                    </a:prstGeom>
                    <a:ln>
                      <a:noFill/>
                    </a:ln>
                    <a:extLst>
                      <a:ext uri="{53640926-AAD7-44D8-BBD7-CCE9431645EC}">
                        <a14:shadowObscured xmlns:a14="http://schemas.microsoft.com/office/drawing/2010/main"/>
                      </a:ext>
                    </a:extLst>
                  </pic:spPr>
                </pic:pic>
              </a:graphicData>
            </a:graphic>
          </wp:inline>
        </w:drawing>
      </w:r>
    </w:p>
    <w:p w14:paraId="2D0E7C17" w14:textId="407F1735" w:rsidR="00E71C5C" w:rsidRDefault="00E71C5C" w:rsidP="00BD36FC">
      <w:pPr>
        <w:spacing w:line="264" w:lineRule="auto"/>
        <w:rPr>
          <w:i/>
          <w:iCs/>
          <w:lang w:eastAsia="cs-CZ"/>
        </w:rPr>
      </w:pPr>
      <w:r w:rsidRPr="00E71C5C">
        <w:rPr>
          <w:i/>
          <w:iCs/>
          <w:lang w:eastAsia="cs-CZ"/>
        </w:rPr>
        <w:t>Zdroj: Zadávací dokumentace – Popis současného stavu</w:t>
      </w:r>
    </w:p>
    <w:p w14:paraId="37D6832C" w14:textId="77777777" w:rsidR="00D21576" w:rsidRDefault="00D21576" w:rsidP="00BD36FC">
      <w:pPr>
        <w:spacing w:before="0"/>
        <w:jc w:val="left"/>
        <w:rPr>
          <w:b/>
          <w:bCs/>
          <w:sz w:val="24"/>
          <w:szCs w:val="24"/>
        </w:rPr>
      </w:pPr>
      <w:r>
        <w:rPr>
          <w:b/>
          <w:bCs/>
          <w:sz w:val="24"/>
          <w:szCs w:val="24"/>
        </w:rPr>
        <w:br w:type="page"/>
      </w:r>
    </w:p>
    <w:p w14:paraId="0D2BE37F" w14:textId="3102146E" w:rsidR="00D21576" w:rsidRPr="00D21576" w:rsidRDefault="00D21576" w:rsidP="00FE2739">
      <w:pPr>
        <w:pStyle w:val="ListParagraph"/>
        <w:numPr>
          <w:ilvl w:val="1"/>
          <w:numId w:val="5"/>
        </w:numPr>
        <w:tabs>
          <w:tab w:val="left" w:pos="709"/>
        </w:tabs>
        <w:spacing w:line="264" w:lineRule="auto"/>
        <w:ind w:left="0" w:firstLine="0"/>
        <w:contextualSpacing w:val="0"/>
        <w:rPr>
          <w:b/>
          <w:bCs/>
          <w:sz w:val="24"/>
          <w:szCs w:val="24"/>
        </w:rPr>
      </w:pPr>
      <w:r w:rsidRPr="00D21576">
        <w:rPr>
          <w:b/>
          <w:bCs/>
          <w:sz w:val="24"/>
          <w:szCs w:val="24"/>
        </w:rPr>
        <w:lastRenderedPageBreak/>
        <w:t>Stručný popis technických zařízení a energetického systému</w:t>
      </w:r>
    </w:p>
    <w:p w14:paraId="24A34B8F" w14:textId="7F8ED2B1" w:rsidR="00E71C5C" w:rsidRDefault="00D21576" w:rsidP="00BD36FC">
      <w:pPr>
        <w:spacing w:line="264" w:lineRule="auto"/>
        <w:rPr>
          <w:lang w:eastAsia="cs-CZ"/>
        </w:rPr>
      </w:pPr>
      <w:r>
        <w:rPr>
          <w:lang w:eastAsia="cs-CZ"/>
        </w:rPr>
        <w:t>Areál je zásobován teplem ze dvou typů zdrojů – teplovodního a parního.</w:t>
      </w:r>
    </w:p>
    <w:p w14:paraId="185F6C26" w14:textId="1818840E" w:rsidR="00D21576" w:rsidRPr="00D21576" w:rsidRDefault="00D21576" w:rsidP="00FE2739">
      <w:pPr>
        <w:pStyle w:val="ListParagraph"/>
        <w:numPr>
          <w:ilvl w:val="2"/>
          <w:numId w:val="5"/>
        </w:numPr>
        <w:spacing w:before="240" w:line="264" w:lineRule="auto"/>
        <w:ind w:left="709" w:hanging="709"/>
        <w:contextualSpacing w:val="0"/>
        <w:rPr>
          <w:b/>
          <w:bCs/>
        </w:rPr>
      </w:pPr>
      <w:r>
        <w:rPr>
          <w:b/>
          <w:bCs/>
        </w:rPr>
        <w:t>Teplovodní zdroje</w:t>
      </w:r>
    </w:p>
    <w:p w14:paraId="511FB9A8" w14:textId="77777777" w:rsidR="00D21576" w:rsidRPr="00D21576" w:rsidRDefault="00D21576" w:rsidP="00BD36FC">
      <w:pPr>
        <w:spacing w:line="264" w:lineRule="auto"/>
        <w:rPr>
          <w:lang w:eastAsia="cs-CZ"/>
        </w:rPr>
      </w:pPr>
      <w:r w:rsidRPr="00D21576">
        <w:rPr>
          <w:lang w:eastAsia="cs-CZ"/>
        </w:rPr>
        <w:t>Jako teplovodní zdroje jsou instalovány tři kotle ČKD Dukla APH 25 PZ o jednotkovém výkonu 1,86 MW. V zimních měsících jsou provozovány všechny tři.</w:t>
      </w:r>
    </w:p>
    <w:p w14:paraId="2714076A" w14:textId="5D3278B1" w:rsidR="00D21576" w:rsidRDefault="00D21576" w:rsidP="00BD36FC">
      <w:pPr>
        <w:pStyle w:val="Caption"/>
        <w:keepNext/>
        <w:spacing w:before="240" w:after="0" w:line="264" w:lineRule="auto"/>
      </w:pPr>
      <w:r>
        <w:t xml:space="preserve">Tabulka </w:t>
      </w:r>
      <w:r w:rsidR="00000000">
        <w:fldChar w:fldCharType="begin"/>
      </w:r>
      <w:r w:rsidR="00000000">
        <w:instrText xml:space="preserve"> SEQ Tabulka \* ARABIC </w:instrText>
      </w:r>
      <w:r w:rsidR="00000000">
        <w:fldChar w:fldCharType="separate"/>
      </w:r>
      <w:r>
        <w:rPr>
          <w:noProof/>
        </w:rPr>
        <w:t>1</w:t>
      </w:r>
      <w:r w:rsidR="00000000">
        <w:rPr>
          <w:noProof/>
        </w:rPr>
        <w:fldChar w:fldCharType="end"/>
      </w:r>
      <w:r>
        <w:t xml:space="preserve"> Technické parametry teplovodních kotlů</w:t>
      </w:r>
    </w:p>
    <w:p w14:paraId="40038B61" w14:textId="0EE3F2E4" w:rsidR="00D21576" w:rsidRDefault="00D21576" w:rsidP="00BD36FC">
      <w:pPr>
        <w:spacing w:line="264" w:lineRule="auto"/>
        <w:rPr>
          <w:lang w:eastAsia="cs-CZ"/>
        </w:rPr>
      </w:pPr>
      <w:r>
        <w:rPr>
          <w:noProof/>
        </w:rPr>
        <w:drawing>
          <wp:inline distT="0" distB="0" distL="0" distR="0" wp14:anchorId="40EB6E24" wp14:editId="0887B6CC">
            <wp:extent cx="5709285" cy="1863090"/>
            <wp:effectExtent l="0" t="0" r="5715" b="3810"/>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11"/>
                    <a:stretch>
                      <a:fillRect/>
                    </a:stretch>
                  </pic:blipFill>
                  <pic:spPr>
                    <a:xfrm>
                      <a:off x="0" y="0"/>
                      <a:ext cx="5709285" cy="1863090"/>
                    </a:xfrm>
                    <a:prstGeom prst="rect">
                      <a:avLst/>
                    </a:prstGeom>
                  </pic:spPr>
                </pic:pic>
              </a:graphicData>
            </a:graphic>
          </wp:inline>
        </w:drawing>
      </w:r>
    </w:p>
    <w:p w14:paraId="37F34728" w14:textId="77777777" w:rsidR="00D21576" w:rsidRDefault="00D21576" w:rsidP="00BD36FC">
      <w:pPr>
        <w:pStyle w:val="Caption"/>
        <w:spacing w:before="120" w:after="0" w:line="264" w:lineRule="auto"/>
      </w:pPr>
    </w:p>
    <w:p w14:paraId="28BB81E9" w14:textId="1DE57C28" w:rsidR="00D21576" w:rsidRDefault="00D21576" w:rsidP="00BD36FC">
      <w:pPr>
        <w:pStyle w:val="Caption"/>
        <w:spacing w:before="120" w:after="0" w:line="264" w:lineRule="auto"/>
      </w:pPr>
      <w:r>
        <w:t xml:space="preserve">Obrázek </w:t>
      </w:r>
      <w:r w:rsidR="00000000">
        <w:fldChar w:fldCharType="begin"/>
      </w:r>
      <w:r w:rsidR="00000000">
        <w:instrText xml:space="preserve"> SEQ Obrázek \* ARABIC </w:instrText>
      </w:r>
      <w:r w:rsidR="00000000">
        <w:fldChar w:fldCharType="separate"/>
      </w:r>
      <w:r>
        <w:rPr>
          <w:noProof/>
        </w:rPr>
        <w:t>2</w:t>
      </w:r>
      <w:r w:rsidR="00000000">
        <w:rPr>
          <w:noProof/>
        </w:rPr>
        <w:fldChar w:fldCharType="end"/>
      </w:r>
      <w:r>
        <w:t xml:space="preserve"> Teplovodní kotel</w:t>
      </w:r>
    </w:p>
    <w:p w14:paraId="107DC37E" w14:textId="2C684923" w:rsidR="00D21576" w:rsidRDefault="00D21576" w:rsidP="00BD36FC">
      <w:pPr>
        <w:spacing w:line="264" w:lineRule="auto"/>
        <w:rPr>
          <w:lang w:eastAsia="cs-CZ"/>
        </w:rPr>
      </w:pPr>
      <w:r w:rsidRPr="00EF4B6B">
        <w:rPr>
          <w:rFonts w:ascii="Verdana" w:hAnsi="Verdana" w:cstheme="minorHAnsi"/>
          <w:noProof/>
          <w:sz w:val="16"/>
          <w:szCs w:val="16"/>
        </w:rPr>
        <w:drawing>
          <wp:inline distT="0" distB="0" distL="0" distR="0" wp14:anchorId="189BE681" wp14:editId="2F686FF7">
            <wp:extent cx="5495925" cy="3076786"/>
            <wp:effectExtent l="0" t="0" r="0" b="9525"/>
            <wp:docPr id="15" name="Obrázek 15" descr="D:\Disk\UCEEB\Smluvní výzkum\Homolka\Podklady\Fotky\DSC_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k\UCEEB\Smluvní výzkum\Homolka\Podklady\Fotky\DSC_53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7933" cy="3077910"/>
                    </a:xfrm>
                    <a:prstGeom prst="rect">
                      <a:avLst/>
                    </a:prstGeom>
                    <a:noFill/>
                    <a:ln>
                      <a:noFill/>
                    </a:ln>
                  </pic:spPr>
                </pic:pic>
              </a:graphicData>
            </a:graphic>
          </wp:inline>
        </w:drawing>
      </w:r>
    </w:p>
    <w:p w14:paraId="7C8BC850" w14:textId="77777777" w:rsidR="00D21576" w:rsidRDefault="00D21576" w:rsidP="00BD36FC">
      <w:pPr>
        <w:spacing w:line="264" w:lineRule="auto"/>
        <w:jc w:val="left"/>
        <w:rPr>
          <w:lang w:eastAsia="cs-CZ"/>
        </w:rPr>
      </w:pPr>
      <w:r>
        <w:rPr>
          <w:lang w:eastAsia="cs-CZ"/>
        </w:rPr>
        <w:br w:type="page"/>
      </w:r>
    </w:p>
    <w:p w14:paraId="19908D11" w14:textId="49540039" w:rsidR="00D21576" w:rsidRPr="00D21576" w:rsidRDefault="00D21576" w:rsidP="00FE2739">
      <w:pPr>
        <w:pStyle w:val="ListParagraph"/>
        <w:numPr>
          <w:ilvl w:val="2"/>
          <w:numId w:val="5"/>
        </w:numPr>
        <w:spacing w:before="240" w:line="264" w:lineRule="auto"/>
        <w:ind w:left="709" w:hanging="709"/>
        <w:contextualSpacing w:val="0"/>
        <w:rPr>
          <w:b/>
          <w:bCs/>
        </w:rPr>
      </w:pPr>
      <w:r>
        <w:rPr>
          <w:b/>
          <w:bCs/>
        </w:rPr>
        <w:lastRenderedPageBreak/>
        <w:t>Parní zdroje</w:t>
      </w:r>
    </w:p>
    <w:p w14:paraId="33EA1518" w14:textId="77777777" w:rsidR="00D21576" w:rsidRPr="00D21576" w:rsidRDefault="00D21576" w:rsidP="00BD36FC">
      <w:pPr>
        <w:tabs>
          <w:tab w:val="left" w:pos="284"/>
        </w:tabs>
        <w:spacing w:line="264" w:lineRule="auto"/>
        <w:rPr>
          <w:lang w:eastAsia="cs-CZ"/>
        </w:rPr>
      </w:pPr>
      <w:r w:rsidRPr="00D21576">
        <w:rPr>
          <w:lang w:eastAsia="cs-CZ"/>
        </w:rPr>
        <w:t>V kotelně jsou instalovány 2 parní kotle ČKD Dukla BK 2,5 – T80 o jednotkovém parním výkonu 2,5 t/h.</w:t>
      </w:r>
    </w:p>
    <w:p w14:paraId="73BB1127" w14:textId="7684FBB5" w:rsidR="00D21576" w:rsidRDefault="00D21576" w:rsidP="00BD36FC">
      <w:pPr>
        <w:pStyle w:val="Caption"/>
        <w:keepNext/>
        <w:spacing w:before="240" w:after="0" w:line="264" w:lineRule="auto"/>
      </w:pPr>
      <w:r>
        <w:t xml:space="preserve">Tabulka </w:t>
      </w:r>
      <w:r w:rsidR="00000000">
        <w:fldChar w:fldCharType="begin"/>
      </w:r>
      <w:r w:rsidR="00000000">
        <w:instrText xml:space="preserve"> SEQ Tabulka \* ARABIC </w:instrText>
      </w:r>
      <w:r w:rsidR="00000000">
        <w:fldChar w:fldCharType="separate"/>
      </w:r>
      <w:r>
        <w:rPr>
          <w:noProof/>
        </w:rPr>
        <w:t>2</w:t>
      </w:r>
      <w:r w:rsidR="00000000">
        <w:rPr>
          <w:noProof/>
        </w:rPr>
        <w:fldChar w:fldCharType="end"/>
      </w:r>
      <w:r>
        <w:t xml:space="preserve"> Technické parametry parních kotlů</w:t>
      </w:r>
    </w:p>
    <w:p w14:paraId="43630F1F" w14:textId="77777777" w:rsidR="007025A8" w:rsidRDefault="00D21576" w:rsidP="00BD36FC">
      <w:pPr>
        <w:spacing w:line="264" w:lineRule="auto"/>
        <w:jc w:val="left"/>
        <w:rPr>
          <w:lang w:eastAsia="cs-CZ"/>
        </w:rPr>
      </w:pPr>
      <w:r>
        <w:rPr>
          <w:noProof/>
        </w:rPr>
        <w:drawing>
          <wp:inline distT="0" distB="0" distL="0" distR="0" wp14:anchorId="63C43CBD" wp14:editId="683A6634">
            <wp:extent cx="5709285" cy="2868930"/>
            <wp:effectExtent l="0" t="0" r="5715" b="7620"/>
            <wp:docPr id="6" name="Obrázek 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byl vytvořen automaticky"/>
                    <pic:cNvPicPr/>
                  </pic:nvPicPr>
                  <pic:blipFill>
                    <a:blip r:embed="rId13"/>
                    <a:stretch>
                      <a:fillRect/>
                    </a:stretch>
                  </pic:blipFill>
                  <pic:spPr>
                    <a:xfrm>
                      <a:off x="0" y="0"/>
                      <a:ext cx="5709285" cy="2868930"/>
                    </a:xfrm>
                    <a:prstGeom prst="rect">
                      <a:avLst/>
                    </a:prstGeom>
                  </pic:spPr>
                </pic:pic>
              </a:graphicData>
            </a:graphic>
          </wp:inline>
        </w:drawing>
      </w:r>
    </w:p>
    <w:p w14:paraId="445C29E9" w14:textId="77777777" w:rsidR="007025A8" w:rsidRDefault="007025A8" w:rsidP="00BD36FC">
      <w:pPr>
        <w:spacing w:line="264" w:lineRule="auto"/>
        <w:jc w:val="left"/>
        <w:rPr>
          <w:lang w:eastAsia="cs-CZ"/>
        </w:rPr>
      </w:pPr>
    </w:p>
    <w:p w14:paraId="1EC0B4BA" w14:textId="09A3CF81" w:rsidR="007025A8" w:rsidRDefault="007025A8" w:rsidP="00BD36FC">
      <w:pPr>
        <w:pStyle w:val="Caption"/>
        <w:spacing w:before="120" w:after="0" w:line="264" w:lineRule="auto"/>
      </w:pPr>
      <w:r>
        <w:t xml:space="preserve">Obrázek </w:t>
      </w:r>
      <w:r w:rsidR="00000000">
        <w:fldChar w:fldCharType="begin"/>
      </w:r>
      <w:r w:rsidR="00000000">
        <w:instrText xml:space="preserve"> SEQ Obrázek \* ARABIC </w:instrText>
      </w:r>
      <w:r w:rsidR="00000000">
        <w:fldChar w:fldCharType="separate"/>
      </w:r>
      <w:r>
        <w:rPr>
          <w:noProof/>
        </w:rPr>
        <w:t>3</w:t>
      </w:r>
      <w:r w:rsidR="00000000">
        <w:rPr>
          <w:noProof/>
        </w:rPr>
        <w:fldChar w:fldCharType="end"/>
      </w:r>
      <w:r>
        <w:t xml:space="preserve"> Parní kotel</w:t>
      </w:r>
    </w:p>
    <w:p w14:paraId="51F4309D" w14:textId="77777777" w:rsidR="007025A8" w:rsidRDefault="007025A8" w:rsidP="00BD36FC">
      <w:pPr>
        <w:spacing w:line="264" w:lineRule="auto"/>
        <w:jc w:val="left"/>
        <w:rPr>
          <w:lang w:eastAsia="cs-CZ"/>
        </w:rPr>
      </w:pPr>
      <w:r w:rsidRPr="009A6EE4">
        <w:rPr>
          <w:rFonts w:ascii="Verdana" w:hAnsi="Verdana" w:cstheme="minorHAnsi"/>
          <w:noProof/>
          <w:sz w:val="20"/>
          <w:szCs w:val="20"/>
        </w:rPr>
        <w:drawing>
          <wp:inline distT="0" distB="0" distL="0" distR="0" wp14:anchorId="1F3939EE" wp14:editId="61BFE2FC">
            <wp:extent cx="5709285" cy="3177827"/>
            <wp:effectExtent l="0" t="0" r="5715" b="3810"/>
            <wp:docPr id="16" name="Obrázek 16" descr="D:\Disk\UCEEB\Smluvní výzkum\Homolka\Podklady\Fotky\DSC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k\UCEEB\Smluvní výzkum\Homolka\Podklady\Fotky\DSC_5304.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09285" cy="3177827"/>
                    </a:xfrm>
                    <a:prstGeom prst="rect">
                      <a:avLst/>
                    </a:prstGeom>
                    <a:noFill/>
                    <a:ln>
                      <a:noFill/>
                    </a:ln>
                  </pic:spPr>
                </pic:pic>
              </a:graphicData>
            </a:graphic>
          </wp:inline>
        </w:drawing>
      </w:r>
    </w:p>
    <w:p w14:paraId="4D843669" w14:textId="77777777" w:rsidR="007025A8" w:rsidRDefault="007025A8" w:rsidP="00BD36FC">
      <w:pPr>
        <w:spacing w:line="264" w:lineRule="auto"/>
        <w:jc w:val="left"/>
        <w:rPr>
          <w:lang w:eastAsia="cs-CZ"/>
        </w:rPr>
      </w:pPr>
      <w:r>
        <w:rPr>
          <w:lang w:eastAsia="cs-CZ"/>
        </w:rPr>
        <w:br w:type="page"/>
      </w:r>
    </w:p>
    <w:p w14:paraId="2F9249AC" w14:textId="75E3CFE1" w:rsidR="007025A8" w:rsidRPr="00D21576" w:rsidRDefault="007025A8" w:rsidP="00FE2739">
      <w:pPr>
        <w:pStyle w:val="ListParagraph"/>
        <w:numPr>
          <w:ilvl w:val="2"/>
          <w:numId w:val="5"/>
        </w:numPr>
        <w:spacing w:before="240" w:line="264" w:lineRule="auto"/>
        <w:ind w:left="709" w:hanging="709"/>
        <w:contextualSpacing w:val="0"/>
        <w:rPr>
          <w:b/>
          <w:bCs/>
        </w:rPr>
      </w:pPr>
      <w:r>
        <w:rPr>
          <w:b/>
          <w:bCs/>
        </w:rPr>
        <w:lastRenderedPageBreak/>
        <w:t>Příprava teplé vody</w:t>
      </w:r>
    </w:p>
    <w:p w14:paraId="1C31C3A5" w14:textId="4CB1A499" w:rsidR="007025A8" w:rsidRDefault="007025A8" w:rsidP="00BD36FC">
      <w:pPr>
        <w:tabs>
          <w:tab w:val="left" w:pos="284"/>
        </w:tabs>
        <w:spacing w:line="264" w:lineRule="auto"/>
        <w:rPr>
          <w:lang w:eastAsia="cs-CZ"/>
        </w:rPr>
      </w:pPr>
      <w:r w:rsidRPr="007025A8">
        <w:rPr>
          <w:lang w:eastAsia="cs-CZ"/>
        </w:rPr>
        <w:t>Teplá voda je připravována centrálně pomocí dvou stojatých výměníků, které jsou teplem zásobovány z parních kotlů. K dispozici jsou dvě akumulační nádrže teplé vody o objemu 2 x 1 m</w:t>
      </w:r>
      <w:r w:rsidRPr="005F6B53">
        <w:rPr>
          <w:vertAlign w:val="superscript"/>
          <w:lang w:eastAsia="cs-CZ"/>
        </w:rPr>
        <w:t>3</w:t>
      </w:r>
      <w:r w:rsidRPr="007025A8">
        <w:rPr>
          <w:lang w:eastAsia="cs-CZ"/>
        </w:rPr>
        <w:t xml:space="preserve">. V hlavní budově je realizován cirkulační okruh teplé vody. </w:t>
      </w:r>
    </w:p>
    <w:p w14:paraId="09C03BB9" w14:textId="183367E4" w:rsidR="007025A8" w:rsidRDefault="007025A8" w:rsidP="002E2639">
      <w:pPr>
        <w:pStyle w:val="Caption"/>
        <w:spacing w:before="240" w:after="0" w:line="264" w:lineRule="auto"/>
      </w:pPr>
      <w:r>
        <w:t xml:space="preserve">Obrázek </w:t>
      </w:r>
      <w:r w:rsidR="00000000">
        <w:fldChar w:fldCharType="begin"/>
      </w:r>
      <w:r w:rsidR="00000000">
        <w:instrText xml:space="preserve"> SEQ Obrázek \* ARABIC </w:instrText>
      </w:r>
      <w:r w:rsidR="00000000">
        <w:fldChar w:fldCharType="separate"/>
      </w:r>
      <w:r>
        <w:rPr>
          <w:noProof/>
        </w:rPr>
        <w:t>4</w:t>
      </w:r>
      <w:r w:rsidR="00000000">
        <w:rPr>
          <w:noProof/>
        </w:rPr>
        <w:fldChar w:fldCharType="end"/>
      </w:r>
      <w:r>
        <w:t xml:space="preserve"> Příprava teplé vody</w:t>
      </w:r>
    </w:p>
    <w:p w14:paraId="56045D71" w14:textId="1F781E8A" w:rsidR="007025A8" w:rsidRDefault="007025A8" w:rsidP="00BD36FC">
      <w:pPr>
        <w:tabs>
          <w:tab w:val="left" w:pos="284"/>
        </w:tabs>
        <w:spacing w:line="264" w:lineRule="auto"/>
        <w:rPr>
          <w:lang w:eastAsia="cs-CZ"/>
        </w:rPr>
      </w:pPr>
      <w:r w:rsidRPr="009A6EE4">
        <w:rPr>
          <w:rFonts w:ascii="Verdana" w:hAnsi="Verdana" w:cstheme="minorHAnsi"/>
          <w:noProof/>
          <w:sz w:val="20"/>
        </w:rPr>
        <w:drawing>
          <wp:inline distT="0" distB="0" distL="0" distR="0" wp14:anchorId="79B5EFAB" wp14:editId="525A8C28">
            <wp:extent cx="5709285" cy="3779791"/>
            <wp:effectExtent l="0" t="0" r="5715" b="0"/>
            <wp:docPr id="18" name="Obrázek 18" descr="D:\Disk\UCEEB\Smluvní výzkum\Homolka\Podklady\Fotky\DSC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UCEEB\Smluvní výzkum\Homolka\Podklady\Fotky\DSC_531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09285" cy="3779791"/>
                    </a:xfrm>
                    <a:prstGeom prst="rect">
                      <a:avLst/>
                    </a:prstGeom>
                    <a:noFill/>
                    <a:ln>
                      <a:noFill/>
                    </a:ln>
                  </pic:spPr>
                </pic:pic>
              </a:graphicData>
            </a:graphic>
          </wp:inline>
        </w:drawing>
      </w:r>
    </w:p>
    <w:p w14:paraId="02699188" w14:textId="622C33DB" w:rsidR="00AA586C" w:rsidRPr="00D21576" w:rsidRDefault="00AA586C" w:rsidP="00FE2739">
      <w:pPr>
        <w:pStyle w:val="ListParagraph"/>
        <w:numPr>
          <w:ilvl w:val="2"/>
          <w:numId w:val="5"/>
        </w:numPr>
        <w:spacing w:before="360" w:line="264" w:lineRule="auto"/>
        <w:ind w:left="709" w:hanging="709"/>
        <w:contextualSpacing w:val="0"/>
        <w:rPr>
          <w:b/>
          <w:bCs/>
        </w:rPr>
      </w:pPr>
      <w:r>
        <w:rPr>
          <w:b/>
          <w:bCs/>
        </w:rPr>
        <w:t>Další potřeba/spotřeba energie</w:t>
      </w:r>
    </w:p>
    <w:p w14:paraId="13982221" w14:textId="72AA5B1B" w:rsidR="00AA586C" w:rsidRPr="00AA586C" w:rsidRDefault="00AA586C" w:rsidP="00BD36FC">
      <w:pPr>
        <w:tabs>
          <w:tab w:val="left" w:pos="284"/>
        </w:tabs>
        <w:spacing w:line="264" w:lineRule="auto"/>
        <w:rPr>
          <w:lang w:eastAsia="cs-CZ"/>
        </w:rPr>
      </w:pPr>
      <w:r w:rsidRPr="00AA586C">
        <w:rPr>
          <w:lang w:eastAsia="cs-CZ"/>
        </w:rPr>
        <w:t xml:space="preserve">S ohledem na dostupná data </w:t>
      </w:r>
      <w:r>
        <w:rPr>
          <w:lang w:eastAsia="cs-CZ"/>
        </w:rPr>
        <w:t>je v ZD</w:t>
      </w:r>
      <w:r w:rsidRPr="00AA586C">
        <w:rPr>
          <w:lang w:eastAsia="cs-CZ"/>
        </w:rPr>
        <w:t xml:space="preserve"> nepřímo popř. odhadem stanov</w:t>
      </w:r>
      <w:r>
        <w:rPr>
          <w:lang w:eastAsia="cs-CZ"/>
        </w:rPr>
        <w:t>ena</w:t>
      </w:r>
      <w:r w:rsidRPr="00AA586C">
        <w:rPr>
          <w:lang w:eastAsia="cs-CZ"/>
        </w:rPr>
        <w:t xml:space="preserve"> další potřeb</w:t>
      </w:r>
      <w:r>
        <w:rPr>
          <w:lang w:eastAsia="cs-CZ"/>
        </w:rPr>
        <w:t>a</w:t>
      </w:r>
      <w:r w:rsidRPr="00AA586C">
        <w:rPr>
          <w:lang w:eastAsia="cs-CZ"/>
        </w:rPr>
        <w:t>/spotřeb</w:t>
      </w:r>
      <w:r>
        <w:rPr>
          <w:lang w:eastAsia="cs-CZ"/>
        </w:rPr>
        <w:t>a</w:t>
      </w:r>
      <w:r w:rsidRPr="00AA586C">
        <w:rPr>
          <w:lang w:eastAsia="cs-CZ"/>
        </w:rPr>
        <w:t xml:space="preserve"> energi</w:t>
      </w:r>
      <w:r>
        <w:rPr>
          <w:lang w:eastAsia="cs-CZ"/>
        </w:rPr>
        <w:t>e</w:t>
      </w:r>
      <w:r w:rsidRPr="00AA586C">
        <w:rPr>
          <w:lang w:eastAsia="cs-CZ"/>
        </w:rPr>
        <w:t>:</w:t>
      </w:r>
    </w:p>
    <w:p w14:paraId="7B55344F" w14:textId="77777777" w:rsidR="00AA586C" w:rsidRPr="00AA586C" w:rsidRDefault="00AA586C" w:rsidP="00BD36FC">
      <w:pPr>
        <w:spacing w:line="264" w:lineRule="auto"/>
        <w:jc w:val="left"/>
        <w:rPr>
          <w:b/>
          <w:bCs/>
          <w:u w:val="single"/>
          <w:lang w:eastAsia="cs-CZ"/>
        </w:rPr>
      </w:pPr>
      <w:r w:rsidRPr="00AA586C">
        <w:rPr>
          <w:b/>
          <w:bCs/>
          <w:u w:val="single"/>
          <w:lang w:eastAsia="cs-CZ"/>
        </w:rPr>
        <w:t xml:space="preserve">Teplá voda </w:t>
      </w:r>
    </w:p>
    <w:p w14:paraId="076A2DF8" w14:textId="291B4615" w:rsidR="00AA586C" w:rsidRPr="00AA586C" w:rsidRDefault="00AA586C" w:rsidP="00BD36FC">
      <w:pPr>
        <w:tabs>
          <w:tab w:val="left" w:pos="284"/>
        </w:tabs>
        <w:spacing w:line="264" w:lineRule="auto"/>
        <w:rPr>
          <w:lang w:eastAsia="cs-CZ"/>
        </w:rPr>
      </w:pPr>
      <w:r>
        <w:rPr>
          <w:lang w:eastAsia="cs-CZ"/>
        </w:rPr>
        <w:t>K</w:t>
      </w:r>
      <w:r w:rsidRPr="00AA586C">
        <w:rPr>
          <w:lang w:eastAsia="cs-CZ"/>
        </w:rPr>
        <w:t> dispozici je potřeba teplé vody v pracovních dnech na úrovni 32 m</w:t>
      </w:r>
      <w:r w:rsidRPr="00AA586C">
        <w:rPr>
          <w:vertAlign w:val="superscript"/>
          <w:lang w:eastAsia="cs-CZ"/>
        </w:rPr>
        <w:t>3</w:t>
      </w:r>
      <w:r w:rsidRPr="00AA586C">
        <w:rPr>
          <w:lang w:eastAsia="cs-CZ"/>
        </w:rPr>
        <w:t>/den a ve dnech volna 14 m</w:t>
      </w:r>
      <w:r w:rsidRPr="00AA586C">
        <w:rPr>
          <w:vertAlign w:val="superscript"/>
          <w:lang w:eastAsia="cs-CZ"/>
        </w:rPr>
        <w:t>3</w:t>
      </w:r>
      <w:r w:rsidRPr="00AA586C">
        <w:rPr>
          <w:lang w:eastAsia="cs-CZ"/>
        </w:rPr>
        <w:t>/den. Hodnota byla získána z vodoměru, přes který je do systému přípravy TV dopouštěna voda. Jedná se tedy o množství vody o teplotě 55 °C (uvažujeme ohřev z 10 °C). Systém rozvodu TV je opatřen cirkulací. Délka systému je cca 1000 m, uvažujeme s průměrnou tepelnou ztrátou na úrovni 30 W/m (trvale). Dále byla od potřeby teplé vody odečtena stávající hodnota tepla, které je využíváno z rekuperace z chlazení. To vychází z naměřených hodnot na chladicích agregátech a matematického modelu jeho fungování.</w:t>
      </w:r>
    </w:p>
    <w:p w14:paraId="5E385F6F" w14:textId="47C2DEE3" w:rsidR="00AA586C" w:rsidRDefault="00AA586C" w:rsidP="00BD36FC">
      <w:pPr>
        <w:spacing w:line="264" w:lineRule="auto"/>
        <w:jc w:val="left"/>
        <w:rPr>
          <w:lang w:eastAsia="cs-CZ"/>
        </w:rPr>
      </w:pPr>
      <w:r>
        <w:rPr>
          <w:lang w:eastAsia="cs-CZ"/>
        </w:rPr>
        <w:br w:type="page"/>
      </w:r>
    </w:p>
    <w:p w14:paraId="4A357C46" w14:textId="5B174D34" w:rsidR="00AA586C" w:rsidRDefault="00AA586C" w:rsidP="00BD36FC">
      <w:pPr>
        <w:pStyle w:val="Caption"/>
        <w:keepNext/>
        <w:spacing w:before="120" w:after="0" w:line="264" w:lineRule="auto"/>
      </w:pPr>
      <w:r>
        <w:lastRenderedPageBreak/>
        <w:t xml:space="preserve">Tabulka </w:t>
      </w:r>
      <w:r w:rsidR="00000000">
        <w:fldChar w:fldCharType="begin"/>
      </w:r>
      <w:r w:rsidR="00000000">
        <w:instrText xml:space="preserve"> SEQ Tabulka \* ARABIC </w:instrText>
      </w:r>
      <w:r w:rsidR="00000000">
        <w:fldChar w:fldCharType="separate"/>
      </w:r>
      <w:r>
        <w:rPr>
          <w:noProof/>
        </w:rPr>
        <w:t>3</w:t>
      </w:r>
      <w:r w:rsidR="00000000">
        <w:rPr>
          <w:noProof/>
        </w:rPr>
        <w:fldChar w:fldCharType="end"/>
      </w:r>
      <w:r>
        <w:t xml:space="preserve"> Potřeba tepla pro přípravu TV</w:t>
      </w:r>
    </w:p>
    <w:p w14:paraId="27F9AF1D" w14:textId="0C23C2A6" w:rsidR="00AA586C" w:rsidRDefault="00AA586C" w:rsidP="00BD36FC">
      <w:pPr>
        <w:spacing w:line="264" w:lineRule="auto"/>
      </w:pPr>
      <w:r>
        <w:rPr>
          <w:noProof/>
        </w:rPr>
        <w:drawing>
          <wp:inline distT="0" distB="0" distL="0" distR="0" wp14:anchorId="0C68192C" wp14:editId="525B1AE6">
            <wp:extent cx="5709285" cy="3129915"/>
            <wp:effectExtent l="0" t="0" r="5715" b="0"/>
            <wp:docPr id="39" name="Obrázek 3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stůl&#10;&#10;Popis byl vytvořen automaticky"/>
                    <pic:cNvPicPr/>
                  </pic:nvPicPr>
                  <pic:blipFill>
                    <a:blip r:embed="rId16"/>
                    <a:stretch>
                      <a:fillRect/>
                    </a:stretch>
                  </pic:blipFill>
                  <pic:spPr>
                    <a:xfrm>
                      <a:off x="0" y="0"/>
                      <a:ext cx="5709285" cy="3129915"/>
                    </a:xfrm>
                    <a:prstGeom prst="rect">
                      <a:avLst/>
                    </a:prstGeom>
                  </pic:spPr>
                </pic:pic>
              </a:graphicData>
            </a:graphic>
          </wp:inline>
        </w:drawing>
      </w:r>
    </w:p>
    <w:p w14:paraId="530E9E89" w14:textId="77777777" w:rsidR="00AA586C" w:rsidRPr="00AA586C" w:rsidRDefault="00AA586C" w:rsidP="00BD36FC">
      <w:pPr>
        <w:tabs>
          <w:tab w:val="left" w:pos="284"/>
        </w:tabs>
        <w:spacing w:line="264" w:lineRule="auto"/>
        <w:rPr>
          <w:lang w:eastAsia="cs-CZ"/>
        </w:rPr>
      </w:pPr>
      <w:r w:rsidRPr="00AA586C">
        <w:rPr>
          <w:lang w:eastAsia="cs-CZ"/>
        </w:rPr>
        <w:t xml:space="preserve">Celková spotřeba paliva na přípravu TV byla určena rozdílem mezi ostatními spotřebiči využívajícími páru (sterilizace, kuchyň, bazén). Ty bylo možné odhadnout pouze z provozního režimu a spotřeb jednotlivých spotřebičů. Celková spotřeba zemního plynu parních kotlů je známa. </w:t>
      </w:r>
    </w:p>
    <w:p w14:paraId="124BF518" w14:textId="58C029B1" w:rsidR="00AA586C" w:rsidRPr="00AA586C" w:rsidRDefault="00AA586C" w:rsidP="00BD36FC">
      <w:pPr>
        <w:spacing w:line="264" w:lineRule="auto"/>
        <w:jc w:val="left"/>
        <w:rPr>
          <w:b/>
          <w:bCs/>
          <w:u w:val="single"/>
          <w:lang w:eastAsia="cs-CZ"/>
        </w:rPr>
      </w:pPr>
      <w:r>
        <w:rPr>
          <w:b/>
          <w:bCs/>
          <w:u w:val="single"/>
          <w:lang w:eastAsia="cs-CZ"/>
        </w:rPr>
        <w:t>Potřeba tepla pro ohřev vody bazénů</w:t>
      </w:r>
    </w:p>
    <w:p w14:paraId="5EB871E5" w14:textId="77777777" w:rsidR="00C03181" w:rsidRDefault="00AA586C" w:rsidP="00BD36FC">
      <w:pPr>
        <w:tabs>
          <w:tab w:val="left" w:pos="284"/>
        </w:tabs>
        <w:spacing w:line="264" w:lineRule="auto"/>
        <w:rPr>
          <w:lang w:eastAsia="cs-CZ"/>
        </w:rPr>
      </w:pPr>
      <w:r w:rsidRPr="00AA586C">
        <w:rPr>
          <w:lang w:eastAsia="cs-CZ"/>
        </w:rPr>
        <w:t>Potřeba tepla pro ohřev vody bazénů byla stanovena z jejich požadovaných teplot a zaznamenávané výměny vody. Pro plavecký bazén je požadovaná teplota 28 °C, pro rehabilitační 32 °C. Uvažovaná teplota dopouštěné vody je 10 °C. Rekuperace odpouštěné vody není instalována.</w:t>
      </w:r>
    </w:p>
    <w:p w14:paraId="741E8F3F" w14:textId="77CC985B" w:rsidR="00AA586C" w:rsidRDefault="00C03181" w:rsidP="00BD36FC">
      <w:pPr>
        <w:tabs>
          <w:tab w:val="left" w:pos="284"/>
        </w:tabs>
        <w:spacing w:line="264" w:lineRule="auto"/>
        <w:rPr>
          <w:lang w:eastAsia="cs-CZ"/>
        </w:rPr>
      </w:pPr>
      <w:r>
        <w:rPr>
          <w:lang w:eastAsia="cs-CZ"/>
        </w:rPr>
        <w:t>Objem plaveckého bazénu je 250 m</w:t>
      </w:r>
      <w:r w:rsidRPr="00C03181">
        <w:rPr>
          <w:vertAlign w:val="superscript"/>
          <w:lang w:eastAsia="cs-CZ"/>
        </w:rPr>
        <w:t>3</w:t>
      </w:r>
      <w:r>
        <w:rPr>
          <w:lang w:eastAsia="cs-CZ"/>
        </w:rPr>
        <w:t>. K ohřevu plaveckého bazénu slouží 2 výměníky pára-voda PV-2UH o výhřevné ploše 4,5 m</w:t>
      </w:r>
      <w:r w:rsidRPr="00C03181">
        <w:rPr>
          <w:vertAlign w:val="superscript"/>
          <w:lang w:eastAsia="cs-CZ"/>
        </w:rPr>
        <w:t>2</w:t>
      </w:r>
      <w:r>
        <w:rPr>
          <w:lang w:eastAsia="cs-CZ"/>
        </w:rPr>
        <w:t xml:space="preserve">. Ohřev je regulován elektro ventily, které jsou řízeny z centrálního velínu „SAUTER“. Topným médiem je pára o přetlaku 0,25 </w:t>
      </w:r>
      <w:proofErr w:type="spellStart"/>
      <w:r>
        <w:rPr>
          <w:lang w:eastAsia="cs-CZ"/>
        </w:rPr>
        <w:t>MPa</w:t>
      </w:r>
      <w:proofErr w:type="spellEnd"/>
      <w:r>
        <w:rPr>
          <w:lang w:eastAsia="cs-CZ"/>
        </w:rPr>
        <w:t xml:space="preserve">, která je přivedena do pláště výměníků. Ohřívaná voda prochází </w:t>
      </w:r>
      <w:proofErr w:type="spellStart"/>
      <w:r>
        <w:rPr>
          <w:lang w:eastAsia="cs-CZ"/>
        </w:rPr>
        <w:t>trubkovicí</w:t>
      </w:r>
      <w:proofErr w:type="spellEnd"/>
      <w:r>
        <w:rPr>
          <w:lang w:eastAsia="cs-CZ"/>
        </w:rPr>
        <w:t>. Maximální spotřeba páry je 200 kg/hod. V provozu je vždy jeden výměník, druhý slouží jako 100% rezerva.</w:t>
      </w:r>
      <w:r w:rsidR="00AA586C" w:rsidRPr="00AA586C">
        <w:rPr>
          <w:lang w:eastAsia="cs-CZ"/>
        </w:rPr>
        <w:t xml:space="preserve"> </w:t>
      </w:r>
    </w:p>
    <w:p w14:paraId="7EFDE4B3" w14:textId="65F35A17" w:rsidR="00C03181" w:rsidRPr="00AA586C" w:rsidRDefault="00C03181" w:rsidP="00BD36FC">
      <w:pPr>
        <w:tabs>
          <w:tab w:val="left" w:pos="284"/>
        </w:tabs>
        <w:spacing w:line="264" w:lineRule="auto"/>
        <w:rPr>
          <w:lang w:eastAsia="cs-CZ"/>
        </w:rPr>
      </w:pPr>
      <w:r>
        <w:rPr>
          <w:lang w:eastAsia="cs-CZ"/>
        </w:rPr>
        <w:t>Objem rehabilitačního bazénu je 40 m</w:t>
      </w:r>
      <w:r w:rsidRPr="00C03181">
        <w:rPr>
          <w:vertAlign w:val="superscript"/>
          <w:lang w:eastAsia="cs-CZ"/>
        </w:rPr>
        <w:t>3</w:t>
      </w:r>
      <w:r>
        <w:rPr>
          <w:lang w:eastAsia="cs-CZ"/>
        </w:rPr>
        <w:t>. Bazén je ohříván výměníkem pára/voda o výkonu 40 kW (SWEP B12MTx30 4x 5/4“ ISO) a následně voda/voda o výkonu 40 kW.</w:t>
      </w:r>
    </w:p>
    <w:p w14:paraId="5F6612B5" w14:textId="6315C794" w:rsidR="00AA586C" w:rsidRDefault="00AA586C" w:rsidP="00BD36FC">
      <w:pPr>
        <w:pStyle w:val="Caption"/>
        <w:keepNext/>
        <w:spacing w:before="120" w:after="0" w:line="264" w:lineRule="auto"/>
      </w:pPr>
      <w:r>
        <w:t xml:space="preserve">Tabulka </w:t>
      </w:r>
      <w:r w:rsidR="00000000">
        <w:fldChar w:fldCharType="begin"/>
      </w:r>
      <w:r w:rsidR="00000000">
        <w:instrText xml:space="preserve"> SEQ Tabulka \* ARABIC </w:instrText>
      </w:r>
      <w:r w:rsidR="00000000">
        <w:fldChar w:fldCharType="separate"/>
      </w:r>
      <w:r>
        <w:rPr>
          <w:noProof/>
        </w:rPr>
        <w:t>4</w:t>
      </w:r>
      <w:r w:rsidR="00000000">
        <w:rPr>
          <w:noProof/>
        </w:rPr>
        <w:fldChar w:fldCharType="end"/>
      </w:r>
      <w:r>
        <w:t xml:space="preserve"> Potřeba tepla pro bazény</w:t>
      </w:r>
    </w:p>
    <w:p w14:paraId="52EF0CA8" w14:textId="232CBDA5" w:rsidR="00AA586C" w:rsidRPr="00AA586C" w:rsidRDefault="00AA586C" w:rsidP="00BD36FC">
      <w:pPr>
        <w:spacing w:line="264" w:lineRule="auto"/>
      </w:pPr>
      <w:r>
        <w:rPr>
          <w:noProof/>
        </w:rPr>
        <w:drawing>
          <wp:inline distT="0" distB="0" distL="0" distR="0" wp14:anchorId="06742E19" wp14:editId="005946AF">
            <wp:extent cx="5709285" cy="2232561"/>
            <wp:effectExtent l="0" t="0" r="5715" b="0"/>
            <wp:docPr id="40" name="Obrázek 4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stůl&#10;&#10;Popis byl vytvořen automaticky"/>
                    <pic:cNvPicPr/>
                  </pic:nvPicPr>
                  <pic:blipFill>
                    <a:blip r:embed="rId17"/>
                    <a:stretch>
                      <a:fillRect/>
                    </a:stretch>
                  </pic:blipFill>
                  <pic:spPr>
                    <a:xfrm>
                      <a:off x="0" y="0"/>
                      <a:ext cx="5710656" cy="2233097"/>
                    </a:xfrm>
                    <a:prstGeom prst="rect">
                      <a:avLst/>
                    </a:prstGeom>
                  </pic:spPr>
                </pic:pic>
              </a:graphicData>
            </a:graphic>
          </wp:inline>
        </w:drawing>
      </w:r>
    </w:p>
    <w:p w14:paraId="1F463527" w14:textId="179536D1" w:rsidR="00AA586C" w:rsidRPr="00AA586C" w:rsidRDefault="00AA586C" w:rsidP="00BD36FC">
      <w:pPr>
        <w:spacing w:line="264" w:lineRule="auto"/>
        <w:jc w:val="left"/>
        <w:rPr>
          <w:b/>
          <w:bCs/>
          <w:u w:val="single"/>
          <w:lang w:eastAsia="cs-CZ"/>
        </w:rPr>
      </w:pPr>
      <w:r>
        <w:rPr>
          <w:b/>
          <w:bCs/>
          <w:u w:val="single"/>
          <w:lang w:eastAsia="cs-CZ"/>
        </w:rPr>
        <w:lastRenderedPageBreak/>
        <w:t>Nevrácený kondenzát</w:t>
      </w:r>
    </w:p>
    <w:p w14:paraId="7C10DEBD" w14:textId="1E888518" w:rsidR="00AA586C" w:rsidRDefault="00AA586C" w:rsidP="00BD36FC">
      <w:pPr>
        <w:tabs>
          <w:tab w:val="left" w:pos="284"/>
        </w:tabs>
        <w:spacing w:line="264" w:lineRule="auto"/>
        <w:rPr>
          <w:lang w:eastAsia="cs-CZ"/>
        </w:rPr>
      </w:pPr>
      <w:r w:rsidRPr="00AA586C">
        <w:rPr>
          <w:lang w:eastAsia="cs-CZ"/>
        </w:rPr>
        <w:t>Některé parní spotřebiče pracují s přímým využitím vyráběné páry (kuchyň), proto dochází i ke ztrátě kondenzátu, kterou je nutno hradit jak z</w:t>
      </w:r>
      <w:r>
        <w:rPr>
          <w:lang w:eastAsia="cs-CZ"/>
        </w:rPr>
        <w:t> </w:t>
      </w:r>
      <w:r w:rsidRPr="00AA586C">
        <w:rPr>
          <w:lang w:eastAsia="cs-CZ"/>
        </w:rPr>
        <w:t>objemového</w:t>
      </w:r>
      <w:r>
        <w:rPr>
          <w:lang w:eastAsia="cs-CZ"/>
        </w:rPr>
        <w:t>,</w:t>
      </w:r>
      <w:r w:rsidRPr="00AA586C">
        <w:rPr>
          <w:lang w:eastAsia="cs-CZ"/>
        </w:rPr>
        <w:t xml:space="preserve"> tak z energetického hlediska. Dle informací obsluhy je návrat kondenzátu v průměru 70 %. Potřeba tepla na ohřev nevráceného kondenzátu je stanovena na 195 GJ/rok. </w:t>
      </w:r>
    </w:p>
    <w:p w14:paraId="1B51934E" w14:textId="13F4C7FB" w:rsidR="00AA586C" w:rsidRPr="00AA586C" w:rsidRDefault="00AA586C" w:rsidP="00BD36FC">
      <w:pPr>
        <w:spacing w:line="264" w:lineRule="auto"/>
        <w:jc w:val="left"/>
        <w:rPr>
          <w:b/>
          <w:bCs/>
          <w:u w:val="single"/>
          <w:lang w:eastAsia="cs-CZ"/>
        </w:rPr>
      </w:pPr>
      <w:r>
        <w:rPr>
          <w:b/>
          <w:bCs/>
          <w:u w:val="single"/>
          <w:lang w:eastAsia="cs-CZ"/>
        </w:rPr>
        <w:t>Centrální sterilizace</w:t>
      </w:r>
    </w:p>
    <w:p w14:paraId="5253D271" w14:textId="77777777" w:rsidR="00AA586C" w:rsidRPr="00AA586C" w:rsidRDefault="00AA586C" w:rsidP="00BD36FC">
      <w:pPr>
        <w:tabs>
          <w:tab w:val="left" w:pos="284"/>
        </w:tabs>
        <w:spacing w:line="264" w:lineRule="auto"/>
        <w:rPr>
          <w:lang w:eastAsia="cs-CZ"/>
        </w:rPr>
      </w:pPr>
      <w:r w:rsidRPr="00AA586C">
        <w:rPr>
          <w:lang w:eastAsia="cs-CZ"/>
        </w:rPr>
        <w:t>Potřeba tepla odhadovaná na provoz centrální sterilizace byla stanovena na 460 GJ – z informací o jejím provozu.</w:t>
      </w:r>
    </w:p>
    <w:p w14:paraId="5A9DB958" w14:textId="7FE85508" w:rsidR="00AA586C" w:rsidRPr="00AA586C" w:rsidRDefault="00AA586C" w:rsidP="00BD36FC">
      <w:pPr>
        <w:spacing w:line="264" w:lineRule="auto"/>
        <w:jc w:val="left"/>
        <w:rPr>
          <w:b/>
          <w:bCs/>
          <w:u w:val="single"/>
          <w:lang w:eastAsia="cs-CZ"/>
        </w:rPr>
      </w:pPr>
      <w:r>
        <w:rPr>
          <w:b/>
          <w:bCs/>
          <w:u w:val="single"/>
          <w:lang w:eastAsia="cs-CZ"/>
        </w:rPr>
        <w:t>Pitevna</w:t>
      </w:r>
    </w:p>
    <w:p w14:paraId="66C40CD9" w14:textId="77777777" w:rsidR="00AA586C" w:rsidRPr="00AA586C" w:rsidRDefault="00AA586C" w:rsidP="00BD36FC">
      <w:pPr>
        <w:tabs>
          <w:tab w:val="left" w:pos="284"/>
        </w:tabs>
        <w:spacing w:line="264" w:lineRule="auto"/>
        <w:rPr>
          <w:lang w:eastAsia="cs-CZ"/>
        </w:rPr>
      </w:pPr>
      <w:r w:rsidRPr="00AA586C">
        <w:rPr>
          <w:lang w:eastAsia="cs-CZ"/>
        </w:rPr>
        <w:t>Potřeba tepla na provoz pitevny (sterilizace materiálu) byla stanovena na 345 GJ/rok.</w:t>
      </w:r>
    </w:p>
    <w:p w14:paraId="412700FF" w14:textId="41158260" w:rsidR="00E844AB" w:rsidRPr="00AA586C" w:rsidRDefault="00E844AB" w:rsidP="00BD36FC">
      <w:pPr>
        <w:spacing w:line="264" w:lineRule="auto"/>
        <w:jc w:val="left"/>
        <w:rPr>
          <w:b/>
          <w:bCs/>
          <w:u w:val="single"/>
          <w:lang w:eastAsia="cs-CZ"/>
        </w:rPr>
      </w:pPr>
      <w:r>
        <w:rPr>
          <w:b/>
          <w:bCs/>
          <w:u w:val="single"/>
          <w:lang w:eastAsia="cs-CZ"/>
        </w:rPr>
        <w:t>Kuchyň</w:t>
      </w:r>
    </w:p>
    <w:p w14:paraId="76E946A0" w14:textId="77777777" w:rsidR="00E844AB" w:rsidRPr="00E844AB" w:rsidRDefault="00E844AB" w:rsidP="00BD36FC">
      <w:pPr>
        <w:tabs>
          <w:tab w:val="left" w:pos="284"/>
        </w:tabs>
        <w:spacing w:line="264" w:lineRule="auto"/>
        <w:rPr>
          <w:lang w:eastAsia="cs-CZ"/>
        </w:rPr>
      </w:pPr>
      <w:r w:rsidRPr="00E844AB">
        <w:rPr>
          <w:lang w:eastAsia="cs-CZ"/>
        </w:rPr>
        <w:t>Potřeba tepla na provoz kuchyně byla stanovena na 1 239 GJ/rok. Jedná se o odhad s ohledem na ostatní potřeby tepla, uvažovanou účinnost zdroje a měřené spotřeby paliva parních kotlů.</w:t>
      </w:r>
    </w:p>
    <w:p w14:paraId="351BB4F0" w14:textId="5EE301C6" w:rsidR="007025A8" w:rsidRDefault="007025A8" w:rsidP="00FE2739">
      <w:pPr>
        <w:pStyle w:val="ListParagraph"/>
        <w:numPr>
          <w:ilvl w:val="2"/>
          <w:numId w:val="5"/>
        </w:numPr>
        <w:spacing w:before="240" w:line="264" w:lineRule="auto"/>
        <w:ind w:left="709" w:hanging="709"/>
        <w:contextualSpacing w:val="0"/>
        <w:rPr>
          <w:b/>
          <w:bCs/>
        </w:rPr>
      </w:pPr>
      <w:r>
        <w:rPr>
          <w:b/>
          <w:bCs/>
        </w:rPr>
        <w:t>Elektrická energie</w:t>
      </w:r>
    </w:p>
    <w:p w14:paraId="413485B7" w14:textId="3ED08D14" w:rsidR="007025A8" w:rsidRPr="007025A8" w:rsidRDefault="007025A8" w:rsidP="00BD36FC">
      <w:pPr>
        <w:tabs>
          <w:tab w:val="left" w:pos="284"/>
        </w:tabs>
        <w:spacing w:line="264" w:lineRule="auto"/>
        <w:rPr>
          <w:lang w:eastAsia="cs-CZ"/>
        </w:rPr>
      </w:pPr>
      <w:r w:rsidRPr="007025A8">
        <w:rPr>
          <w:lang w:eastAsia="cs-CZ"/>
        </w:rPr>
        <w:t xml:space="preserve">Areál nedisponuje vlastními zdroji elektrické energie, je ze </w:t>
      </w:r>
      <w:proofErr w:type="gramStart"/>
      <w:r w:rsidRPr="007025A8">
        <w:rPr>
          <w:lang w:eastAsia="cs-CZ"/>
        </w:rPr>
        <w:t>100%</w:t>
      </w:r>
      <w:proofErr w:type="gramEnd"/>
      <w:r w:rsidRPr="007025A8">
        <w:rPr>
          <w:lang w:eastAsia="cs-CZ"/>
        </w:rPr>
        <w:t xml:space="preserve"> zásobován z veřejné distribuční sítě, na kterou je areál napojen ze dvou rozvodných stanic. V areálu jsou umístěny dvě transformovny 22/0,4 </w:t>
      </w:r>
      <w:proofErr w:type="spellStart"/>
      <w:r w:rsidRPr="007025A8">
        <w:rPr>
          <w:lang w:eastAsia="cs-CZ"/>
        </w:rPr>
        <w:t>kV</w:t>
      </w:r>
      <w:proofErr w:type="spellEnd"/>
      <w:r w:rsidRPr="007025A8">
        <w:rPr>
          <w:lang w:eastAsia="cs-CZ"/>
        </w:rPr>
        <w:t xml:space="preserve">. První transformovna je umístěna v hlavní budově a obsahuje celkem čtyři transformátory o jednotkovém výkonu 1 000 </w:t>
      </w:r>
      <w:proofErr w:type="spellStart"/>
      <w:r w:rsidRPr="007025A8">
        <w:rPr>
          <w:lang w:eastAsia="cs-CZ"/>
        </w:rPr>
        <w:t>kVA</w:t>
      </w:r>
      <w:proofErr w:type="spellEnd"/>
      <w:r w:rsidRPr="007025A8">
        <w:rPr>
          <w:lang w:eastAsia="cs-CZ"/>
        </w:rPr>
        <w:t xml:space="preserve">, které zásobují většinu objektů. Druhá transformovna je umístěna v přízemí objektu 009 a slouží zejména pro napájení chladicích agregátů a přilehlých technických objektů. V transformovně se nacházejí 2 transformátory o jednotkovém výkonu 1 000 </w:t>
      </w:r>
      <w:proofErr w:type="spellStart"/>
      <w:r w:rsidRPr="007025A8">
        <w:rPr>
          <w:lang w:eastAsia="cs-CZ"/>
        </w:rPr>
        <w:t>kVA</w:t>
      </w:r>
      <w:proofErr w:type="spellEnd"/>
      <w:r w:rsidRPr="007025A8">
        <w:rPr>
          <w:lang w:eastAsia="cs-CZ"/>
        </w:rPr>
        <w:t xml:space="preserve">. </w:t>
      </w:r>
      <w:r>
        <w:rPr>
          <w:lang w:eastAsia="cs-CZ"/>
        </w:rPr>
        <w:t>V zadávací dokumentaci se uvádí</w:t>
      </w:r>
      <w:r w:rsidRPr="007025A8">
        <w:rPr>
          <w:lang w:eastAsia="cs-CZ"/>
        </w:rPr>
        <w:t xml:space="preserve">, že žádný z transformátorů nepřesahuje v běžném provozu </w:t>
      </w:r>
      <w:proofErr w:type="gramStart"/>
      <w:r w:rsidRPr="007025A8">
        <w:rPr>
          <w:lang w:eastAsia="cs-CZ"/>
        </w:rPr>
        <w:t>50%</w:t>
      </w:r>
      <w:proofErr w:type="gramEnd"/>
      <w:r w:rsidRPr="007025A8">
        <w:rPr>
          <w:lang w:eastAsia="cs-CZ"/>
        </w:rPr>
        <w:t xml:space="preserve"> svého jmenovitého výkonu (měření z roku 2010).</w:t>
      </w:r>
    </w:p>
    <w:p w14:paraId="4387CE05" w14:textId="2BDA3C72" w:rsidR="007025A8" w:rsidRDefault="007025A8" w:rsidP="00FE2739">
      <w:pPr>
        <w:pStyle w:val="ListParagraph"/>
        <w:numPr>
          <w:ilvl w:val="2"/>
          <w:numId w:val="5"/>
        </w:numPr>
        <w:spacing w:before="240" w:line="264" w:lineRule="auto"/>
        <w:ind w:left="709" w:hanging="709"/>
        <w:contextualSpacing w:val="0"/>
        <w:rPr>
          <w:b/>
          <w:bCs/>
        </w:rPr>
      </w:pPr>
      <w:r>
        <w:rPr>
          <w:b/>
          <w:bCs/>
        </w:rPr>
        <w:t>Náhradní zdroj elektrické energie</w:t>
      </w:r>
    </w:p>
    <w:p w14:paraId="2581B069" w14:textId="74F49D21" w:rsidR="00D21576" w:rsidRDefault="00942680" w:rsidP="00BD36FC">
      <w:pPr>
        <w:tabs>
          <w:tab w:val="left" w:pos="284"/>
        </w:tabs>
        <w:spacing w:line="264" w:lineRule="auto"/>
        <w:rPr>
          <w:lang w:eastAsia="cs-CZ"/>
        </w:rPr>
      </w:pPr>
      <w:r w:rsidRPr="00942680">
        <w:rPr>
          <w:lang w:eastAsia="cs-CZ"/>
        </w:rPr>
        <w:t xml:space="preserve">Pro případ výpadku dodávky elektřiny ze sítě distributora je dodávka elektrické energie zajišťována náhradním zdrojem, sestávajícím ze šesti soustrojí se spalovací turbínou TURBOLET s výkonem á 630 </w:t>
      </w:r>
      <w:proofErr w:type="spellStart"/>
      <w:r w:rsidRPr="00942680">
        <w:rPr>
          <w:lang w:eastAsia="cs-CZ"/>
        </w:rPr>
        <w:t>kVA</w:t>
      </w:r>
      <w:proofErr w:type="spellEnd"/>
      <w:r w:rsidRPr="00942680">
        <w:rPr>
          <w:lang w:eastAsia="cs-CZ"/>
        </w:rPr>
        <w:t xml:space="preserve"> (celkový instalovaný výkon 3,78 MVA). Soustrojí jsou vyroben</w:t>
      </w:r>
      <w:r>
        <w:rPr>
          <w:lang w:eastAsia="cs-CZ"/>
        </w:rPr>
        <w:t>a</w:t>
      </w:r>
      <w:r w:rsidRPr="00942680">
        <w:rPr>
          <w:lang w:eastAsia="cs-CZ"/>
        </w:rPr>
        <w:t xml:space="preserve"> v roce 1987, výrobcem je zaniklá firma z bývalé NDR a jsou umístěn</w:t>
      </w:r>
      <w:r>
        <w:rPr>
          <w:lang w:eastAsia="cs-CZ"/>
        </w:rPr>
        <w:t>a</w:t>
      </w:r>
      <w:r w:rsidRPr="00942680">
        <w:rPr>
          <w:lang w:eastAsia="cs-CZ"/>
        </w:rPr>
        <w:t xml:space="preserve"> v samostatné strojovně situované v</w:t>
      </w:r>
      <w:r>
        <w:rPr>
          <w:lang w:eastAsia="cs-CZ"/>
        </w:rPr>
        <w:t> </w:t>
      </w:r>
      <w:r w:rsidRPr="00942680">
        <w:rPr>
          <w:lang w:eastAsia="cs-CZ"/>
        </w:rPr>
        <w:t>přízemí</w:t>
      </w:r>
      <w:r>
        <w:rPr>
          <w:lang w:eastAsia="cs-CZ"/>
        </w:rPr>
        <w:t xml:space="preserve"> (</w:t>
      </w:r>
      <w:r w:rsidRPr="00942680">
        <w:rPr>
          <w:lang w:eastAsia="cs-CZ"/>
        </w:rPr>
        <w:t>Objekt 009 vedle trafostanice s T5 a T6</w:t>
      </w:r>
      <w:r>
        <w:rPr>
          <w:lang w:eastAsia="cs-CZ"/>
        </w:rPr>
        <w:t>)</w:t>
      </w:r>
      <w:r w:rsidRPr="00942680">
        <w:rPr>
          <w:lang w:eastAsia="cs-CZ"/>
        </w:rPr>
        <w:t xml:space="preserve">. Každé soustrojí je vybaveno nádrží na 620 l paliva a ve strojovně se nachází ještě 2 vyrovnávací nádrže po 400 l paliva. Tato zásoba dle sdělení obsluhy vystačí v součtu na cca 8 hodin provozu celé strojovny. Během spotřeby paliva dochází k automatickému dočerpávání paliva z přilehlé čerpací stanice pohonných hmot </w:t>
      </w:r>
      <w:r>
        <w:rPr>
          <w:lang w:eastAsia="cs-CZ"/>
        </w:rPr>
        <w:t>(</w:t>
      </w:r>
      <w:r w:rsidRPr="00942680">
        <w:rPr>
          <w:lang w:eastAsia="cs-CZ"/>
        </w:rPr>
        <w:t>Objekt 016 situovaný v areálu mezi Hlavní budovou a Objektem 009</w:t>
      </w:r>
      <w:r>
        <w:rPr>
          <w:lang w:eastAsia="cs-CZ"/>
        </w:rPr>
        <w:t>)</w:t>
      </w:r>
      <w:r w:rsidRPr="00942680">
        <w:rPr>
          <w:lang w:eastAsia="cs-CZ"/>
        </w:rPr>
        <w:t>. Palivem je motorová nafta standardních parametrů. Pravidelná kontrola tohoto náhradního zdroje probíhá 1 x týdně bez zátěže a 1 x za 2 týdny s plnou zátěží.</w:t>
      </w:r>
      <w:r w:rsidR="00D21576">
        <w:rPr>
          <w:lang w:eastAsia="cs-CZ"/>
        </w:rPr>
        <w:br w:type="page"/>
      </w:r>
    </w:p>
    <w:p w14:paraId="60866CD6" w14:textId="5AC8C43A" w:rsidR="00942680" w:rsidRDefault="00942680" w:rsidP="00FE2739">
      <w:pPr>
        <w:pStyle w:val="ListParagraph"/>
        <w:numPr>
          <w:ilvl w:val="2"/>
          <w:numId w:val="5"/>
        </w:numPr>
        <w:spacing w:before="240" w:line="264" w:lineRule="auto"/>
        <w:ind w:left="709" w:hanging="709"/>
        <w:contextualSpacing w:val="0"/>
        <w:rPr>
          <w:b/>
          <w:bCs/>
        </w:rPr>
      </w:pPr>
      <w:r>
        <w:rPr>
          <w:b/>
          <w:bCs/>
        </w:rPr>
        <w:lastRenderedPageBreak/>
        <w:t>Údaje o rozvodech energií</w:t>
      </w:r>
    </w:p>
    <w:p w14:paraId="65FEE4FE" w14:textId="77777777" w:rsidR="00942680" w:rsidRDefault="00942680" w:rsidP="00BD36FC">
      <w:pPr>
        <w:spacing w:line="264" w:lineRule="auto"/>
        <w:jc w:val="left"/>
        <w:rPr>
          <w:b/>
          <w:bCs/>
          <w:u w:val="single"/>
          <w:lang w:eastAsia="cs-CZ"/>
        </w:rPr>
      </w:pPr>
      <w:r w:rsidRPr="00942680">
        <w:rPr>
          <w:b/>
          <w:bCs/>
          <w:u w:val="single"/>
          <w:lang w:eastAsia="cs-CZ"/>
        </w:rPr>
        <w:t>Rozvody tepla a chladu</w:t>
      </w:r>
    </w:p>
    <w:p w14:paraId="75B6453A" w14:textId="77777777" w:rsidR="00942680" w:rsidRPr="00942680" w:rsidRDefault="00942680" w:rsidP="00BD36FC">
      <w:pPr>
        <w:tabs>
          <w:tab w:val="left" w:pos="284"/>
        </w:tabs>
        <w:spacing w:line="264" w:lineRule="auto"/>
        <w:rPr>
          <w:lang w:eastAsia="cs-CZ"/>
        </w:rPr>
      </w:pPr>
      <w:r w:rsidRPr="00942680">
        <w:rPr>
          <w:lang w:eastAsia="cs-CZ"/>
        </w:rPr>
        <w:t xml:space="preserve">V areálu se nachází rozvody teplé vody pro vytápění, páry a chladu. Všechny rozvody jsou vedeny z objektu 009 do hlavní budovy v jednom průchozím kanálu a dále v suterénu budovy. Celková délka páteřních rozvodů se pohybuje okolo 100 m. </w:t>
      </w:r>
    </w:p>
    <w:p w14:paraId="6C8AA845" w14:textId="77777777" w:rsidR="00942680" w:rsidRPr="00942680" w:rsidRDefault="00942680" w:rsidP="00BD36FC">
      <w:pPr>
        <w:tabs>
          <w:tab w:val="left" w:pos="284"/>
        </w:tabs>
        <w:spacing w:line="264" w:lineRule="auto"/>
        <w:rPr>
          <w:lang w:eastAsia="cs-CZ"/>
        </w:rPr>
      </w:pPr>
      <w:r w:rsidRPr="00942680">
        <w:rPr>
          <w:lang w:eastAsia="cs-CZ"/>
        </w:rPr>
        <w:t>Teplá voda pro vytápění je vedena v dimenzi DN80, parní rozvod v dimenzi DN100, kondenzátní potrubí v dimenzi DN40.</w:t>
      </w:r>
    </w:p>
    <w:p w14:paraId="1E6655FB" w14:textId="77777777" w:rsidR="00942680" w:rsidRPr="00942680" w:rsidRDefault="00942680" w:rsidP="00BD36FC">
      <w:pPr>
        <w:tabs>
          <w:tab w:val="left" w:pos="284"/>
        </w:tabs>
        <w:spacing w:line="264" w:lineRule="auto"/>
        <w:rPr>
          <w:lang w:eastAsia="cs-CZ"/>
        </w:rPr>
      </w:pPr>
      <w:r w:rsidRPr="00942680">
        <w:rPr>
          <w:lang w:eastAsia="cs-CZ"/>
        </w:rPr>
        <w:t>Dimenze chladicího potrubí je DN200.</w:t>
      </w:r>
    </w:p>
    <w:p w14:paraId="56FD3BD9" w14:textId="77777777" w:rsidR="00942680" w:rsidRPr="00942680" w:rsidRDefault="00942680" w:rsidP="00BD36FC">
      <w:pPr>
        <w:tabs>
          <w:tab w:val="left" w:pos="284"/>
        </w:tabs>
        <w:spacing w:line="264" w:lineRule="auto"/>
        <w:rPr>
          <w:lang w:eastAsia="cs-CZ"/>
        </w:rPr>
      </w:pPr>
      <w:r w:rsidRPr="00942680">
        <w:rPr>
          <w:lang w:eastAsia="cs-CZ"/>
        </w:rPr>
        <w:t xml:space="preserve">Rozvody teplé vody pro vytápění jsou v suterénu hlavní budovy dále vedeny do jednotlivých předávacích stanic (celý topný okruh je provozován na jednom tlaku, ve stanicích jsou instalovány pouze rozdělovače a sběrače, topný okruh budovy a páteřní okruh kotlů nejsou tlakově odděleny) a z nich pak dále buď přímo do otopných těles budovy, nebo do vzduchotechnických jednotek. Rozdělení spotřeby energie na jednotlivé úseky není možné, v rozdělovačích nejsou instalována žádná měření spotřeby tepla. </w:t>
      </w:r>
    </w:p>
    <w:p w14:paraId="4BEDE07A" w14:textId="2E6DE268" w:rsidR="00942680" w:rsidRPr="00942680" w:rsidRDefault="00942680" w:rsidP="00BD36FC">
      <w:pPr>
        <w:tabs>
          <w:tab w:val="left" w:pos="284"/>
        </w:tabs>
        <w:spacing w:line="264" w:lineRule="auto"/>
        <w:rPr>
          <w:lang w:eastAsia="cs-CZ"/>
        </w:rPr>
      </w:pPr>
      <w:r w:rsidRPr="00942680">
        <w:rPr>
          <w:lang w:eastAsia="cs-CZ"/>
        </w:rPr>
        <w:t>Rozvody teplé vody pro vytápění a parní rozvody (část) jsou původní, stav tepelných izolací neodpovídá požadavkům §5 Vyhlášky 193/2007 Sb.</w:t>
      </w:r>
    </w:p>
    <w:p w14:paraId="7FC990B1" w14:textId="77777777" w:rsidR="00942680" w:rsidRPr="00942680" w:rsidRDefault="00942680" w:rsidP="00BD36FC">
      <w:pPr>
        <w:tabs>
          <w:tab w:val="left" w:pos="284"/>
        </w:tabs>
        <w:spacing w:line="264" w:lineRule="auto"/>
        <w:rPr>
          <w:lang w:eastAsia="cs-CZ"/>
        </w:rPr>
      </w:pPr>
      <w:r w:rsidRPr="00942680">
        <w:rPr>
          <w:lang w:eastAsia="cs-CZ"/>
        </w:rPr>
        <w:t>Rozvody sterilní páry jsou nové, v dobrém stavu, tepelné izolace vyhovující.</w:t>
      </w:r>
    </w:p>
    <w:p w14:paraId="72C0D779" w14:textId="489382CD" w:rsidR="00942680" w:rsidRPr="00942680" w:rsidRDefault="00942680" w:rsidP="00BD36FC">
      <w:pPr>
        <w:tabs>
          <w:tab w:val="left" w:pos="284"/>
        </w:tabs>
        <w:spacing w:line="264" w:lineRule="auto"/>
        <w:rPr>
          <w:lang w:eastAsia="cs-CZ"/>
        </w:rPr>
      </w:pPr>
      <w:r w:rsidRPr="00942680">
        <w:rPr>
          <w:lang w:eastAsia="cs-CZ"/>
        </w:rPr>
        <w:t>Rozvody chladu byly realizovány v roce 2013 v rámci rekonstrukce strojovny chlazení, tepelné izolace jsou vyhovující</w:t>
      </w:r>
      <w:r w:rsidR="00033C05">
        <w:rPr>
          <w:lang w:eastAsia="cs-CZ"/>
        </w:rPr>
        <w:t>.</w:t>
      </w:r>
    </w:p>
    <w:p w14:paraId="6B1742DA" w14:textId="77777777" w:rsidR="00942680" w:rsidRPr="00942680" w:rsidRDefault="00942680" w:rsidP="00BD36FC">
      <w:pPr>
        <w:tabs>
          <w:tab w:val="left" w:pos="284"/>
        </w:tabs>
        <w:spacing w:line="264" w:lineRule="auto"/>
        <w:rPr>
          <w:lang w:eastAsia="cs-CZ"/>
        </w:rPr>
      </w:pPr>
      <w:r w:rsidRPr="00942680">
        <w:rPr>
          <w:lang w:eastAsia="cs-CZ"/>
        </w:rPr>
        <w:t>Žádné z rozvodů nejsou vybaveny měřením spotřeby energie, pokud je provedena regulace, jedná se pouze o regulaci s ohledem na požadovanou teplotu pracovní látky. Rozdělovače teplovodních předávacích stanic jsou vybaveny ekvitermní regulací.</w:t>
      </w:r>
    </w:p>
    <w:p w14:paraId="766C95CF" w14:textId="77777777" w:rsidR="00942680" w:rsidRPr="00942680" w:rsidRDefault="00942680" w:rsidP="00BD36FC">
      <w:pPr>
        <w:tabs>
          <w:tab w:val="left" w:pos="284"/>
        </w:tabs>
        <w:spacing w:line="264" w:lineRule="auto"/>
        <w:rPr>
          <w:lang w:eastAsia="cs-CZ"/>
        </w:rPr>
      </w:pPr>
      <w:r w:rsidRPr="00942680">
        <w:rPr>
          <w:lang w:eastAsia="cs-CZ"/>
        </w:rPr>
        <w:t>Technický stav rozvodů je dobrý.</w:t>
      </w:r>
    </w:p>
    <w:p w14:paraId="53DF59AA" w14:textId="0F6B5A7D" w:rsidR="00033C05" w:rsidRDefault="00033C05" w:rsidP="002E2639">
      <w:pPr>
        <w:pStyle w:val="Caption"/>
        <w:spacing w:before="360" w:after="0" w:line="264" w:lineRule="auto"/>
      </w:pPr>
      <w:r>
        <w:t xml:space="preserve">Obrázek </w:t>
      </w:r>
      <w:r w:rsidR="00000000">
        <w:fldChar w:fldCharType="begin"/>
      </w:r>
      <w:r w:rsidR="00000000">
        <w:instrText xml:space="preserve"> SEQ Obrázek \* ARABIC </w:instrText>
      </w:r>
      <w:r w:rsidR="00000000">
        <w:fldChar w:fldCharType="separate"/>
      </w:r>
      <w:r>
        <w:rPr>
          <w:noProof/>
        </w:rPr>
        <w:t>5</w:t>
      </w:r>
      <w:r w:rsidR="00000000">
        <w:rPr>
          <w:noProof/>
        </w:rPr>
        <w:fldChar w:fldCharType="end"/>
      </w:r>
      <w:r>
        <w:t xml:space="preserve"> Schéma hlavních rozvodů tepla a chladu ze ZD</w:t>
      </w:r>
    </w:p>
    <w:p w14:paraId="33567327" w14:textId="424C0787" w:rsidR="00D21576" w:rsidRPr="00942680" w:rsidRDefault="00033C05" w:rsidP="00BD36FC">
      <w:pPr>
        <w:spacing w:line="264" w:lineRule="auto"/>
        <w:jc w:val="left"/>
        <w:rPr>
          <w:b/>
          <w:bCs/>
          <w:u w:val="single"/>
          <w:lang w:eastAsia="cs-CZ"/>
        </w:rPr>
      </w:pPr>
      <w:r w:rsidRPr="009A6EE4">
        <w:rPr>
          <w:rFonts w:ascii="Verdana" w:hAnsi="Verdana" w:cstheme="minorHAnsi"/>
          <w:noProof/>
          <w:sz w:val="20"/>
        </w:rPr>
        <w:drawing>
          <wp:inline distT="0" distB="0" distL="0" distR="0" wp14:anchorId="79C98F78" wp14:editId="4491EF19">
            <wp:extent cx="3653372" cy="2676525"/>
            <wp:effectExtent l="0" t="0" r="444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658877" cy="2680558"/>
                    </a:xfrm>
                    <a:prstGeom prst="rect">
                      <a:avLst/>
                    </a:prstGeom>
                  </pic:spPr>
                </pic:pic>
              </a:graphicData>
            </a:graphic>
          </wp:inline>
        </w:drawing>
      </w:r>
      <w:r w:rsidR="00D21576" w:rsidRPr="00942680">
        <w:rPr>
          <w:b/>
          <w:bCs/>
          <w:u w:val="single"/>
          <w:lang w:eastAsia="cs-CZ"/>
        </w:rPr>
        <w:br w:type="page"/>
      </w:r>
    </w:p>
    <w:p w14:paraId="53A419B7" w14:textId="105D7CD2" w:rsidR="00033C05" w:rsidRDefault="00033C05" w:rsidP="00BD36FC">
      <w:pPr>
        <w:spacing w:line="264" w:lineRule="auto"/>
        <w:jc w:val="left"/>
        <w:rPr>
          <w:b/>
          <w:bCs/>
          <w:u w:val="single"/>
          <w:lang w:eastAsia="cs-CZ"/>
        </w:rPr>
      </w:pPr>
      <w:r>
        <w:rPr>
          <w:b/>
          <w:bCs/>
          <w:u w:val="single"/>
          <w:lang w:eastAsia="cs-CZ"/>
        </w:rPr>
        <w:lastRenderedPageBreak/>
        <w:t>Ostatní rozvody</w:t>
      </w:r>
    </w:p>
    <w:p w14:paraId="7E8C6DE1" w14:textId="77777777" w:rsidR="00033C05" w:rsidRPr="00033C05" w:rsidRDefault="00033C05" w:rsidP="00BD36FC">
      <w:pPr>
        <w:tabs>
          <w:tab w:val="left" w:pos="284"/>
        </w:tabs>
        <w:spacing w:line="264" w:lineRule="auto"/>
        <w:rPr>
          <w:lang w:eastAsia="cs-CZ"/>
        </w:rPr>
      </w:pPr>
      <w:r w:rsidRPr="00033C05">
        <w:rPr>
          <w:lang w:eastAsia="cs-CZ"/>
        </w:rPr>
        <w:t>V areálu je kompresorová stanice, z které je stlačený vzduch distribuován do hlavní budovy. Rozvody stlačeného vzduchu jsou v dobrém stavu a nevykazují významnější úniky netěsnostmi. Rozvody stlačeného vzduchu nejsou vybaveny měřením.</w:t>
      </w:r>
    </w:p>
    <w:p w14:paraId="6C60537C" w14:textId="77777777" w:rsidR="00033C05" w:rsidRPr="00033C05" w:rsidRDefault="00033C05" w:rsidP="00BD36FC">
      <w:pPr>
        <w:tabs>
          <w:tab w:val="left" w:pos="284"/>
        </w:tabs>
        <w:spacing w:line="264" w:lineRule="auto"/>
        <w:rPr>
          <w:lang w:eastAsia="cs-CZ"/>
        </w:rPr>
      </w:pPr>
      <w:r w:rsidRPr="00033C05">
        <w:rPr>
          <w:lang w:eastAsia="cs-CZ"/>
        </w:rPr>
        <w:t>Rozvody elektrické energie v budovách jsou v dobrém stavu.  Rozvod elektrické energie je vybaven pouze hlavním fakturačním měřením, dílčí úseky uvnitř areálu nejsou samostatně měřeny a nelze tak určit energetické toky v jednotlivých úsecích. Rozvody jsou provedeny převážně hliníkovými kabely a vodiči (AYKY), částečně měděnými (CYKY) a jsou uloženy pod omítkou, v lištách, v kabelových žlabech či zavěšeny pod SDK podhledy.</w:t>
      </w:r>
    </w:p>
    <w:p w14:paraId="2A54AC5B" w14:textId="68AC4294" w:rsidR="00033C05" w:rsidRDefault="00033C05" w:rsidP="00FE2739">
      <w:pPr>
        <w:pStyle w:val="ListParagraph"/>
        <w:numPr>
          <w:ilvl w:val="1"/>
          <w:numId w:val="5"/>
        </w:numPr>
        <w:tabs>
          <w:tab w:val="left" w:pos="709"/>
        </w:tabs>
        <w:spacing w:before="360" w:line="264" w:lineRule="auto"/>
        <w:ind w:left="0" w:firstLine="0"/>
        <w:contextualSpacing w:val="0"/>
        <w:rPr>
          <w:b/>
          <w:bCs/>
          <w:sz w:val="24"/>
          <w:szCs w:val="24"/>
        </w:rPr>
      </w:pPr>
      <w:r>
        <w:rPr>
          <w:b/>
          <w:bCs/>
          <w:sz w:val="24"/>
          <w:szCs w:val="24"/>
        </w:rPr>
        <w:t>Údaje o významných spotřebičích energie</w:t>
      </w:r>
    </w:p>
    <w:p w14:paraId="21F10836" w14:textId="190EEF2A" w:rsidR="00033C05" w:rsidRDefault="00033C05" w:rsidP="00FE2739">
      <w:pPr>
        <w:pStyle w:val="ListParagraph"/>
        <w:numPr>
          <w:ilvl w:val="2"/>
          <w:numId w:val="5"/>
        </w:numPr>
        <w:spacing w:line="264" w:lineRule="auto"/>
        <w:ind w:left="709" w:hanging="709"/>
        <w:contextualSpacing w:val="0"/>
        <w:rPr>
          <w:b/>
          <w:bCs/>
        </w:rPr>
      </w:pPr>
      <w:r>
        <w:rPr>
          <w:b/>
          <w:bCs/>
        </w:rPr>
        <w:t>Chladicí agregáty</w:t>
      </w:r>
    </w:p>
    <w:p w14:paraId="0E916175" w14:textId="77777777" w:rsidR="00033C05" w:rsidRPr="00033C05" w:rsidRDefault="00033C05" w:rsidP="00BD36FC">
      <w:pPr>
        <w:tabs>
          <w:tab w:val="left" w:pos="284"/>
        </w:tabs>
        <w:spacing w:line="264" w:lineRule="auto"/>
        <w:rPr>
          <w:lang w:eastAsia="cs-CZ"/>
        </w:rPr>
      </w:pPr>
      <w:r w:rsidRPr="00033C05">
        <w:rPr>
          <w:lang w:eastAsia="cs-CZ"/>
        </w:rPr>
        <w:t xml:space="preserve">V areálu je instalována centrální příprava chladu, kterou zajišťují dva chladící agregáty GEA </w:t>
      </w:r>
      <w:proofErr w:type="spellStart"/>
      <w:r w:rsidRPr="00033C05">
        <w:rPr>
          <w:lang w:eastAsia="cs-CZ"/>
        </w:rPr>
        <w:t>Grasso</w:t>
      </w:r>
      <w:proofErr w:type="spellEnd"/>
      <w:r w:rsidRPr="00033C05">
        <w:rPr>
          <w:lang w:eastAsia="cs-CZ"/>
        </w:rPr>
        <w:t xml:space="preserve"> </w:t>
      </w:r>
      <w:proofErr w:type="spellStart"/>
      <w:r w:rsidRPr="00033C05">
        <w:rPr>
          <w:lang w:eastAsia="cs-CZ"/>
        </w:rPr>
        <w:t>BluAstrum</w:t>
      </w:r>
      <w:proofErr w:type="spellEnd"/>
      <w:r w:rsidRPr="00033C05">
        <w:rPr>
          <w:lang w:eastAsia="cs-CZ"/>
        </w:rPr>
        <w:t xml:space="preserve"> 1000, každý o chladícím výkonu 1 000 kW. Oba agregáty jsou umístěny v objektu 009. Jako pracovní látka je použit čpavek. Chladicí systém je </w:t>
      </w:r>
      <w:proofErr w:type="spellStart"/>
      <w:r w:rsidRPr="00033C05">
        <w:rPr>
          <w:lang w:eastAsia="cs-CZ"/>
        </w:rPr>
        <w:t>tříokruhový</w:t>
      </w:r>
      <w:proofErr w:type="spellEnd"/>
      <w:r w:rsidRPr="00033C05">
        <w:rPr>
          <w:lang w:eastAsia="cs-CZ"/>
        </w:rPr>
        <w:t>, přičemž čpavek je použit pouze jako pracovní látka v samotném agregátu. Čpavkový okruh je napojený pomocí deskového výměníku na okruh glykolový, který je teprve přes další výměník spojen s vodním okruhem, který zajišťuje distribuci chladu do budovy. Vložený glykolový okruh zajišťuje, že ani v případě havárie a úniku čpavku nemůže dojít k jeho distribuci do budovy přes chladící okruh, také je vloženým okruhem minimalizováno množství potřebného čpavku.</w:t>
      </w:r>
    </w:p>
    <w:p w14:paraId="7A547E4C" w14:textId="77777777" w:rsidR="00033C05" w:rsidRPr="00033C05" w:rsidRDefault="00033C05" w:rsidP="00BD36FC">
      <w:pPr>
        <w:tabs>
          <w:tab w:val="left" w:pos="284"/>
        </w:tabs>
        <w:spacing w:line="264" w:lineRule="auto"/>
        <w:rPr>
          <w:lang w:eastAsia="cs-CZ"/>
        </w:rPr>
      </w:pPr>
      <w:r w:rsidRPr="00033C05">
        <w:rPr>
          <w:lang w:eastAsia="cs-CZ"/>
        </w:rPr>
        <w:t>Při určování spotřeby energie na přípravu chladu bylo vycházeno z měřené spotřeby elektromotoru kompresoru a známých parametrů chladící vody (12/</w:t>
      </w:r>
      <w:proofErr w:type="gramStart"/>
      <w:r w:rsidRPr="00033C05">
        <w:rPr>
          <w:lang w:eastAsia="cs-CZ"/>
        </w:rPr>
        <w:t>6°C</w:t>
      </w:r>
      <w:proofErr w:type="gramEnd"/>
      <w:r w:rsidRPr="00033C05">
        <w:rPr>
          <w:lang w:eastAsia="cs-CZ"/>
        </w:rPr>
        <w:t>) a klimatických podmínkách v daném měsíci. Z těchto údajů byly dopočítány i spotřeby pomocných zařízení (venkovní adiabatické chladiče, čerpadla všech okruhů), které jsou v případě chladících agregátů poměrně významné.</w:t>
      </w:r>
    </w:p>
    <w:p w14:paraId="6C1F5F05" w14:textId="3E0476FB" w:rsidR="00990974" w:rsidRDefault="00990974" w:rsidP="002E2639">
      <w:pPr>
        <w:pStyle w:val="Caption"/>
        <w:keepNext/>
        <w:spacing w:before="240" w:after="0" w:line="264" w:lineRule="auto"/>
      </w:pPr>
      <w:r>
        <w:t xml:space="preserve">Tabulka </w:t>
      </w:r>
      <w:r w:rsidR="00000000">
        <w:fldChar w:fldCharType="begin"/>
      </w:r>
      <w:r w:rsidR="00000000">
        <w:instrText xml:space="preserve"> SEQ Tabulka \* ARABIC </w:instrText>
      </w:r>
      <w:r w:rsidR="00000000">
        <w:fldChar w:fldCharType="separate"/>
      </w:r>
      <w:r w:rsidR="009C5A6B">
        <w:rPr>
          <w:noProof/>
        </w:rPr>
        <w:t>5</w:t>
      </w:r>
      <w:r w:rsidR="00000000">
        <w:rPr>
          <w:noProof/>
        </w:rPr>
        <w:fldChar w:fldCharType="end"/>
      </w:r>
      <w:r>
        <w:t xml:space="preserve"> Spotřeby chladicího agregátu</w:t>
      </w:r>
    </w:p>
    <w:p w14:paraId="2275CB34" w14:textId="77777777" w:rsidR="00990974" w:rsidRDefault="00990974" w:rsidP="00BD36FC">
      <w:pPr>
        <w:spacing w:line="264" w:lineRule="auto"/>
        <w:jc w:val="left"/>
        <w:rPr>
          <w:lang w:eastAsia="cs-CZ"/>
        </w:rPr>
      </w:pPr>
      <w:r>
        <w:rPr>
          <w:noProof/>
        </w:rPr>
        <w:drawing>
          <wp:inline distT="0" distB="0" distL="0" distR="0" wp14:anchorId="4859E305" wp14:editId="78E08140">
            <wp:extent cx="5709285" cy="3314700"/>
            <wp:effectExtent l="0" t="0" r="5715" b="0"/>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19"/>
                    <a:stretch>
                      <a:fillRect/>
                    </a:stretch>
                  </pic:blipFill>
                  <pic:spPr>
                    <a:xfrm>
                      <a:off x="0" y="0"/>
                      <a:ext cx="5709285" cy="3314700"/>
                    </a:xfrm>
                    <a:prstGeom prst="rect">
                      <a:avLst/>
                    </a:prstGeom>
                  </pic:spPr>
                </pic:pic>
              </a:graphicData>
            </a:graphic>
          </wp:inline>
        </w:drawing>
      </w:r>
    </w:p>
    <w:p w14:paraId="3E271B27" w14:textId="734C6390" w:rsidR="00990974" w:rsidRDefault="00990974" w:rsidP="00BD36FC">
      <w:pPr>
        <w:tabs>
          <w:tab w:val="left" w:pos="284"/>
        </w:tabs>
        <w:spacing w:line="264" w:lineRule="auto"/>
        <w:rPr>
          <w:lang w:eastAsia="cs-CZ"/>
        </w:rPr>
      </w:pPr>
      <w:r w:rsidRPr="00990974">
        <w:rPr>
          <w:lang w:eastAsia="cs-CZ"/>
        </w:rPr>
        <w:lastRenderedPageBreak/>
        <w:t>Kromě centrálního chladicího agregátu jsou v areálu instalována ještě další chladicí zařízení a příslušenství, jež uvádí následující tabulka:</w:t>
      </w:r>
    </w:p>
    <w:p w14:paraId="3472EA20" w14:textId="47382412" w:rsidR="00990974" w:rsidRDefault="00990974" w:rsidP="002E2639">
      <w:pPr>
        <w:pStyle w:val="Caption"/>
        <w:keepNext/>
        <w:spacing w:before="240" w:after="0" w:line="264" w:lineRule="auto"/>
      </w:pPr>
      <w:r>
        <w:t xml:space="preserve">Tabulka </w:t>
      </w:r>
      <w:r w:rsidR="00000000">
        <w:fldChar w:fldCharType="begin"/>
      </w:r>
      <w:r w:rsidR="00000000">
        <w:instrText xml:space="preserve"> SEQ Tabulka \* ARABIC </w:instrText>
      </w:r>
      <w:r w:rsidR="00000000">
        <w:fldChar w:fldCharType="separate"/>
      </w:r>
      <w:r w:rsidR="009C5A6B">
        <w:rPr>
          <w:noProof/>
        </w:rPr>
        <w:t>6</w:t>
      </w:r>
      <w:r w:rsidR="00000000">
        <w:rPr>
          <w:noProof/>
        </w:rPr>
        <w:fldChar w:fldCharType="end"/>
      </w:r>
      <w:r>
        <w:t xml:space="preserve"> Další chladicí zařízení v areálu</w:t>
      </w:r>
    </w:p>
    <w:p w14:paraId="717BA077" w14:textId="4FDA842E" w:rsidR="00990974" w:rsidRDefault="00990974" w:rsidP="00BD36FC">
      <w:pPr>
        <w:spacing w:line="264" w:lineRule="auto"/>
      </w:pPr>
      <w:r>
        <w:rPr>
          <w:noProof/>
        </w:rPr>
        <w:drawing>
          <wp:inline distT="0" distB="0" distL="0" distR="0" wp14:anchorId="6E63EB51" wp14:editId="34D41D4A">
            <wp:extent cx="5709285" cy="2371090"/>
            <wp:effectExtent l="0" t="0" r="5715" b="0"/>
            <wp:docPr id="8" name="Obrázek 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a:blip r:embed="rId20"/>
                    <a:stretch>
                      <a:fillRect/>
                    </a:stretch>
                  </pic:blipFill>
                  <pic:spPr>
                    <a:xfrm>
                      <a:off x="0" y="0"/>
                      <a:ext cx="5709285" cy="2371090"/>
                    </a:xfrm>
                    <a:prstGeom prst="rect">
                      <a:avLst/>
                    </a:prstGeom>
                  </pic:spPr>
                </pic:pic>
              </a:graphicData>
            </a:graphic>
          </wp:inline>
        </w:drawing>
      </w:r>
    </w:p>
    <w:p w14:paraId="48DE1A8F" w14:textId="7F138F69" w:rsidR="00990974" w:rsidRDefault="00990974" w:rsidP="00FE2739">
      <w:pPr>
        <w:pStyle w:val="ListParagraph"/>
        <w:numPr>
          <w:ilvl w:val="2"/>
          <w:numId w:val="5"/>
        </w:numPr>
        <w:spacing w:before="240" w:line="264" w:lineRule="auto"/>
        <w:ind w:left="709" w:hanging="709"/>
        <w:contextualSpacing w:val="0"/>
        <w:rPr>
          <w:b/>
          <w:bCs/>
        </w:rPr>
      </w:pPr>
      <w:r>
        <w:rPr>
          <w:b/>
          <w:bCs/>
        </w:rPr>
        <w:t>Strojovny vzduchotechniky</w:t>
      </w:r>
    </w:p>
    <w:p w14:paraId="70511ED8" w14:textId="77777777" w:rsidR="00990974" w:rsidRPr="00990974" w:rsidRDefault="00990974" w:rsidP="00BD36FC">
      <w:pPr>
        <w:tabs>
          <w:tab w:val="left" w:pos="284"/>
        </w:tabs>
        <w:spacing w:line="264" w:lineRule="auto"/>
        <w:rPr>
          <w:lang w:eastAsia="cs-CZ"/>
        </w:rPr>
      </w:pPr>
      <w:r w:rsidRPr="00990974">
        <w:rPr>
          <w:lang w:eastAsia="cs-CZ"/>
        </w:rPr>
        <w:t xml:space="preserve">Celkový elektrický příkon vzduchotechnických jednotek je 219 kW. Všechny vzduchotechnické jednotky jsou napojené na otopnou soustavu a je možné jimi vytápět. Část vzduchotechnických (VZT) jednotek je napojená i na rozvody chladu. Systém VZT je vybaven rekuperací, která je řešena přes vložený glykolový okruh. Důvodem je zejména fakt, že přívodní a odvodní jednotky se od sebe často nacházejí v poměrně velké vzdáleností, ve které by bylo velmi problematické vést samotný vzduch. </w:t>
      </w:r>
    </w:p>
    <w:p w14:paraId="6CB9B266" w14:textId="2686D2B3" w:rsidR="00990974" w:rsidRDefault="00990974" w:rsidP="00BD36FC">
      <w:pPr>
        <w:tabs>
          <w:tab w:val="left" w:pos="284"/>
        </w:tabs>
        <w:spacing w:line="264" w:lineRule="auto"/>
        <w:rPr>
          <w:lang w:eastAsia="cs-CZ"/>
        </w:rPr>
        <w:sectPr w:rsidR="00990974" w:rsidSect="008221D1">
          <w:headerReference w:type="even" r:id="rId21"/>
          <w:headerReference w:type="default" r:id="rId22"/>
          <w:footerReference w:type="even" r:id="rId23"/>
          <w:footerReference w:type="default" r:id="rId24"/>
          <w:headerReference w:type="first" r:id="rId25"/>
          <w:footerReference w:type="first" r:id="rId26"/>
          <w:pgSz w:w="11906" w:h="16838"/>
          <w:pgMar w:top="1400" w:right="1416" w:bottom="1134" w:left="1418" w:header="709" w:footer="709" w:gutter="0"/>
          <w:cols w:space="708"/>
          <w:docGrid w:linePitch="360"/>
        </w:sectPr>
      </w:pPr>
      <w:r w:rsidRPr="00990974">
        <w:rPr>
          <w:lang w:eastAsia="cs-CZ"/>
        </w:rPr>
        <w:t xml:space="preserve">Spotřeby tepla a elektrické energie vychází z objemu místností, které jsou VZT jednotkami větrány. Následující tabulka uvádí elektrické výkony všech jednotek po jednotlivých strojovnách. </w:t>
      </w:r>
    </w:p>
    <w:p w14:paraId="525DBBD2" w14:textId="097A5CBC" w:rsidR="00990974" w:rsidRDefault="00990974" w:rsidP="00BD36FC">
      <w:pPr>
        <w:pStyle w:val="Caption"/>
        <w:keepNext/>
      </w:pPr>
      <w:r>
        <w:lastRenderedPageBreak/>
        <w:t xml:space="preserve">Tabulka </w:t>
      </w:r>
      <w:r w:rsidR="00000000">
        <w:fldChar w:fldCharType="begin"/>
      </w:r>
      <w:r w:rsidR="00000000">
        <w:instrText xml:space="preserve"> SEQ Tabulka \* ARABIC </w:instrText>
      </w:r>
      <w:r w:rsidR="00000000">
        <w:fldChar w:fldCharType="separate"/>
      </w:r>
      <w:r w:rsidR="009C5A6B">
        <w:rPr>
          <w:noProof/>
        </w:rPr>
        <w:t>7</w:t>
      </w:r>
      <w:r w:rsidR="00000000">
        <w:rPr>
          <w:noProof/>
        </w:rPr>
        <w:fldChar w:fldCharType="end"/>
      </w:r>
      <w:r>
        <w:t xml:space="preserve"> Parametry VZT jednotek – objekt 002</w:t>
      </w:r>
    </w:p>
    <w:p w14:paraId="71A8EBE4" w14:textId="77777777" w:rsidR="00990974" w:rsidRDefault="00990974" w:rsidP="00BD36FC">
      <w:pPr>
        <w:spacing w:before="0"/>
        <w:jc w:val="left"/>
        <w:rPr>
          <w:lang w:eastAsia="cs-CZ"/>
        </w:rPr>
      </w:pPr>
      <w:r>
        <w:rPr>
          <w:noProof/>
        </w:rPr>
        <w:drawing>
          <wp:inline distT="0" distB="0" distL="0" distR="0" wp14:anchorId="26CC2412" wp14:editId="7088A590">
            <wp:extent cx="9096375" cy="4933950"/>
            <wp:effectExtent l="0" t="0" r="9525" b="0"/>
            <wp:docPr id="9" name="Obrázek 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ůl&#10;&#10;Popis byl vytvořen automaticky"/>
                    <pic:cNvPicPr/>
                  </pic:nvPicPr>
                  <pic:blipFill>
                    <a:blip r:embed="rId27"/>
                    <a:stretch>
                      <a:fillRect/>
                    </a:stretch>
                  </pic:blipFill>
                  <pic:spPr>
                    <a:xfrm>
                      <a:off x="0" y="0"/>
                      <a:ext cx="9096375" cy="4933950"/>
                    </a:xfrm>
                    <a:prstGeom prst="rect">
                      <a:avLst/>
                    </a:prstGeom>
                  </pic:spPr>
                </pic:pic>
              </a:graphicData>
            </a:graphic>
          </wp:inline>
        </w:drawing>
      </w:r>
    </w:p>
    <w:p w14:paraId="0CFCCA99" w14:textId="77777777" w:rsidR="00990974" w:rsidRDefault="00990974" w:rsidP="00BD36FC">
      <w:pPr>
        <w:spacing w:before="0"/>
        <w:jc w:val="left"/>
        <w:rPr>
          <w:lang w:eastAsia="cs-CZ"/>
        </w:rPr>
      </w:pPr>
      <w:r>
        <w:rPr>
          <w:noProof/>
        </w:rPr>
        <w:lastRenderedPageBreak/>
        <w:drawing>
          <wp:inline distT="0" distB="0" distL="0" distR="0" wp14:anchorId="2825952C" wp14:editId="31446978">
            <wp:extent cx="9124950" cy="2118360"/>
            <wp:effectExtent l="0" t="0" r="0" b="0"/>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28"/>
                    <a:stretch>
                      <a:fillRect/>
                    </a:stretch>
                  </pic:blipFill>
                  <pic:spPr>
                    <a:xfrm>
                      <a:off x="0" y="0"/>
                      <a:ext cx="9124950" cy="2118360"/>
                    </a:xfrm>
                    <a:prstGeom prst="rect">
                      <a:avLst/>
                    </a:prstGeom>
                  </pic:spPr>
                </pic:pic>
              </a:graphicData>
            </a:graphic>
          </wp:inline>
        </w:drawing>
      </w:r>
    </w:p>
    <w:p w14:paraId="4CBF2E62" w14:textId="77777777" w:rsidR="00990974" w:rsidRDefault="00990974" w:rsidP="00BD36FC">
      <w:pPr>
        <w:spacing w:before="0"/>
        <w:jc w:val="left"/>
        <w:rPr>
          <w:lang w:eastAsia="cs-CZ"/>
        </w:rPr>
      </w:pPr>
    </w:p>
    <w:p w14:paraId="581AC511" w14:textId="77777777" w:rsidR="00990974" w:rsidRDefault="00990974" w:rsidP="00BD36FC">
      <w:pPr>
        <w:spacing w:before="0"/>
        <w:jc w:val="left"/>
        <w:rPr>
          <w:lang w:eastAsia="cs-CZ"/>
        </w:rPr>
      </w:pPr>
      <w:r>
        <w:rPr>
          <w:noProof/>
        </w:rPr>
        <w:drawing>
          <wp:inline distT="0" distB="0" distL="0" distR="0" wp14:anchorId="6DDAF949" wp14:editId="5239A29D">
            <wp:extent cx="9134475" cy="3400425"/>
            <wp:effectExtent l="0" t="0" r="9525" b="9525"/>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29"/>
                    <a:stretch>
                      <a:fillRect/>
                    </a:stretch>
                  </pic:blipFill>
                  <pic:spPr>
                    <a:xfrm>
                      <a:off x="0" y="0"/>
                      <a:ext cx="9134475" cy="3400425"/>
                    </a:xfrm>
                    <a:prstGeom prst="rect">
                      <a:avLst/>
                    </a:prstGeom>
                  </pic:spPr>
                </pic:pic>
              </a:graphicData>
            </a:graphic>
          </wp:inline>
        </w:drawing>
      </w:r>
    </w:p>
    <w:p w14:paraId="42B36160" w14:textId="77777777" w:rsidR="00990974" w:rsidRDefault="00990974" w:rsidP="00BD36FC">
      <w:pPr>
        <w:spacing w:before="0"/>
        <w:jc w:val="left"/>
        <w:rPr>
          <w:lang w:eastAsia="cs-CZ"/>
        </w:rPr>
      </w:pPr>
      <w:r>
        <w:rPr>
          <w:noProof/>
        </w:rPr>
        <w:lastRenderedPageBreak/>
        <w:drawing>
          <wp:inline distT="0" distB="0" distL="0" distR="0" wp14:anchorId="55E7399D" wp14:editId="4C29FD10">
            <wp:extent cx="9191625" cy="5709285"/>
            <wp:effectExtent l="0" t="0" r="9525" b="5715"/>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30"/>
                    <a:stretch>
                      <a:fillRect/>
                    </a:stretch>
                  </pic:blipFill>
                  <pic:spPr>
                    <a:xfrm>
                      <a:off x="0" y="0"/>
                      <a:ext cx="9191625" cy="5709285"/>
                    </a:xfrm>
                    <a:prstGeom prst="rect">
                      <a:avLst/>
                    </a:prstGeom>
                  </pic:spPr>
                </pic:pic>
              </a:graphicData>
            </a:graphic>
          </wp:inline>
        </w:drawing>
      </w:r>
    </w:p>
    <w:p w14:paraId="204E6F9A" w14:textId="77777777" w:rsidR="00990974" w:rsidRDefault="00990974" w:rsidP="00BD36FC">
      <w:pPr>
        <w:spacing w:before="0"/>
        <w:jc w:val="left"/>
        <w:rPr>
          <w:lang w:eastAsia="cs-CZ"/>
        </w:rPr>
      </w:pPr>
      <w:r>
        <w:rPr>
          <w:noProof/>
        </w:rPr>
        <w:lastRenderedPageBreak/>
        <w:drawing>
          <wp:inline distT="0" distB="0" distL="0" distR="0" wp14:anchorId="48BF1E8C" wp14:editId="14A0445B">
            <wp:extent cx="9172575" cy="1290955"/>
            <wp:effectExtent l="0" t="0" r="9525" b="4445"/>
            <wp:docPr id="13" name="Obrázek 1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tůl&#10;&#10;Popis byl vytvořen automaticky"/>
                    <pic:cNvPicPr/>
                  </pic:nvPicPr>
                  <pic:blipFill>
                    <a:blip r:embed="rId31"/>
                    <a:stretch>
                      <a:fillRect/>
                    </a:stretch>
                  </pic:blipFill>
                  <pic:spPr>
                    <a:xfrm>
                      <a:off x="0" y="0"/>
                      <a:ext cx="9172575" cy="1290955"/>
                    </a:xfrm>
                    <a:prstGeom prst="rect">
                      <a:avLst/>
                    </a:prstGeom>
                  </pic:spPr>
                </pic:pic>
              </a:graphicData>
            </a:graphic>
          </wp:inline>
        </w:drawing>
      </w:r>
    </w:p>
    <w:p w14:paraId="54BCCAFD" w14:textId="77777777" w:rsidR="00990974" w:rsidRDefault="00990974" w:rsidP="00BD36FC">
      <w:pPr>
        <w:spacing w:before="0"/>
        <w:jc w:val="left"/>
        <w:rPr>
          <w:lang w:eastAsia="cs-CZ"/>
        </w:rPr>
      </w:pPr>
    </w:p>
    <w:p w14:paraId="3B7A02B4" w14:textId="5FAD93F6" w:rsidR="00990974" w:rsidRDefault="00990974" w:rsidP="00BD36FC">
      <w:pPr>
        <w:pStyle w:val="Caption"/>
        <w:keepNext/>
      </w:pPr>
      <w:r>
        <w:t xml:space="preserve">Tabulka </w:t>
      </w:r>
      <w:r w:rsidR="00000000">
        <w:fldChar w:fldCharType="begin"/>
      </w:r>
      <w:r w:rsidR="00000000">
        <w:instrText xml:space="preserve"> SEQ Tabulka \* ARABIC </w:instrText>
      </w:r>
      <w:r w:rsidR="00000000">
        <w:fldChar w:fldCharType="separate"/>
      </w:r>
      <w:r w:rsidR="009C5A6B">
        <w:rPr>
          <w:noProof/>
        </w:rPr>
        <w:t>8</w:t>
      </w:r>
      <w:r w:rsidR="00000000">
        <w:rPr>
          <w:noProof/>
        </w:rPr>
        <w:fldChar w:fldCharType="end"/>
      </w:r>
      <w:r>
        <w:t xml:space="preserve"> Parametry VZT jednotek – objekt 003</w:t>
      </w:r>
    </w:p>
    <w:p w14:paraId="14C9DD74" w14:textId="77777777" w:rsidR="00990974" w:rsidRDefault="00990974" w:rsidP="00BD36FC">
      <w:pPr>
        <w:pStyle w:val="Caption"/>
        <w:keepNext/>
        <w:rPr>
          <w:lang w:eastAsia="cs-CZ"/>
        </w:rPr>
      </w:pPr>
      <w:r>
        <w:rPr>
          <w:noProof/>
        </w:rPr>
        <w:drawing>
          <wp:inline distT="0" distB="0" distL="0" distR="0" wp14:anchorId="62D74FF4" wp14:editId="125B6DDA">
            <wp:extent cx="9191625" cy="3648075"/>
            <wp:effectExtent l="0" t="0" r="9525" b="9525"/>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a:blip r:embed="rId32"/>
                    <a:stretch>
                      <a:fillRect/>
                    </a:stretch>
                  </pic:blipFill>
                  <pic:spPr>
                    <a:xfrm>
                      <a:off x="0" y="0"/>
                      <a:ext cx="9197121" cy="3650256"/>
                    </a:xfrm>
                    <a:prstGeom prst="rect">
                      <a:avLst/>
                    </a:prstGeom>
                  </pic:spPr>
                </pic:pic>
              </a:graphicData>
            </a:graphic>
          </wp:inline>
        </w:drawing>
      </w:r>
    </w:p>
    <w:p w14:paraId="295EEA81" w14:textId="77777777" w:rsidR="00990974" w:rsidRDefault="00990974" w:rsidP="00BD36FC">
      <w:pPr>
        <w:rPr>
          <w:lang w:eastAsia="cs-CZ"/>
        </w:rPr>
      </w:pPr>
    </w:p>
    <w:p w14:paraId="1AB26CB5" w14:textId="1B003075" w:rsidR="00990974" w:rsidRDefault="00F57F1D" w:rsidP="00BD36FC">
      <w:pPr>
        <w:rPr>
          <w:lang w:eastAsia="cs-CZ"/>
        </w:rPr>
      </w:pPr>
      <w:r>
        <w:rPr>
          <w:noProof/>
        </w:rPr>
        <w:lastRenderedPageBreak/>
        <w:drawing>
          <wp:inline distT="0" distB="0" distL="0" distR="0" wp14:anchorId="7E62FEAC" wp14:editId="37C21B97">
            <wp:extent cx="9210675" cy="4514850"/>
            <wp:effectExtent l="0" t="0" r="9525" b="0"/>
            <wp:docPr id="17" name="Obrázek 1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stůl&#10;&#10;Popis byl vytvořen automaticky"/>
                    <pic:cNvPicPr/>
                  </pic:nvPicPr>
                  <pic:blipFill>
                    <a:blip r:embed="rId33"/>
                    <a:stretch>
                      <a:fillRect/>
                    </a:stretch>
                  </pic:blipFill>
                  <pic:spPr>
                    <a:xfrm>
                      <a:off x="0" y="0"/>
                      <a:ext cx="9210675" cy="4514850"/>
                    </a:xfrm>
                    <a:prstGeom prst="rect">
                      <a:avLst/>
                    </a:prstGeom>
                  </pic:spPr>
                </pic:pic>
              </a:graphicData>
            </a:graphic>
          </wp:inline>
        </w:drawing>
      </w:r>
    </w:p>
    <w:p w14:paraId="714FAF20" w14:textId="4200E734" w:rsidR="00F57F1D" w:rsidRDefault="00F57F1D" w:rsidP="00BD36FC">
      <w:pPr>
        <w:rPr>
          <w:lang w:eastAsia="cs-CZ"/>
        </w:rPr>
      </w:pPr>
      <w:r>
        <w:rPr>
          <w:noProof/>
        </w:rPr>
        <w:drawing>
          <wp:inline distT="0" distB="0" distL="0" distR="0" wp14:anchorId="06076805" wp14:editId="205D9A9B">
            <wp:extent cx="9201150" cy="59499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01150" cy="594995"/>
                    </a:xfrm>
                    <a:prstGeom prst="rect">
                      <a:avLst/>
                    </a:prstGeom>
                  </pic:spPr>
                </pic:pic>
              </a:graphicData>
            </a:graphic>
          </wp:inline>
        </w:drawing>
      </w:r>
    </w:p>
    <w:p w14:paraId="41035736" w14:textId="3FC4B1E4" w:rsidR="00F57F1D" w:rsidRDefault="00F57F1D" w:rsidP="00BD36FC">
      <w:pPr>
        <w:rPr>
          <w:lang w:eastAsia="cs-CZ"/>
        </w:rPr>
      </w:pPr>
      <w:r>
        <w:rPr>
          <w:noProof/>
        </w:rPr>
        <w:lastRenderedPageBreak/>
        <w:drawing>
          <wp:inline distT="0" distB="0" distL="0" distR="0" wp14:anchorId="6C44AC8E" wp14:editId="5FE7195B">
            <wp:extent cx="9191625" cy="4926965"/>
            <wp:effectExtent l="0" t="0" r="9525" b="6985"/>
            <wp:docPr id="22" name="Obrázek 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stůl&#10;&#10;Popis byl vytvořen automaticky"/>
                    <pic:cNvPicPr/>
                  </pic:nvPicPr>
                  <pic:blipFill>
                    <a:blip r:embed="rId35"/>
                    <a:stretch>
                      <a:fillRect/>
                    </a:stretch>
                  </pic:blipFill>
                  <pic:spPr>
                    <a:xfrm>
                      <a:off x="0" y="0"/>
                      <a:ext cx="9191625" cy="4926965"/>
                    </a:xfrm>
                    <a:prstGeom prst="rect">
                      <a:avLst/>
                    </a:prstGeom>
                  </pic:spPr>
                </pic:pic>
              </a:graphicData>
            </a:graphic>
          </wp:inline>
        </w:drawing>
      </w:r>
    </w:p>
    <w:p w14:paraId="77E95F00" w14:textId="146187FD" w:rsidR="00F57F1D" w:rsidRDefault="00F57F1D" w:rsidP="00BD36FC">
      <w:pPr>
        <w:spacing w:before="0"/>
        <w:jc w:val="left"/>
        <w:rPr>
          <w:lang w:eastAsia="cs-CZ"/>
        </w:rPr>
      </w:pPr>
      <w:r>
        <w:rPr>
          <w:lang w:eastAsia="cs-CZ"/>
        </w:rPr>
        <w:br w:type="page"/>
      </w:r>
    </w:p>
    <w:p w14:paraId="7CAAA9A8" w14:textId="0ED74921" w:rsidR="00F57F1D" w:rsidRDefault="00F57F1D" w:rsidP="00BD36FC">
      <w:pPr>
        <w:rPr>
          <w:lang w:eastAsia="cs-CZ"/>
        </w:rPr>
      </w:pPr>
      <w:r>
        <w:rPr>
          <w:noProof/>
        </w:rPr>
        <w:lastRenderedPageBreak/>
        <w:drawing>
          <wp:inline distT="0" distB="0" distL="0" distR="0" wp14:anchorId="741D3567" wp14:editId="303A0309">
            <wp:extent cx="9220200" cy="5695950"/>
            <wp:effectExtent l="0" t="0" r="0" b="0"/>
            <wp:docPr id="23" name="Obrázek 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tůl&#10;&#10;Popis byl vytvořen automaticky"/>
                    <pic:cNvPicPr/>
                  </pic:nvPicPr>
                  <pic:blipFill>
                    <a:blip r:embed="rId36"/>
                    <a:stretch>
                      <a:fillRect/>
                    </a:stretch>
                  </pic:blipFill>
                  <pic:spPr>
                    <a:xfrm>
                      <a:off x="0" y="0"/>
                      <a:ext cx="9220200" cy="5695950"/>
                    </a:xfrm>
                    <a:prstGeom prst="rect">
                      <a:avLst/>
                    </a:prstGeom>
                  </pic:spPr>
                </pic:pic>
              </a:graphicData>
            </a:graphic>
          </wp:inline>
        </w:drawing>
      </w:r>
    </w:p>
    <w:p w14:paraId="26EB6E03" w14:textId="5BE3F9CE" w:rsidR="00F57F1D" w:rsidRDefault="00F57F1D" w:rsidP="00BD36FC">
      <w:pPr>
        <w:rPr>
          <w:lang w:eastAsia="cs-CZ"/>
        </w:rPr>
      </w:pPr>
      <w:r>
        <w:rPr>
          <w:noProof/>
        </w:rPr>
        <w:lastRenderedPageBreak/>
        <w:drawing>
          <wp:inline distT="0" distB="0" distL="0" distR="0" wp14:anchorId="0606FC3A" wp14:editId="1319B290">
            <wp:extent cx="9182100" cy="2743200"/>
            <wp:effectExtent l="0" t="0" r="0" b="0"/>
            <wp:docPr id="24" name="Obrázek 2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stůl&#10;&#10;Popis byl vytvořen automaticky"/>
                    <pic:cNvPicPr/>
                  </pic:nvPicPr>
                  <pic:blipFill>
                    <a:blip r:embed="rId37"/>
                    <a:stretch>
                      <a:fillRect/>
                    </a:stretch>
                  </pic:blipFill>
                  <pic:spPr>
                    <a:xfrm>
                      <a:off x="0" y="0"/>
                      <a:ext cx="9182100" cy="2743200"/>
                    </a:xfrm>
                    <a:prstGeom prst="rect">
                      <a:avLst/>
                    </a:prstGeom>
                  </pic:spPr>
                </pic:pic>
              </a:graphicData>
            </a:graphic>
          </wp:inline>
        </w:drawing>
      </w:r>
    </w:p>
    <w:p w14:paraId="1607CB2E" w14:textId="77777777" w:rsidR="00F57F1D" w:rsidRDefault="00F57F1D" w:rsidP="00BD36FC">
      <w:pPr>
        <w:pStyle w:val="Caption"/>
        <w:keepNext/>
      </w:pPr>
    </w:p>
    <w:p w14:paraId="59CD9FBF" w14:textId="2E44A4CB" w:rsidR="00F57F1D" w:rsidRDefault="00F57F1D" w:rsidP="00BD36FC">
      <w:pPr>
        <w:pStyle w:val="Caption"/>
        <w:keepNext/>
      </w:pPr>
      <w:r>
        <w:t xml:space="preserve">Tabulka </w:t>
      </w:r>
      <w:r w:rsidR="00000000">
        <w:fldChar w:fldCharType="begin"/>
      </w:r>
      <w:r w:rsidR="00000000">
        <w:instrText xml:space="preserve"> SEQ Tabulka \* ARABIC </w:instrText>
      </w:r>
      <w:r w:rsidR="00000000">
        <w:fldChar w:fldCharType="separate"/>
      </w:r>
      <w:r w:rsidR="009C5A6B">
        <w:rPr>
          <w:noProof/>
        </w:rPr>
        <w:t>9</w:t>
      </w:r>
      <w:r w:rsidR="00000000">
        <w:rPr>
          <w:noProof/>
        </w:rPr>
        <w:fldChar w:fldCharType="end"/>
      </w:r>
      <w:r>
        <w:t xml:space="preserve"> Parametry VZT jednotek – objekt 004</w:t>
      </w:r>
    </w:p>
    <w:p w14:paraId="4591FB18" w14:textId="12DC25BA" w:rsidR="00F57F1D" w:rsidRPr="00F57F1D" w:rsidRDefault="00F57F1D" w:rsidP="00BD36FC">
      <w:r>
        <w:rPr>
          <w:noProof/>
        </w:rPr>
        <w:drawing>
          <wp:inline distT="0" distB="0" distL="0" distR="0" wp14:anchorId="22A01AD4" wp14:editId="1BC31520">
            <wp:extent cx="9144000" cy="1790700"/>
            <wp:effectExtent l="0" t="0" r="0" b="0"/>
            <wp:docPr id="25" name="Obrázek 2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ůl&#10;&#10;Popis byl vytvořen automaticky"/>
                    <pic:cNvPicPr/>
                  </pic:nvPicPr>
                  <pic:blipFill>
                    <a:blip r:embed="rId38"/>
                    <a:stretch>
                      <a:fillRect/>
                    </a:stretch>
                  </pic:blipFill>
                  <pic:spPr>
                    <a:xfrm>
                      <a:off x="0" y="0"/>
                      <a:ext cx="9144000" cy="1790700"/>
                    </a:xfrm>
                    <a:prstGeom prst="rect">
                      <a:avLst/>
                    </a:prstGeom>
                  </pic:spPr>
                </pic:pic>
              </a:graphicData>
            </a:graphic>
          </wp:inline>
        </w:drawing>
      </w:r>
    </w:p>
    <w:p w14:paraId="53F33637" w14:textId="1AD57880" w:rsidR="00F57F1D" w:rsidRDefault="00F57F1D" w:rsidP="00BD36FC">
      <w:pPr>
        <w:rPr>
          <w:lang w:eastAsia="cs-CZ"/>
        </w:rPr>
      </w:pPr>
      <w:r>
        <w:rPr>
          <w:noProof/>
        </w:rPr>
        <w:drawing>
          <wp:inline distT="0" distB="0" distL="0" distR="0" wp14:anchorId="0A7C7E07" wp14:editId="2AF31726">
            <wp:extent cx="9134475" cy="4667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34475" cy="466725"/>
                    </a:xfrm>
                    <a:prstGeom prst="rect">
                      <a:avLst/>
                    </a:prstGeom>
                  </pic:spPr>
                </pic:pic>
              </a:graphicData>
            </a:graphic>
          </wp:inline>
        </w:drawing>
      </w:r>
    </w:p>
    <w:p w14:paraId="755EF41E" w14:textId="767B7CA4" w:rsidR="00F57F1D" w:rsidRDefault="00F57F1D" w:rsidP="00BD36FC">
      <w:pPr>
        <w:rPr>
          <w:lang w:eastAsia="cs-CZ"/>
        </w:rPr>
      </w:pPr>
      <w:r>
        <w:rPr>
          <w:noProof/>
        </w:rPr>
        <w:lastRenderedPageBreak/>
        <w:drawing>
          <wp:inline distT="0" distB="0" distL="0" distR="0" wp14:anchorId="2E176D29" wp14:editId="5EA07A44">
            <wp:extent cx="9220200" cy="3905250"/>
            <wp:effectExtent l="0" t="0" r="0" b="0"/>
            <wp:docPr id="27" name="Obrázek 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ůl&#10;&#10;Popis byl vytvořen automaticky"/>
                    <pic:cNvPicPr/>
                  </pic:nvPicPr>
                  <pic:blipFill>
                    <a:blip r:embed="rId40"/>
                    <a:stretch>
                      <a:fillRect/>
                    </a:stretch>
                  </pic:blipFill>
                  <pic:spPr>
                    <a:xfrm>
                      <a:off x="0" y="0"/>
                      <a:ext cx="9220200" cy="3905250"/>
                    </a:xfrm>
                    <a:prstGeom prst="rect">
                      <a:avLst/>
                    </a:prstGeom>
                  </pic:spPr>
                </pic:pic>
              </a:graphicData>
            </a:graphic>
          </wp:inline>
        </w:drawing>
      </w:r>
    </w:p>
    <w:p w14:paraId="7A69A998" w14:textId="77777777" w:rsidR="00F57F1D" w:rsidRDefault="00F57F1D" w:rsidP="00BD36FC">
      <w:pPr>
        <w:spacing w:before="0"/>
        <w:jc w:val="left"/>
        <w:rPr>
          <w:lang w:eastAsia="cs-CZ"/>
        </w:rPr>
      </w:pPr>
      <w:r>
        <w:rPr>
          <w:lang w:eastAsia="cs-CZ"/>
        </w:rPr>
        <w:br w:type="page"/>
      </w:r>
    </w:p>
    <w:p w14:paraId="1716E15D" w14:textId="122525D6" w:rsidR="00F57F1D" w:rsidRDefault="00F57F1D" w:rsidP="00BD36FC">
      <w:pPr>
        <w:pStyle w:val="Caption"/>
        <w:keepNext/>
      </w:pPr>
      <w:r>
        <w:lastRenderedPageBreak/>
        <w:t xml:space="preserve">Tabulka </w:t>
      </w:r>
      <w:r w:rsidR="00000000">
        <w:fldChar w:fldCharType="begin"/>
      </w:r>
      <w:r w:rsidR="00000000">
        <w:instrText xml:space="preserve"> SEQ Tabulka \* ARABIC </w:instrText>
      </w:r>
      <w:r w:rsidR="00000000">
        <w:fldChar w:fldCharType="separate"/>
      </w:r>
      <w:r w:rsidR="009C5A6B">
        <w:rPr>
          <w:noProof/>
        </w:rPr>
        <w:t>10</w:t>
      </w:r>
      <w:r w:rsidR="00000000">
        <w:rPr>
          <w:noProof/>
        </w:rPr>
        <w:fldChar w:fldCharType="end"/>
      </w:r>
      <w:r>
        <w:t xml:space="preserve"> Parametry VZT jednotek – objekt 005</w:t>
      </w:r>
    </w:p>
    <w:p w14:paraId="65378EAB" w14:textId="3C0EE160" w:rsidR="00F57F1D" w:rsidRDefault="00F57F1D" w:rsidP="00BD36FC">
      <w:r>
        <w:rPr>
          <w:noProof/>
        </w:rPr>
        <w:drawing>
          <wp:inline distT="0" distB="0" distL="0" distR="0" wp14:anchorId="1F623A4B" wp14:editId="775A0F1C">
            <wp:extent cx="9210675" cy="3257550"/>
            <wp:effectExtent l="0" t="0" r="9525" b="0"/>
            <wp:docPr id="28" name="Obrázek 2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stůl&#10;&#10;Popis byl vytvořen automaticky"/>
                    <pic:cNvPicPr/>
                  </pic:nvPicPr>
                  <pic:blipFill>
                    <a:blip r:embed="rId41"/>
                    <a:stretch>
                      <a:fillRect/>
                    </a:stretch>
                  </pic:blipFill>
                  <pic:spPr>
                    <a:xfrm>
                      <a:off x="0" y="0"/>
                      <a:ext cx="9210675" cy="3257550"/>
                    </a:xfrm>
                    <a:prstGeom prst="rect">
                      <a:avLst/>
                    </a:prstGeom>
                  </pic:spPr>
                </pic:pic>
              </a:graphicData>
            </a:graphic>
          </wp:inline>
        </w:drawing>
      </w:r>
    </w:p>
    <w:p w14:paraId="7DC58257" w14:textId="77777777" w:rsidR="00F57F1D" w:rsidRDefault="00F57F1D" w:rsidP="00BD36FC">
      <w:pPr>
        <w:spacing w:before="0"/>
        <w:jc w:val="left"/>
        <w:rPr>
          <w:lang w:eastAsia="cs-CZ"/>
        </w:rPr>
      </w:pPr>
      <w:r>
        <w:rPr>
          <w:noProof/>
        </w:rPr>
        <w:drawing>
          <wp:inline distT="0" distB="0" distL="0" distR="0" wp14:anchorId="2F346ED6" wp14:editId="2C17F172">
            <wp:extent cx="9201150" cy="1704975"/>
            <wp:effectExtent l="0" t="0" r="0" b="9525"/>
            <wp:docPr id="29" name="Obrázek 2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stůl&#10;&#10;Popis byl vytvořen automaticky"/>
                    <pic:cNvPicPr/>
                  </pic:nvPicPr>
                  <pic:blipFill>
                    <a:blip r:embed="rId42"/>
                    <a:stretch>
                      <a:fillRect/>
                    </a:stretch>
                  </pic:blipFill>
                  <pic:spPr>
                    <a:xfrm>
                      <a:off x="0" y="0"/>
                      <a:ext cx="9201150" cy="1704975"/>
                    </a:xfrm>
                    <a:prstGeom prst="rect">
                      <a:avLst/>
                    </a:prstGeom>
                  </pic:spPr>
                </pic:pic>
              </a:graphicData>
            </a:graphic>
          </wp:inline>
        </w:drawing>
      </w:r>
    </w:p>
    <w:p w14:paraId="5CBCD3B5" w14:textId="77777777" w:rsidR="00F57F1D" w:rsidRDefault="00F57F1D" w:rsidP="00BD36FC">
      <w:pPr>
        <w:spacing w:before="0"/>
        <w:jc w:val="left"/>
        <w:rPr>
          <w:lang w:eastAsia="cs-CZ"/>
        </w:rPr>
      </w:pPr>
      <w:r>
        <w:rPr>
          <w:lang w:eastAsia="cs-CZ"/>
        </w:rPr>
        <w:br w:type="page"/>
      </w:r>
    </w:p>
    <w:p w14:paraId="2969A09D" w14:textId="160D9010" w:rsidR="00F57F1D" w:rsidRDefault="00F57F1D" w:rsidP="00BD36FC">
      <w:pPr>
        <w:spacing w:before="0"/>
        <w:jc w:val="left"/>
        <w:rPr>
          <w:lang w:eastAsia="cs-CZ"/>
        </w:rPr>
      </w:pPr>
      <w:r>
        <w:rPr>
          <w:noProof/>
        </w:rPr>
        <w:lastRenderedPageBreak/>
        <w:drawing>
          <wp:inline distT="0" distB="0" distL="0" distR="0" wp14:anchorId="4CE4DE6C" wp14:editId="14228518">
            <wp:extent cx="9172575" cy="3752850"/>
            <wp:effectExtent l="0" t="0" r="9525" b="0"/>
            <wp:docPr id="30" name="Obrázek 3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stůl&#10;&#10;Popis byl vytvořen automaticky"/>
                    <pic:cNvPicPr/>
                  </pic:nvPicPr>
                  <pic:blipFill>
                    <a:blip r:embed="rId43"/>
                    <a:stretch>
                      <a:fillRect/>
                    </a:stretch>
                  </pic:blipFill>
                  <pic:spPr>
                    <a:xfrm>
                      <a:off x="0" y="0"/>
                      <a:ext cx="9172575" cy="3752850"/>
                    </a:xfrm>
                    <a:prstGeom prst="rect">
                      <a:avLst/>
                    </a:prstGeom>
                  </pic:spPr>
                </pic:pic>
              </a:graphicData>
            </a:graphic>
          </wp:inline>
        </w:drawing>
      </w:r>
    </w:p>
    <w:p w14:paraId="215C7488" w14:textId="77777777" w:rsidR="00F57F1D" w:rsidRDefault="00F57F1D" w:rsidP="00BD36FC">
      <w:pPr>
        <w:spacing w:before="0"/>
        <w:jc w:val="left"/>
        <w:rPr>
          <w:lang w:eastAsia="cs-CZ"/>
        </w:rPr>
      </w:pPr>
      <w:r>
        <w:rPr>
          <w:lang w:eastAsia="cs-CZ"/>
        </w:rPr>
        <w:br w:type="page"/>
      </w:r>
    </w:p>
    <w:p w14:paraId="37A37D60" w14:textId="1AB5FFE7" w:rsidR="00F57F1D" w:rsidRDefault="00F57F1D" w:rsidP="00BD36FC">
      <w:pPr>
        <w:spacing w:before="0"/>
        <w:jc w:val="left"/>
        <w:rPr>
          <w:lang w:eastAsia="cs-CZ"/>
        </w:rPr>
      </w:pPr>
      <w:r>
        <w:rPr>
          <w:noProof/>
        </w:rPr>
        <w:lastRenderedPageBreak/>
        <w:drawing>
          <wp:inline distT="0" distB="0" distL="0" distR="0" wp14:anchorId="5326F119" wp14:editId="479EC4A7">
            <wp:extent cx="9210675" cy="5553075"/>
            <wp:effectExtent l="0" t="0" r="9525" b="9525"/>
            <wp:docPr id="31" name="Obrázek 3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stůl&#10;&#10;Popis byl vytvořen automaticky"/>
                    <pic:cNvPicPr/>
                  </pic:nvPicPr>
                  <pic:blipFill>
                    <a:blip r:embed="rId44"/>
                    <a:stretch>
                      <a:fillRect/>
                    </a:stretch>
                  </pic:blipFill>
                  <pic:spPr>
                    <a:xfrm>
                      <a:off x="0" y="0"/>
                      <a:ext cx="9210675" cy="5553075"/>
                    </a:xfrm>
                    <a:prstGeom prst="rect">
                      <a:avLst/>
                    </a:prstGeom>
                  </pic:spPr>
                </pic:pic>
              </a:graphicData>
            </a:graphic>
          </wp:inline>
        </w:drawing>
      </w:r>
    </w:p>
    <w:p w14:paraId="68A51C5F" w14:textId="77777777" w:rsidR="00F57F1D" w:rsidRDefault="00F57F1D" w:rsidP="00BD36FC">
      <w:pPr>
        <w:spacing w:before="0"/>
        <w:jc w:val="left"/>
        <w:rPr>
          <w:lang w:eastAsia="cs-CZ"/>
        </w:rPr>
      </w:pPr>
      <w:r>
        <w:rPr>
          <w:noProof/>
        </w:rPr>
        <w:lastRenderedPageBreak/>
        <w:drawing>
          <wp:inline distT="0" distB="0" distL="0" distR="0" wp14:anchorId="5382D1F0" wp14:editId="072E5459">
            <wp:extent cx="9220200" cy="1295400"/>
            <wp:effectExtent l="0" t="0" r="0" b="0"/>
            <wp:docPr id="32" name="Obrázek 3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stůl&#10;&#10;Popis byl vytvořen automaticky"/>
                    <pic:cNvPicPr/>
                  </pic:nvPicPr>
                  <pic:blipFill>
                    <a:blip r:embed="rId45"/>
                    <a:stretch>
                      <a:fillRect/>
                    </a:stretch>
                  </pic:blipFill>
                  <pic:spPr>
                    <a:xfrm>
                      <a:off x="0" y="0"/>
                      <a:ext cx="9220200" cy="1295400"/>
                    </a:xfrm>
                    <a:prstGeom prst="rect">
                      <a:avLst/>
                    </a:prstGeom>
                  </pic:spPr>
                </pic:pic>
              </a:graphicData>
            </a:graphic>
          </wp:inline>
        </w:drawing>
      </w:r>
    </w:p>
    <w:p w14:paraId="7283434E" w14:textId="77777777" w:rsidR="00F57F1D" w:rsidRDefault="00F57F1D" w:rsidP="00BD36FC">
      <w:pPr>
        <w:spacing w:before="0"/>
        <w:jc w:val="left"/>
        <w:rPr>
          <w:lang w:eastAsia="cs-CZ"/>
        </w:rPr>
      </w:pPr>
    </w:p>
    <w:p w14:paraId="0C9ECF18" w14:textId="67F409F0" w:rsidR="00F57F1D" w:rsidRDefault="00F57F1D" w:rsidP="00BD36FC">
      <w:pPr>
        <w:pStyle w:val="Caption"/>
        <w:keepNext/>
      </w:pPr>
      <w:bookmarkStart w:id="7" w:name="_Hlk83303030"/>
      <w:r>
        <w:t xml:space="preserve">Tabulka </w:t>
      </w:r>
      <w:r w:rsidR="00000000">
        <w:fldChar w:fldCharType="begin"/>
      </w:r>
      <w:r w:rsidR="00000000">
        <w:instrText xml:space="preserve"> SEQ Tabulka \* ARABIC </w:instrText>
      </w:r>
      <w:r w:rsidR="00000000">
        <w:fldChar w:fldCharType="separate"/>
      </w:r>
      <w:r w:rsidR="009C5A6B">
        <w:rPr>
          <w:noProof/>
        </w:rPr>
        <w:t>11</w:t>
      </w:r>
      <w:r w:rsidR="00000000">
        <w:rPr>
          <w:noProof/>
        </w:rPr>
        <w:fldChar w:fldCharType="end"/>
      </w:r>
      <w:r>
        <w:t xml:space="preserve"> Parametry VZT jednotek – objekt 007</w:t>
      </w:r>
    </w:p>
    <w:bookmarkEnd w:id="7"/>
    <w:p w14:paraId="54AED093" w14:textId="77777777" w:rsidR="00F57F1D" w:rsidRDefault="00F57F1D" w:rsidP="00BD36FC">
      <w:pPr>
        <w:spacing w:before="0"/>
        <w:jc w:val="left"/>
        <w:rPr>
          <w:lang w:eastAsia="cs-CZ"/>
        </w:rPr>
      </w:pPr>
      <w:r>
        <w:rPr>
          <w:noProof/>
        </w:rPr>
        <w:drawing>
          <wp:inline distT="0" distB="0" distL="0" distR="0" wp14:anchorId="5B83389F" wp14:editId="49C2F275">
            <wp:extent cx="9201150" cy="3648075"/>
            <wp:effectExtent l="0" t="0" r="0" b="9525"/>
            <wp:docPr id="33" name="Obrázek 3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stůl&#10;&#10;Popis byl vytvořen automaticky"/>
                    <pic:cNvPicPr/>
                  </pic:nvPicPr>
                  <pic:blipFill>
                    <a:blip r:embed="rId46"/>
                    <a:stretch>
                      <a:fillRect/>
                    </a:stretch>
                  </pic:blipFill>
                  <pic:spPr>
                    <a:xfrm>
                      <a:off x="0" y="0"/>
                      <a:ext cx="9201150" cy="3648075"/>
                    </a:xfrm>
                    <a:prstGeom prst="rect">
                      <a:avLst/>
                    </a:prstGeom>
                  </pic:spPr>
                </pic:pic>
              </a:graphicData>
            </a:graphic>
          </wp:inline>
        </w:drawing>
      </w:r>
    </w:p>
    <w:p w14:paraId="64D613B5" w14:textId="77777777" w:rsidR="00F57F1D" w:rsidRDefault="00F57F1D" w:rsidP="00BD36FC">
      <w:pPr>
        <w:spacing w:before="0"/>
        <w:jc w:val="left"/>
        <w:rPr>
          <w:lang w:eastAsia="cs-CZ"/>
        </w:rPr>
      </w:pPr>
      <w:r>
        <w:rPr>
          <w:lang w:eastAsia="cs-CZ"/>
        </w:rPr>
        <w:br w:type="page"/>
      </w:r>
    </w:p>
    <w:p w14:paraId="57FEC1D1" w14:textId="77777777" w:rsidR="00F57F1D" w:rsidRDefault="00F57F1D" w:rsidP="00BD36FC">
      <w:pPr>
        <w:spacing w:before="0"/>
        <w:jc w:val="left"/>
        <w:rPr>
          <w:lang w:eastAsia="cs-CZ"/>
        </w:rPr>
      </w:pPr>
      <w:r>
        <w:rPr>
          <w:noProof/>
        </w:rPr>
        <w:lastRenderedPageBreak/>
        <w:drawing>
          <wp:inline distT="0" distB="0" distL="0" distR="0" wp14:anchorId="3FDF2712" wp14:editId="10EB8420">
            <wp:extent cx="9201150" cy="10382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01150" cy="1038225"/>
                    </a:xfrm>
                    <a:prstGeom prst="rect">
                      <a:avLst/>
                    </a:prstGeom>
                  </pic:spPr>
                </pic:pic>
              </a:graphicData>
            </a:graphic>
          </wp:inline>
        </w:drawing>
      </w:r>
    </w:p>
    <w:p w14:paraId="1EFE262B" w14:textId="77777777" w:rsidR="00F57F1D" w:rsidRDefault="00F57F1D" w:rsidP="00BD36FC">
      <w:pPr>
        <w:spacing w:before="0"/>
        <w:jc w:val="left"/>
        <w:rPr>
          <w:lang w:eastAsia="cs-CZ"/>
        </w:rPr>
      </w:pPr>
      <w:r>
        <w:rPr>
          <w:noProof/>
        </w:rPr>
        <w:drawing>
          <wp:inline distT="0" distB="0" distL="0" distR="0" wp14:anchorId="5C008922" wp14:editId="40F5997E">
            <wp:extent cx="9229725" cy="1666875"/>
            <wp:effectExtent l="0" t="0" r="9525" b="9525"/>
            <wp:docPr id="35" name="Obrázek 3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stůl&#10;&#10;Popis byl vytvořen automaticky"/>
                    <pic:cNvPicPr/>
                  </pic:nvPicPr>
                  <pic:blipFill>
                    <a:blip r:embed="rId48"/>
                    <a:stretch>
                      <a:fillRect/>
                    </a:stretch>
                  </pic:blipFill>
                  <pic:spPr>
                    <a:xfrm>
                      <a:off x="0" y="0"/>
                      <a:ext cx="9229725" cy="1666875"/>
                    </a:xfrm>
                    <a:prstGeom prst="rect">
                      <a:avLst/>
                    </a:prstGeom>
                  </pic:spPr>
                </pic:pic>
              </a:graphicData>
            </a:graphic>
          </wp:inline>
        </w:drawing>
      </w:r>
    </w:p>
    <w:p w14:paraId="39019CAF" w14:textId="77777777" w:rsidR="00F57F1D" w:rsidRDefault="00F57F1D" w:rsidP="00BD36FC">
      <w:pPr>
        <w:spacing w:before="0"/>
        <w:jc w:val="left"/>
        <w:rPr>
          <w:lang w:eastAsia="cs-CZ"/>
        </w:rPr>
      </w:pPr>
      <w:r>
        <w:rPr>
          <w:noProof/>
        </w:rPr>
        <w:drawing>
          <wp:inline distT="0" distB="0" distL="0" distR="0" wp14:anchorId="192821FE" wp14:editId="3B9A7443">
            <wp:extent cx="9201150" cy="2505075"/>
            <wp:effectExtent l="0" t="0" r="0" b="9525"/>
            <wp:docPr id="36" name="Obrázek 3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stůl&#10;&#10;Popis byl vytvořen automaticky"/>
                    <pic:cNvPicPr/>
                  </pic:nvPicPr>
                  <pic:blipFill>
                    <a:blip r:embed="rId49"/>
                    <a:stretch>
                      <a:fillRect/>
                    </a:stretch>
                  </pic:blipFill>
                  <pic:spPr>
                    <a:xfrm>
                      <a:off x="0" y="0"/>
                      <a:ext cx="9201150" cy="2505075"/>
                    </a:xfrm>
                    <a:prstGeom prst="rect">
                      <a:avLst/>
                    </a:prstGeom>
                  </pic:spPr>
                </pic:pic>
              </a:graphicData>
            </a:graphic>
          </wp:inline>
        </w:drawing>
      </w:r>
    </w:p>
    <w:p w14:paraId="1A8D62D2" w14:textId="77777777" w:rsidR="00F57F1D" w:rsidRDefault="00F57F1D" w:rsidP="00BD36FC">
      <w:pPr>
        <w:spacing w:before="0"/>
        <w:jc w:val="left"/>
        <w:rPr>
          <w:lang w:eastAsia="cs-CZ"/>
        </w:rPr>
      </w:pPr>
      <w:r>
        <w:rPr>
          <w:lang w:eastAsia="cs-CZ"/>
        </w:rPr>
        <w:br w:type="page"/>
      </w:r>
    </w:p>
    <w:p w14:paraId="449D03A0" w14:textId="77777777" w:rsidR="00F57F1D" w:rsidRDefault="00F57F1D" w:rsidP="00BD36FC">
      <w:pPr>
        <w:spacing w:before="0"/>
        <w:jc w:val="left"/>
        <w:rPr>
          <w:lang w:eastAsia="cs-CZ"/>
        </w:rPr>
      </w:pPr>
      <w:r>
        <w:rPr>
          <w:noProof/>
        </w:rPr>
        <w:lastRenderedPageBreak/>
        <w:drawing>
          <wp:inline distT="0" distB="0" distL="0" distR="0" wp14:anchorId="560A20C2" wp14:editId="78C2AB3C">
            <wp:extent cx="9182100" cy="4381500"/>
            <wp:effectExtent l="0" t="0" r="0" b="0"/>
            <wp:docPr id="37" name="Obrázek 3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stůl&#10;&#10;Popis byl vytvořen automaticky"/>
                    <pic:cNvPicPr/>
                  </pic:nvPicPr>
                  <pic:blipFill>
                    <a:blip r:embed="rId50"/>
                    <a:stretch>
                      <a:fillRect/>
                    </a:stretch>
                  </pic:blipFill>
                  <pic:spPr>
                    <a:xfrm>
                      <a:off x="0" y="0"/>
                      <a:ext cx="9182100" cy="4381500"/>
                    </a:xfrm>
                    <a:prstGeom prst="rect">
                      <a:avLst/>
                    </a:prstGeom>
                  </pic:spPr>
                </pic:pic>
              </a:graphicData>
            </a:graphic>
          </wp:inline>
        </w:drawing>
      </w:r>
    </w:p>
    <w:p w14:paraId="19D3A4FF" w14:textId="77777777" w:rsidR="00F57F1D" w:rsidRPr="00F57F1D" w:rsidRDefault="00F57F1D" w:rsidP="002E2639">
      <w:pPr>
        <w:tabs>
          <w:tab w:val="left" w:pos="284"/>
        </w:tabs>
        <w:spacing w:line="264" w:lineRule="auto"/>
        <w:rPr>
          <w:lang w:eastAsia="cs-CZ"/>
        </w:rPr>
      </w:pPr>
      <w:r w:rsidRPr="00F57F1D">
        <w:rPr>
          <w:lang w:eastAsia="cs-CZ"/>
        </w:rPr>
        <w:t>Odhadovaná doba provozu VZT jednotek je 5 500 hodin/rok, regulace je automatická dle požadované teploty v místnostech, regulace průtoku vzduchu není instalována, průtok je pevně dán nastavením celého systému.</w:t>
      </w:r>
    </w:p>
    <w:p w14:paraId="5BCD8530" w14:textId="0ECC09B4" w:rsidR="00F57F1D" w:rsidRDefault="00F57F1D" w:rsidP="002E2639">
      <w:pPr>
        <w:spacing w:line="264" w:lineRule="auto"/>
        <w:jc w:val="left"/>
        <w:rPr>
          <w:lang w:eastAsia="cs-CZ"/>
        </w:rPr>
      </w:pPr>
      <w:r>
        <w:rPr>
          <w:lang w:eastAsia="cs-CZ"/>
        </w:rPr>
        <w:br w:type="page"/>
      </w:r>
    </w:p>
    <w:p w14:paraId="4476A7F9" w14:textId="77777777" w:rsidR="00F57F1D" w:rsidRPr="00990974" w:rsidRDefault="00F57F1D" w:rsidP="002E2639">
      <w:pPr>
        <w:spacing w:line="264" w:lineRule="auto"/>
        <w:rPr>
          <w:lang w:eastAsia="cs-CZ"/>
        </w:rPr>
        <w:sectPr w:rsidR="00F57F1D" w:rsidRPr="00990974" w:rsidSect="00BD36FC">
          <w:headerReference w:type="even" r:id="rId51"/>
          <w:headerReference w:type="default" r:id="rId52"/>
          <w:footerReference w:type="default" r:id="rId53"/>
          <w:headerReference w:type="first" r:id="rId54"/>
          <w:pgSz w:w="16838" w:h="11906" w:orient="landscape"/>
          <w:pgMar w:top="1639" w:right="1416" w:bottom="1276" w:left="1418" w:header="709" w:footer="709" w:gutter="0"/>
          <w:cols w:space="708"/>
          <w:docGrid w:linePitch="360"/>
        </w:sectPr>
      </w:pPr>
    </w:p>
    <w:p w14:paraId="008F378C" w14:textId="4D9C1830" w:rsidR="00F57F1D" w:rsidRDefault="00F57F1D" w:rsidP="00FE2739">
      <w:pPr>
        <w:pStyle w:val="ListParagraph"/>
        <w:numPr>
          <w:ilvl w:val="2"/>
          <w:numId w:val="5"/>
        </w:numPr>
        <w:spacing w:line="264" w:lineRule="auto"/>
        <w:ind w:left="709" w:hanging="709"/>
        <w:contextualSpacing w:val="0"/>
        <w:rPr>
          <w:b/>
          <w:bCs/>
        </w:rPr>
      </w:pPr>
      <w:r>
        <w:rPr>
          <w:b/>
          <w:bCs/>
        </w:rPr>
        <w:lastRenderedPageBreak/>
        <w:t>Osvětlení</w:t>
      </w:r>
    </w:p>
    <w:p w14:paraId="3BCC2A09" w14:textId="77777777" w:rsidR="00B05AAC" w:rsidRPr="001D67FA" w:rsidRDefault="00B05AAC" w:rsidP="00B05AAC">
      <w:pPr>
        <w:tabs>
          <w:tab w:val="left" w:pos="284"/>
        </w:tabs>
        <w:spacing w:line="264" w:lineRule="auto"/>
        <w:rPr>
          <w:lang w:eastAsia="cs-CZ"/>
        </w:rPr>
      </w:pPr>
      <w:r>
        <w:rPr>
          <w:lang w:eastAsia="cs-CZ"/>
        </w:rPr>
        <w:t>Dle zadání přílohy č. 7 ZD se počítá s výměnou celkem 15 510 ks osvětlení o osvětlené ploše 68 275,52 m</w:t>
      </w:r>
      <w:r w:rsidRPr="00B05AAC">
        <w:rPr>
          <w:vertAlign w:val="superscript"/>
          <w:lang w:eastAsia="cs-CZ"/>
        </w:rPr>
        <w:t>2</w:t>
      </w:r>
      <w:r>
        <w:rPr>
          <w:lang w:eastAsia="cs-CZ"/>
        </w:rPr>
        <w:t xml:space="preserve"> a celkového příkonu 949 671 W.</w:t>
      </w:r>
    </w:p>
    <w:p w14:paraId="227561A1" w14:textId="77777777" w:rsidR="00B05AAC" w:rsidRPr="001D67FA" w:rsidRDefault="00B05AAC" w:rsidP="00B05AAC">
      <w:pPr>
        <w:tabs>
          <w:tab w:val="left" w:pos="284"/>
        </w:tabs>
        <w:spacing w:line="264" w:lineRule="auto"/>
        <w:rPr>
          <w:lang w:eastAsia="cs-CZ"/>
        </w:rPr>
      </w:pPr>
      <w:r w:rsidRPr="001D67FA">
        <w:rPr>
          <w:lang w:eastAsia="cs-CZ"/>
        </w:rPr>
        <w:t>Osvětlení je ve stavu odpovídajícímu jeho stáří, až na výjimky však splňuje požadavky na intenzitu osvětlení.</w:t>
      </w:r>
    </w:p>
    <w:p w14:paraId="0C2F2679" w14:textId="77777777" w:rsidR="00B05AAC" w:rsidRPr="001D67FA" w:rsidRDefault="00B05AAC" w:rsidP="00B05AAC">
      <w:pPr>
        <w:tabs>
          <w:tab w:val="left" w:pos="284"/>
        </w:tabs>
        <w:spacing w:line="264" w:lineRule="auto"/>
        <w:rPr>
          <w:lang w:eastAsia="cs-CZ"/>
        </w:rPr>
      </w:pPr>
      <w:r w:rsidRPr="001D67FA">
        <w:rPr>
          <w:lang w:eastAsia="cs-CZ"/>
        </w:rPr>
        <w:t>Odhadovaná doba provozu osvětlovací soustavy je 4 400 hodin/rok, regulace je pouze ruční.</w:t>
      </w:r>
    </w:p>
    <w:p w14:paraId="205A7290" w14:textId="591F12D2" w:rsidR="001D67FA" w:rsidRDefault="001D67FA" w:rsidP="00FE2739">
      <w:pPr>
        <w:pStyle w:val="ListParagraph"/>
        <w:numPr>
          <w:ilvl w:val="2"/>
          <w:numId w:val="5"/>
        </w:numPr>
        <w:spacing w:line="264" w:lineRule="auto"/>
        <w:ind w:left="709" w:hanging="709"/>
        <w:contextualSpacing w:val="0"/>
        <w:rPr>
          <w:b/>
          <w:bCs/>
        </w:rPr>
      </w:pPr>
      <w:r>
        <w:rPr>
          <w:b/>
          <w:bCs/>
        </w:rPr>
        <w:t>Kompresory</w:t>
      </w:r>
    </w:p>
    <w:p w14:paraId="1DC71015" w14:textId="77777777" w:rsidR="001D67FA" w:rsidRPr="001D67FA" w:rsidRDefault="001D67FA" w:rsidP="002E2639">
      <w:pPr>
        <w:tabs>
          <w:tab w:val="left" w:pos="284"/>
        </w:tabs>
        <w:spacing w:line="264" w:lineRule="auto"/>
        <w:rPr>
          <w:lang w:eastAsia="cs-CZ"/>
        </w:rPr>
      </w:pPr>
      <w:r w:rsidRPr="001D67FA">
        <w:rPr>
          <w:lang w:eastAsia="cs-CZ"/>
        </w:rPr>
        <w:t xml:space="preserve">Pro výrobu stlačeného vzduchu jsou v areálu instalovány dva kompresory Atlas </w:t>
      </w:r>
      <w:proofErr w:type="spellStart"/>
      <w:r w:rsidRPr="001D67FA">
        <w:rPr>
          <w:lang w:eastAsia="cs-CZ"/>
        </w:rPr>
        <w:t>Copco</w:t>
      </w:r>
      <w:proofErr w:type="spellEnd"/>
      <w:r w:rsidRPr="001D67FA">
        <w:rPr>
          <w:lang w:eastAsia="cs-CZ"/>
        </w:rPr>
        <w:t xml:space="preserve"> GA 18 o jednotkovém elektrickém výkonu 18 kW a 2 kompresory o jednotkovém elektrickém výkonu 15 kW. Kompresory pracují zcela automaticky s vzájemnou cyklickou záměnou.</w:t>
      </w:r>
    </w:p>
    <w:p w14:paraId="78C0BBFC" w14:textId="77777777" w:rsidR="001D67FA" w:rsidRPr="001D67FA" w:rsidRDefault="001D67FA" w:rsidP="002E2639">
      <w:pPr>
        <w:tabs>
          <w:tab w:val="left" w:pos="284"/>
        </w:tabs>
        <w:spacing w:line="264" w:lineRule="auto"/>
        <w:rPr>
          <w:lang w:eastAsia="cs-CZ"/>
        </w:rPr>
      </w:pPr>
      <w:r w:rsidRPr="001D67FA">
        <w:rPr>
          <w:lang w:eastAsia="cs-CZ"/>
        </w:rPr>
        <w:t>Odhadovaná doba provozu kompresorů je 1 000 hodin/rok, regulace jejich chodu je automatická s pevně nastaveným tlakem v soustavě.</w:t>
      </w:r>
    </w:p>
    <w:p w14:paraId="2BA38E42" w14:textId="1BD9118B" w:rsidR="001D67FA" w:rsidRDefault="001D67FA" w:rsidP="00FE2739">
      <w:pPr>
        <w:pStyle w:val="ListParagraph"/>
        <w:numPr>
          <w:ilvl w:val="2"/>
          <w:numId w:val="5"/>
        </w:numPr>
        <w:spacing w:line="264" w:lineRule="auto"/>
        <w:ind w:left="709" w:hanging="709"/>
        <w:contextualSpacing w:val="0"/>
        <w:rPr>
          <w:b/>
          <w:bCs/>
        </w:rPr>
      </w:pPr>
      <w:r>
        <w:rPr>
          <w:b/>
          <w:bCs/>
        </w:rPr>
        <w:t>Spotřebiče sloužící k poskytování zdravotnické péče</w:t>
      </w:r>
    </w:p>
    <w:p w14:paraId="3748EE06" w14:textId="72802DC6" w:rsidR="001D67FA" w:rsidRPr="00AA586C" w:rsidRDefault="00AA586C" w:rsidP="002E2639">
      <w:pPr>
        <w:tabs>
          <w:tab w:val="left" w:pos="284"/>
        </w:tabs>
        <w:spacing w:line="264" w:lineRule="auto"/>
        <w:rPr>
          <w:lang w:eastAsia="cs-CZ"/>
        </w:rPr>
      </w:pPr>
      <w:r w:rsidRPr="00AA586C">
        <w:rPr>
          <w:lang w:eastAsia="cs-CZ"/>
        </w:rPr>
        <w:t>Tyto spotřebiče není reálně možné posuzovat z hlediska energetické náročnosti, ačkoli je často poměrně vysoká (např. magnetická rezonance). Zařízení slouží k poskytování zdravotnické péče a často i záchraně života. Dle informací provozovatele nemocnice je většina přístrojů ve výborném stavu.</w:t>
      </w:r>
    </w:p>
    <w:p w14:paraId="42287ACE" w14:textId="68514B15" w:rsidR="001D67FA" w:rsidRDefault="001D67FA" w:rsidP="00046D10">
      <w:pPr>
        <w:pStyle w:val="Caption"/>
        <w:keepNext/>
        <w:spacing w:before="360" w:after="0" w:line="264" w:lineRule="auto"/>
      </w:pPr>
      <w:r>
        <w:t xml:space="preserve">Tabulka </w:t>
      </w:r>
      <w:r w:rsidR="00000000">
        <w:fldChar w:fldCharType="begin"/>
      </w:r>
      <w:r w:rsidR="00000000">
        <w:instrText xml:space="preserve"> SEQ Tabulka \* ARABIC </w:instrText>
      </w:r>
      <w:r w:rsidR="00000000">
        <w:fldChar w:fldCharType="separate"/>
      </w:r>
      <w:r w:rsidR="009C5A6B">
        <w:rPr>
          <w:noProof/>
        </w:rPr>
        <w:t>12</w:t>
      </w:r>
      <w:r w:rsidR="00000000">
        <w:rPr>
          <w:noProof/>
        </w:rPr>
        <w:fldChar w:fldCharType="end"/>
      </w:r>
      <w:r>
        <w:t xml:space="preserve"> Významné spotřebiče </w:t>
      </w:r>
      <w:r w:rsidR="00AA586C">
        <w:t>energie – zdravotnické přístroje</w:t>
      </w:r>
    </w:p>
    <w:p w14:paraId="274315B2" w14:textId="3D0B69B2" w:rsidR="00033C05" w:rsidRDefault="00AA586C" w:rsidP="002E2639">
      <w:pPr>
        <w:spacing w:line="264" w:lineRule="auto"/>
        <w:jc w:val="left"/>
        <w:rPr>
          <w:lang w:eastAsia="cs-CZ"/>
        </w:rPr>
      </w:pPr>
      <w:r>
        <w:rPr>
          <w:noProof/>
        </w:rPr>
        <w:drawing>
          <wp:inline distT="0" distB="0" distL="0" distR="0" wp14:anchorId="375475F3" wp14:editId="74859FBC">
            <wp:extent cx="5709285" cy="4069080"/>
            <wp:effectExtent l="0" t="0" r="5715" b="7620"/>
            <wp:docPr id="38" name="Obrázek 3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stůl&#10;&#10;Popis byl vytvořen automaticky"/>
                    <pic:cNvPicPr/>
                  </pic:nvPicPr>
                  <pic:blipFill>
                    <a:blip r:embed="rId55"/>
                    <a:stretch>
                      <a:fillRect/>
                    </a:stretch>
                  </pic:blipFill>
                  <pic:spPr>
                    <a:xfrm>
                      <a:off x="0" y="0"/>
                      <a:ext cx="5709285" cy="4069080"/>
                    </a:xfrm>
                    <a:prstGeom prst="rect">
                      <a:avLst/>
                    </a:prstGeom>
                  </pic:spPr>
                </pic:pic>
              </a:graphicData>
            </a:graphic>
          </wp:inline>
        </w:drawing>
      </w:r>
    </w:p>
    <w:p w14:paraId="64B34618" w14:textId="77777777" w:rsidR="00894E47" w:rsidRDefault="00894E47" w:rsidP="00BD36FC">
      <w:pPr>
        <w:spacing w:before="0"/>
        <w:jc w:val="left"/>
        <w:rPr>
          <w:lang w:eastAsia="cs-CZ"/>
        </w:rPr>
      </w:pPr>
      <w:r>
        <w:rPr>
          <w:lang w:eastAsia="cs-CZ"/>
        </w:rPr>
        <w:br w:type="page"/>
      </w:r>
    </w:p>
    <w:p w14:paraId="4C94F995" w14:textId="77777777" w:rsidR="00894E47" w:rsidRPr="00F55988" w:rsidRDefault="00894E47" w:rsidP="00E41615">
      <w:pPr>
        <w:pStyle w:val="Heading2"/>
      </w:pPr>
      <w:bookmarkStart w:id="8" w:name="_Toc55480694"/>
      <w:bookmarkStart w:id="9" w:name="_Toc92199515"/>
      <w:bookmarkStart w:id="10" w:name="_Toc98513777"/>
      <w:bookmarkStart w:id="11" w:name="_Toc98514193"/>
      <w:bookmarkStart w:id="12" w:name="_Toc100673904"/>
      <w:r>
        <w:lastRenderedPageBreak/>
        <w:t xml:space="preserve">REFERENČNÍ HODNOTY vstupující do výpočtu dle Přílohy </w:t>
      </w:r>
      <w:r w:rsidRPr="00F55988">
        <w:t>č. 6</w:t>
      </w:r>
      <w:bookmarkEnd w:id="8"/>
      <w:bookmarkEnd w:id="9"/>
      <w:bookmarkEnd w:id="10"/>
      <w:bookmarkEnd w:id="11"/>
      <w:bookmarkEnd w:id="12"/>
    </w:p>
    <w:p w14:paraId="66DA2B78" w14:textId="5E9BD9FB" w:rsidR="008C05F7" w:rsidRPr="0044428C" w:rsidRDefault="00761253" w:rsidP="0044428C">
      <w:pPr>
        <w:spacing w:before="240"/>
        <w:rPr>
          <w:rFonts w:cs="Arial"/>
        </w:rPr>
      </w:pPr>
      <w:r w:rsidRPr="00BE5D9C">
        <w:rPr>
          <w:rFonts w:cs="Arial"/>
        </w:rPr>
        <w:t xml:space="preserve">Referenční hodnoty spotřeby energií uvedené v Tab.1.1 charakterizují energetickou náročnost </w:t>
      </w:r>
      <w:r w:rsidR="008A07DE">
        <w:rPr>
          <w:rFonts w:cs="Arial"/>
        </w:rPr>
        <w:t>Areál</w:t>
      </w:r>
      <w:r w:rsidR="0044428C">
        <w:rPr>
          <w:rFonts w:cs="Arial"/>
        </w:rPr>
        <w:t>u</w:t>
      </w:r>
      <w:r w:rsidRPr="00BE5D9C">
        <w:rPr>
          <w:rFonts w:cs="Arial"/>
        </w:rPr>
        <w:t xml:space="preserve"> před realizací opatření a vstupují do výpočtu úspory definovaného v Příloze č.6. Referenčním </w:t>
      </w:r>
      <w:r w:rsidR="008C05F7">
        <w:rPr>
          <w:rFonts w:cs="Arial"/>
        </w:rPr>
        <w:t>obdobím je</w:t>
      </w:r>
      <w:r w:rsidR="0044428C">
        <w:rPr>
          <w:rFonts w:cs="Arial"/>
        </w:rPr>
        <w:t xml:space="preserve"> </w:t>
      </w:r>
      <w:r w:rsidR="008C05F7" w:rsidRPr="0044428C">
        <w:rPr>
          <w:rFonts w:cs="Arial"/>
        </w:rPr>
        <w:t>rok 2019</w:t>
      </w:r>
      <w:r w:rsidR="0044428C">
        <w:rPr>
          <w:rFonts w:cs="Arial"/>
        </w:rPr>
        <w:t>.</w:t>
      </w:r>
      <w:r w:rsidR="008C05F7" w:rsidRPr="0044428C">
        <w:rPr>
          <w:rFonts w:cs="Arial"/>
        </w:rPr>
        <w:t xml:space="preserve"> </w:t>
      </w:r>
    </w:p>
    <w:p w14:paraId="16833CC6" w14:textId="42C8023D" w:rsidR="00761253" w:rsidRDefault="00761253" w:rsidP="008C05F7">
      <w:r w:rsidRPr="008C05F7">
        <w:rPr>
          <w:rFonts w:cs="Arial"/>
        </w:rPr>
        <w:t>V Tab.1.1</w:t>
      </w:r>
      <w:r w:rsidRPr="00BE5D9C">
        <w:t xml:space="preserve"> jsou rovněž definovány </w:t>
      </w:r>
      <w:r>
        <w:t>denostupně</w:t>
      </w:r>
      <w:r w:rsidRPr="00BE5D9C">
        <w:t xml:space="preserve">, při kterých bylo výše uvedených spotřeb energií dosaženo. Denostupně jsou stanoveny na základě průměrných měsíčních venkovních teplot v topných dnech a počtu topných dnů dle údajů ČHMÚ – meteorologická stanice </w:t>
      </w:r>
      <w:r>
        <w:t>Praha Ruzyně</w:t>
      </w:r>
      <w:r w:rsidRPr="00BE5D9C">
        <w:t xml:space="preserve"> při vnitřní teplotě </w:t>
      </w:r>
      <w:r w:rsidR="00985C3E">
        <w:t>19</w:t>
      </w:r>
      <w:r w:rsidRPr="00BE5D9C">
        <w:t>°C. Podrobný způsob stanovení denostupňů je uveden v Tab.1.2.</w:t>
      </w:r>
    </w:p>
    <w:p w14:paraId="43BF2782" w14:textId="77777777" w:rsidR="00761253" w:rsidRPr="009E62F1" w:rsidRDefault="00761253" w:rsidP="00BD36FC">
      <w:pPr>
        <w:spacing w:before="240"/>
        <w:rPr>
          <w:rFonts w:cs="Arial"/>
          <w:b/>
        </w:rPr>
      </w:pPr>
      <w:r w:rsidRPr="009E62F1">
        <w:rPr>
          <w:rFonts w:cs="Arial"/>
          <w:b/>
        </w:rPr>
        <w:t>Význam označení:</w:t>
      </w:r>
    </w:p>
    <w:p w14:paraId="175B8D2E" w14:textId="5C1EA315" w:rsidR="00761253" w:rsidRDefault="00761253" w:rsidP="0034652A">
      <w:pPr>
        <w:tabs>
          <w:tab w:val="left" w:pos="2268"/>
        </w:tabs>
        <w:ind w:left="1985" w:hanging="1985"/>
        <w:rPr>
          <w:rFonts w:cs="Arial"/>
        </w:rPr>
      </w:pPr>
      <w:r w:rsidRPr="009E62F1">
        <w:rPr>
          <w:rFonts w:cs="Arial"/>
          <w:b/>
        </w:rPr>
        <w:t>index „m“</w:t>
      </w:r>
      <w:r w:rsidRPr="009E62F1">
        <w:rPr>
          <w:rFonts w:cs="Arial"/>
          <w:b/>
        </w:rPr>
        <w:tab/>
      </w:r>
      <w:r w:rsidRPr="009E62F1">
        <w:rPr>
          <w:rFonts w:cs="Arial"/>
        </w:rPr>
        <w:t>hodnota platná pro daný kalendářní měsíc, „m“= označení měsíce.</w:t>
      </w:r>
    </w:p>
    <w:p w14:paraId="2E43E738" w14:textId="77777777" w:rsidR="00761253" w:rsidRDefault="00761253" w:rsidP="0034652A">
      <w:pPr>
        <w:tabs>
          <w:tab w:val="left" w:pos="2268"/>
        </w:tabs>
        <w:ind w:left="1985" w:hanging="1985"/>
        <w:rPr>
          <w:rFonts w:cs="Arial"/>
        </w:rPr>
      </w:pPr>
      <w:r w:rsidRPr="009E62F1">
        <w:rPr>
          <w:rFonts w:cs="Arial"/>
          <w:b/>
        </w:rPr>
        <w:t>index „</w:t>
      </w:r>
      <w:r>
        <w:rPr>
          <w:rFonts w:cs="Arial"/>
          <w:b/>
        </w:rPr>
        <w:t>ZO</w:t>
      </w:r>
      <w:r w:rsidRPr="009E62F1">
        <w:rPr>
          <w:rFonts w:cs="Arial"/>
          <w:b/>
        </w:rPr>
        <w:t>“</w:t>
      </w:r>
      <w:r w:rsidRPr="009E62F1">
        <w:rPr>
          <w:rFonts w:cs="Arial"/>
          <w:b/>
        </w:rPr>
        <w:tab/>
      </w:r>
      <w:r w:rsidRPr="009E62F1">
        <w:rPr>
          <w:rFonts w:cs="Arial"/>
        </w:rPr>
        <w:t xml:space="preserve">hodnota platná pro </w:t>
      </w:r>
      <w:r>
        <w:rPr>
          <w:rFonts w:cs="Arial"/>
        </w:rPr>
        <w:t>zúčtovací období</w:t>
      </w:r>
      <w:r w:rsidRPr="009E62F1">
        <w:rPr>
          <w:rFonts w:cs="Arial"/>
        </w:rPr>
        <w:t>, „</w:t>
      </w:r>
      <w:r>
        <w:rPr>
          <w:rFonts w:cs="Arial"/>
        </w:rPr>
        <w:t>ZO</w:t>
      </w:r>
      <w:r w:rsidRPr="009E62F1">
        <w:rPr>
          <w:rFonts w:cs="Arial"/>
        </w:rPr>
        <w:t xml:space="preserve">“= označení </w:t>
      </w:r>
      <w:r>
        <w:rPr>
          <w:rFonts w:cs="Arial"/>
        </w:rPr>
        <w:t>zúčtovacího období</w:t>
      </w:r>
      <w:r w:rsidRPr="009E62F1">
        <w:rPr>
          <w:rFonts w:cs="Arial"/>
        </w:rPr>
        <w:t>.</w:t>
      </w:r>
    </w:p>
    <w:p w14:paraId="7E0A0A16" w14:textId="11587605" w:rsidR="00761253" w:rsidRPr="009E62F1" w:rsidRDefault="00761253" w:rsidP="0034652A">
      <w:pPr>
        <w:tabs>
          <w:tab w:val="left" w:pos="2268"/>
        </w:tabs>
        <w:ind w:left="1985" w:hanging="1985"/>
        <w:rPr>
          <w:rFonts w:cs="Arial"/>
        </w:rPr>
      </w:pPr>
      <w:proofErr w:type="spellStart"/>
      <w:r w:rsidRPr="009E62F1">
        <w:rPr>
          <w:rFonts w:cs="Arial"/>
          <w:b/>
        </w:rPr>
        <w:t>REF_</w:t>
      </w:r>
      <w:r w:rsidR="00F14B6C">
        <w:rPr>
          <w:rFonts w:cs="Arial"/>
          <w:b/>
        </w:rPr>
        <w:t>P</w:t>
      </w:r>
      <w:r w:rsidRPr="009E62F1">
        <w:rPr>
          <w:rFonts w:cs="Arial"/>
          <w:b/>
        </w:rPr>
        <w:t>_C</w:t>
      </w:r>
      <w:r w:rsidR="00E0270F">
        <w:rPr>
          <w:rFonts w:cs="Arial"/>
          <w:b/>
          <w:vertAlign w:val="subscript"/>
        </w:rPr>
        <w:t>m</w:t>
      </w:r>
      <w:proofErr w:type="spellEnd"/>
      <w:r w:rsidRPr="009E62F1">
        <w:rPr>
          <w:rFonts w:cs="Arial"/>
          <w:b/>
        </w:rPr>
        <w:t xml:space="preserve"> [</w:t>
      </w:r>
      <w:r w:rsidR="00F14B6C">
        <w:rPr>
          <w:rFonts w:cs="Arial"/>
          <w:b/>
        </w:rPr>
        <w:t>kWh</w:t>
      </w:r>
      <w:r w:rsidRPr="009E62F1">
        <w:rPr>
          <w:rFonts w:cs="Arial"/>
          <w:b/>
        </w:rPr>
        <w:t xml:space="preserve">] </w:t>
      </w:r>
      <w:r w:rsidRPr="009E62F1">
        <w:rPr>
          <w:rFonts w:cs="Arial"/>
          <w:b/>
        </w:rPr>
        <w:tab/>
      </w:r>
      <w:r w:rsidRPr="009E62F1">
        <w:rPr>
          <w:rFonts w:cs="Arial"/>
        </w:rPr>
        <w:t xml:space="preserve">je referenční </w:t>
      </w:r>
      <w:r>
        <w:rPr>
          <w:rFonts w:cs="Arial"/>
        </w:rPr>
        <w:t>spotřeba</w:t>
      </w:r>
      <w:r w:rsidRPr="009E62F1">
        <w:rPr>
          <w:rFonts w:cs="Arial"/>
        </w:rPr>
        <w:t xml:space="preserve"> </w:t>
      </w:r>
      <w:r w:rsidR="00F14B6C">
        <w:rPr>
          <w:rFonts w:cs="Arial"/>
        </w:rPr>
        <w:t xml:space="preserve">spalného </w:t>
      </w:r>
      <w:r w:rsidRPr="009E62F1">
        <w:rPr>
          <w:rFonts w:cs="Arial"/>
        </w:rPr>
        <w:t xml:space="preserve">tepla </w:t>
      </w:r>
      <w:r w:rsidR="00F14B6C">
        <w:rPr>
          <w:rFonts w:cs="Arial"/>
        </w:rPr>
        <w:t xml:space="preserve">v plynu </w:t>
      </w:r>
      <w:r w:rsidRPr="009E62F1">
        <w:rPr>
          <w:rFonts w:cs="Arial"/>
        </w:rPr>
        <w:t xml:space="preserve">odebraného od dodavatele </w:t>
      </w:r>
      <w:r w:rsidR="00F14B6C">
        <w:rPr>
          <w:rFonts w:cs="Arial"/>
        </w:rPr>
        <w:t>plynu</w:t>
      </w:r>
      <w:r w:rsidRPr="009E62F1">
        <w:rPr>
          <w:rFonts w:cs="Arial"/>
        </w:rPr>
        <w:t xml:space="preserve"> v příslušném měsíci</w:t>
      </w:r>
      <w:r>
        <w:rPr>
          <w:rFonts w:cs="Arial"/>
        </w:rPr>
        <w:t xml:space="preserve"> referenčního roku. </w:t>
      </w:r>
      <w:r w:rsidRPr="009E62F1">
        <w:rPr>
          <w:rFonts w:cs="Arial"/>
        </w:rPr>
        <w:t xml:space="preserve">Tato spotřeba charakterizuje energetickou náročnost </w:t>
      </w:r>
      <w:r>
        <w:rPr>
          <w:rFonts w:cs="Arial"/>
        </w:rPr>
        <w:t>Areál</w:t>
      </w:r>
      <w:r w:rsidRPr="009E62F1">
        <w:rPr>
          <w:rFonts w:cs="Arial"/>
        </w:rPr>
        <w:t>u před realizací opatření.</w:t>
      </w:r>
    </w:p>
    <w:p w14:paraId="6231D76A" w14:textId="3352F964" w:rsidR="00761253" w:rsidRPr="009E62F1" w:rsidRDefault="00761253" w:rsidP="0034652A">
      <w:pPr>
        <w:tabs>
          <w:tab w:val="left" w:pos="2268"/>
        </w:tabs>
        <w:ind w:left="1985" w:hanging="1985"/>
        <w:rPr>
          <w:rFonts w:cs="Arial"/>
          <w:b/>
        </w:rPr>
      </w:pPr>
      <w:r w:rsidRPr="009E62F1">
        <w:rPr>
          <w:rFonts w:cs="Arial"/>
          <w:b/>
        </w:rPr>
        <w:tab/>
      </w:r>
      <w:proofErr w:type="spellStart"/>
      <w:r w:rsidRPr="009E62F1">
        <w:rPr>
          <w:rFonts w:cs="Arial"/>
          <w:b/>
        </w:rPr>
        <w:t>REF_</w:t>
      </w:r>
      <w:r w:rsidR="00F14B6C">
        <w:rPr>
          <w:rFonts w:cs="Arial"/>
          <w:b/>
        </w:rPr>
        <w:t>P</w:t>
      </w:r>
      <w:r w:rsidRPr="009E62F1">
        <w:rPr>
          <w:rFonts w:cs="Arial"/>
          <w:b/>
        </w:rPr>
        <w:t>_C</w:t>
      </w:r>
      <w:r w:rsidR="00474BD4">
        <w:rPr>
          <w:rFonts w:cs="Arial"/>
          <w:b/>
          <w:vertAlign w:val="subscript"/>
        </w:rPr>
        <w:t>m</w:t>
      </w:r>
      <w:proofErr w:type="spellEnd"/>
      <w:r w:rsidRPr="009E62F1">
        <w:rPr>
          <w:rFonts w:cs="Arial"/>
          <w:b/>
        </w:rPr>
        <w:t xml:space="preserve"> = </w:t>
      </w:r>
      <w:proofErr w:type="spellStart"/>
      <w:r w:rsidRPr="009E62F1">
        <w:rPr>
          <w:rFonts w:cs="Arial"/>
          <w:b/>
        </w:rPr>
        <w:t>REF_</w:t>
      </w:r>
      <w:r w:rsidR="00F14B6C">
        <w:rPr>
          <w:rFonts w:cs="Arial"/>
          <w:b/>
        </w:rPr>
        <w:t>P</w:t>
      </w:r>
      <w:r w:rsidRPr="009E62F1">
        <w:rPr>
          <w:rFonts w:cs="Arial"/>
          <w:b/>
        </w:rPr>
        <w:t>_Z</w:t>
      </w:r>
      <w:r w:rsidR="00474BD4">
        <w:rPr>
          <w:rFonts w:cs="Arial"/>
          <w:b/>
          <w:vertAlign w:val="subscript"/>
        </w:rPr>
        <w:t>m</w:t>
      </w:r>
      <w:proofErr w:type="spellEnd"/>
      <w:r w:rsidRPr="009E62F1">
        <w:rPr>
          <w:rFonts w:cs="Arial"/>
          <w:b/>
        </w:rPr>
        <w:t xml:space="preserve"> + </w:t>
      </w:r>
      <w:proofErr w:type="spellStart"/>
      <w:r w:rsidRPr="009E62F1">
        <w:rPr>
          <w:rFonts w:cs="Arial"/>
          <w:b/>
        </w:rPr>
        <w:t>REF_</w:t>
      </w:r>
      <w:r w:rsidR="00F14B6C">
        <w:rPr>
          <w:rFonts w:cs="Arial"/>
          <w:b/>
        </w:rPr>
        <w:t>P</w:t>
      </w:r>
      <w:r w:rsidRPr="009E62F1">
        <w:rPr>
          <w:rFonts w:cs="Arial"/>
          <w:b/>
        </w:rPr>
        <w:t>_N</w:t>
      </w:r>
      <w:r w:rsidR="00474BD4">
        <w:rPr>
          <w:rFonts w:cs="Arial"/>
          <w:b/>
          <w:vertAlign w:val="subscript"/>
        </w:rPr>
        <w:t>m</w:t>
      </w:r>
      <w:proofErr w:type="spellEnd"/>
    </w:p>
    <w:p w14:paraId="2D21ED3A" w14:textId="382EA59C" w:rsidR="00761253" w:rsidRPr="009E62F1" w:rsidRDefault="00761253" w:rsidP="0034652A">
      <w:pPr>
        <w:tabs>
          <w:tab w:val="left" w:pos="2268"/>
        </w:tabs>
        <w:ind w:left="1985" w:hanging="1985"/>
        <w:rPr>
          <w:rFonts w:cs="Arial"/>
        </w:rPr>
      </w:pPr>
      <w:proofErr w:type="spellStart"/>
      <w:r w:rsidRPr="009E62F1">
        <w:rPr>
          <w:rFonts w:cs="Arial"/>
          <w:b/>
        </w:rPr>
        <w:t>REF_</w:t>
      </w:r>
      <w:r w:rsidR="00F14B6C">
        <w:rPr>
          <w:rFonts w:cs="Arial"/>
          <w:b/>
        </w:rPr>
        <w:t>P</w:t>
      </w:r>
      <w:r w:rsidRPr="009E62F1">
        <w:rPr>
          <w:rFonts w:cs="Arial"/>
          <w:b/>
        </w:rPr>
        <w:t>_Z</w:t>
      </w:r>
      <w:r w:rsidR="00E0270F">
        <w:rPr>
          <w:rFonts w:cs="Arial"/>
          <w:b/>
          <w:vertAlign w:val="subscript"/>
        </w:rPr>
        <w:t>m</w:t>
      </w:r>
      <w:proofErr w:type="spellEnd"/>
      <w:r w:rsidRPr="009E62F1">
        <w:rPr>
          <w:rFonts w:cs="Arial"/>
          <w:b/>
        </w:rPr>
        <w:t xml:space="preserve"> [</w:t>
      </w:r>
      <w:r w:rsidR="00F14B6C">
        <w:rPr>
          <w:rFonts w:cs="Arial"/>
          <w:b/>
        </w:rPr>
        <w:t>kWh</w:t>
      </w:r>
      <w:r w:rsidRPr="009E62F1">
        <w:rPr>
          <w:rFonts w:cs="Arial"/>
          <w:b/>
        </w:rPr>
        <w:t xml:space="preserve">] </w:t>
      </w:r>
      <w:r w:rsidRPr="009E62F1">
        <w:rPr>
          <w:rFonts w:cs="Arial"/>
          <w:b/>
        </w:rPr>
        <w:tab/>
      </w:r>
      <w:r w:rsidRPr="009E62F1">
        <w:rPr>
          <w:rFonts w:cs="Arial"/>
        </w:rPr>
        <w:t xml:space="preserve">je část referenční spotřeby </w:t>
      </w:r>
      <w:r w:rsidR="00F4358B">
        <w:rPr>
          <w:rFonts w:cs="Arial"/>
        </w:rPr>
        <w:t xml:space="preserve">spalného </w:t>
      </w:r>
      <w:r w:rsidRPr="009E62F1">
        <w:rPr>
          <w:rFonts w:cs="Arial"/>
        </w:rPr>
        <w:t>tepla</w:t>
      </w:r>
      <w:r w:rsidR="00F4358B">
        <w:rPr>
          <w:rFonts w:cs="Arial"/>
        </w:rPr>
        <w:t xml:space="preserve"> v plynu</w:t>
      </w:r>
      <w:r w:rsidRPr="009E62F1">
        <w:rPr>
          <w:rFonts w:cs="Arial"/>
        </w:rPr>
        <w:t>, která je závislá na venkovní teplotě (tj. spotřeba na vytápění).</w:t>
      </w:r>
    </w:p>
    <w:p w14:paraId="09969D3F" w14:textId="0013C9BB" w:rsidR="00761253" w:rsidRDefault="00761253" w:rsidP="0034652A">
      <w:pPr>
        <w:tabs>
          <w:tab w:val="left" w:pos="2268"/>
        </w:tabs>
        <w:ind w:left="1985" w:hanging="1985"/>
        <w:rPr>
          <w:rFonts w:cs="Arial"/>
        </w:rPr>
      </w:pPr>
      <w:proofErr w:type="spellStart"/>
      <w:r w:rsidRPr="009E62F1">
        <w:rPr>
          <w:rFonts w:cs="Arial"/>
          <w:b/>
        </w:rPr>
        <w:t>REF_</w:t>
      </w:r>
      <w:r w:rsidR="00F14B6C">
        <w:rPr>
          <w:rFonts w:cs="Arial"/>
          <w:b/>
        </w:rPr>
        <w:t>P</w:t>
      </w:r>
      <w:r w:rsidRPr="009E62F1">
        <w:rPr>
          <w:rFonts w:cs="Arial"/>
          <w:b/>
        </w:rPr>
        <w:t>_N</w:t>
      </w:r>
      <w:r w:rsidR="00474BD4">
        <w:rPr>
          <w:rFonts w:cs="Arial"/>
          <w:b/>
          <w:vertAlign w:val="subscript"/>
        </w:rPr>
        <w:t>m</w:t>
      </w:r>
      <w:proofErr w:type="spellEnd"/>
      <w:r w:rsidRPr="009E62F1">
        <w:rPr>
          <w:rFonts w:cs="Arial"/>
          <w:b/>
        </w:rPr>
        <w:t xml:space="preserve"> [</w:t>
      </w:r>
      <w:r w:rsidR="00F14B6C">
        <w:rPr>
          <w:rFonts w:cs="Arial"/>
          <w:b/>
        </w:rPr>
        <w:t>kWh</w:t>
      </w:r>
      <w:r w:rsidRPr="009E62F1">
        <w:rPr>
          <w:rFonts w:cs="Arial"/>
          <w:b/>
        </w:rPr>
        <w:t xml:space="preserve">] </w:t>
      </w:r>
      <w:r w:rsidRPr="009E62F1">
        <w:rPr>
          <w:rFonts w:cs="Arial"/>
          <w:b/>
        </w:rPr>
        <w:tab/>
      </w:r>
      <w:r w:rsidRPr="009E62F1">
        <w:rPr>
          <w:rFonts w:cs="Arial"/>
        </w:rPr>
        <w:t xml:space="preserve">je část referenční spotřeby </w:t>
      </w:r>
      <w:r w:rsidR="00F4358B">
        <w:rPr>
          <w:rFonts w:cs="Arial"/>
        </w:rPr>
        <w:t>spalného tepla v plynu</w:t>
      </w:r>
      <w:r w:rsidRPr="009E62F1">
        <w:rPr>
          <w:rFonts w:cs="Arial"/>
        </w:rPr>
        <w:t xml:space="preserve">, která je nezávislá na venkovní teplotě (např. spotřeba tepla na přípravu </w:t>
      </w:r>
      <w:r>
        <w:rPr>
          <w:rFonts w:cs="Arial"/>
        </w:rPr>
        <w:t>teplé vody)</w:t>
      </w:r>
      <w:r w:rsidRPr="009E62F1">
        <w:rPr>
          <w:rFonts w:cs="Arial"/>
        </w:rPr>
        <w:t>.</w:t>
      </w:r>
    </w:p>
    <w:p w14:paraId="157A738D" w14:textId="6E034BD0" w:rsidR="00761253" w:rsidRPr="001B67D9" w:rsidRDefault="00761253" w:rsidP="0034652A">
      <w:pPr>
        <w:tabs>
          <w:tab w:val="left" w:pos="2268"/>
        </w:tabs>
        <w:ind w:left="1985" w:hanging="1985"/>
        <w:rPr>
          <w:rFonts w:cs="Arial"/>
        </w:rPr>
      </w:pPr>
      <w:proofErr w:type="spellStart"/>
      <w:r w:rsidRPr="001B67D9">
        <w:rPr>
          <w:rFonts w:cs="Arial"/>
          <w:b/>
        </w:rPr>
        <w:t>REF_TE</w:t>
      </w:r>
      <w:r w:rsidR="00474BD4">
        <w:rPr>
          <w:rFonts w:cs="Arial"/>
          <w:b/>
          <w:vertAlign w:val="subscript"/>
        </w:rPr>
        <w:t>m</w:t>
      </w:r>
      <w:proofErr w:type="spellEnd"/>
      <w:r w:rsidRPr="001B67D9">
        <w:rPr>
          <w:rFonts w:cs="Arial"/>
          <w:b/>
        </w:rPr>
        <w:t xml:space="preserve"> [°C] </w:t>
      </w:r>
      <w:r w:rsidRPr="001B67D9">
        <w:rPr>
          <w:rFonts w:cs="Arial"/>
          <w:b/>
        </w:rPr>
        <w:tab/>
      </w:r>
      <w:r w:rsidRPr="001B67D9">
        <w:rPr>
          <w:rFonts w:cs="Arial"/>
          <w:bCs/>
        </w:rPr>
        <w:t xml:space="preserve">je průměrná měsíční teplota venkovního vzduchu </w:t>
      </w:r>
      <w:r>
        <w:rPr>
          <w:rFonts w:cs="Arial"/>
          <w:bCs/>
        </w:rPr>
        <w:t xml:space="preserve">v topných dnech příslušného kalendářního měsíce referenčního období </w:t>
      </w:r>
      <w:r w:rsidRPr="001B67D9">
        <w:rPr>
          <w:rFonts w:cs="Arial"/>
          <w:bCs/>
        </w:rPr>
        <w:t>dle údajů ČHMÚ</w:t>
      </w:r>
      <w:r w:rsidRPr="001B67D9">
        <w:rPr>
          <w:rFonts w:cs="Arial"/>
        </w:rPr>
        <w:t xml:space="preserve"> stanice </w:t>
      </w:r>
      <w:r>
        <w:t>Praha Ruzyně</w:t>
      </w:r>
      <w:r w:rsidRPr="001B67D9">
        <w:rPr>
          <w:rFonts w:cs="Arial"/>
        </w:rPr>
        <w:t>.</w:t>
      </w:r>
    </w:p>
    <w:p w14:paraId="15AF951C" w14:textId="12023185" w:rsidR="00761253" w:rsidRPr="001B67D9" w:rsidRDefault="00761253" w:rsidP="0034652A">
      <w:pPr>
        <w:tabs>
          <w:tab w:val="left" w:pos="2268"/>
        </w:tabs>
        <w:ind w:left="1985" w:hanging="1985"/>
        <w:rPr>
          <w:rFonts w:cs="Arial"/>
          <w:bCs/>
        </w:rPr>
      </w:pPr>
      <w:proofErr w:type="spellStart"/>
      <w:r w:rsidRPr="001B67D9">
        <w:rPr>
          <w:rFonts w:cs="Arial"/>
          <w:b/>
        </w:rPr>
        <w:t>REF_TD</w:t>
      </w:r>
      <w:r w:rsidR="00474BD4">
        <w:rPr>
          <w:rFonts w:cs="Arial"/>
          <w:b/>
          <w:vertAlign w:val="subscript"/>
        </w:rPr>
        <w:t>m</w:t>
      </w:r>
      <w:proofErr w:type="spellEnd"/>
      <w:r w:rsidRPr="001B67D9">
        <w:rPr>
          <w:rFonts w:cs="Arial"/>
          <w:b/>
        </w:rPr>
        <w:t xml:space="preserve"> [dny] </w:t>
      </w:r>
      <w:r w:rsidRPr="001B67D9">
        <w:rPr>
          <w:rFonts w:cs="Arial"/>
          <w:b/>
        </w:rPr>
        <w:tab/>
      </w:r>
      <w:r w:rsidRPr="001B67D9">
        <w:rPr>
          <w:rFonts w:cs="Arial"/>
          <w:bCs/>
        </w:rPr>
        <w:t>je počet topných dnů dle údajů ČHMÚ</w:t>
      </w:r>
      <w:r w:rsidRPr="001B67D9">
        <w:rPr>
          <w:rFonts w:cs="Arial"/>
        </w:rPr>
        <w:t xml:space="preserve"> stanice </w:t>
      </w:r>
      <w:r>
        <w:t>Praha Ruzyně</w:t>
      </w:r>
      <w:r>
        <w:rPr>
          <w:rFonts w:cs="Arial"/>
        </w:rPr>
        <w:t xml:space="preserve"> v příslušném měsíci </w:t>
      </w:r>
      <w:r>
        <w:rPr>
          <w:rFonts w:cs="Arial"/>
          <w:bCs/>
        </w:rPr>
        <w:t>referenčního období</w:t>
      </w:r>
      <w:r w:rsidRPr="001B67D9">
        <w:rPr>
          <w:rFonts w:cs="Arial"/>
        </w:rPr>
        <w:t>.</w:t>
      </w:r>
      <w:r>
        <w:rPr>
          <w:rFonts w:cs="Arial"/>
        </w:rPr>
        <w:t xml:space="preserve"> </w:t>
      </w:r>
      <w:r w:rsidRPr="0045711F">
        <w:rPr>
          <w:rFonts w:cs="Arial"/>
          <w:bCs/>
        </w:rPr>
        <w:t xml:space="preserve">Počet topných dnů je stanoven na základě průměrných denních venkovních teplot při vztažné venkovní teplotě </w:t>
      </w:r>
      <w:proofErr w:type="gramStart"/>
      <w:r w:rsidRPr="0045711F">
        <w:rPr>
          <w:rFonts w:cs="Arial"/>
          <w:bCs/>
        </w:rPr>
        <w:t>13,0°C</w:t>
      </w:r>
      <w:proofErr w:type="gramEnd"/>
      <w:r w:rsidRPr="0045711F">
        <w:rPr>
          <w:rFonts w:cs="Arial"/>
          <w:bCs/>
        </w:rPr>
        <w:t xml:space="preserve"> ve </w:t>
      </w:r>
      <w:r>
        <w:rPr>
          <w:rFonts w:cs="Arial"/>
          <w:bCs/>
        </w:rPr>
        <w:t xml:space="preserve">dvou po sobě následujících dnech. Den je považován za topný, pokud je součástí alespoň dvou po sobě jdoucích dnů s teplotou nižší než </w:t>
      </w:r>
      <w:proofErr w:type="gramStart"/>
      <w:r>
        <w:rPr>
          <w:rFonts w:cs="Arial"/>
          <w:bCs/>
        </w:rPr>
        <w:t>13,0°C</w:t>
      </w:r>
      <w:proofErr w:type="gramEnd"/>
      <w:r>
        <w:rPr>
          <w:rFonts w:cs="Arial"/>
          <w:bCs/>
        </w:rPr>
        <w:t>, přičemž za topné dny jsou považovány i dny s průměrnou teplotou vyšší, než 13,0°C, pokud tato vyšší teplota nepřetrvává dva, či více po sobě jdoucích dnů. Způsob stanovení počtu topných dnů na základě denních venkovních teplot je patrný z Tab.1.2.</w:t>
      </w:r>
    </w:p>
    <w:p w14:paraId="0BF7FF15" w14:textId="1DBD3FD6" w:rsidR="00761253" w:rsidRPr="004D6FD4" w:rsidRDefault="00761253" w:rsidP="0034652A">
      <w:pPr>
        <w:tabs>
          <w:tab w:val="left" w:pos="2268"/>
        </w:tabs>
        <w:ind w:left="1985" w:hanging="1985"/>
        <w:rPr>
          <w:rFonts w:cs="Arial"/>
          <w:bCs/>
        </w:rPr>
      </w:pPr>
      <w:proofErr w:type="spellStart"/>
      <w:r w:rsidRPr="004D6FD4">
        <w:rPr>
          <w:rFonts w:cs="Arial"/>
          <w:b/>
        </w:rPr>
        <w:t>REF_DST</w:t>
      </w:r>
      <w:r w:rsidR="00474BD4">
        <w:rPr>
          <w:rFonts w:cs="Arial"/>
          <w:b/>
          <w:vertAlign w:val="subscript"/>
        </w:rPr>
        <w:t>m</w:t>
      </w:r>
      <w:proofErr w:type="spellEnd"/>
      <w:r w:rsidRPr="004D6FD4">
        <w:rPr>
          <w:rFonts w:cs="Arial"/>
          <w:b/>
        </w:rPr>
        <w:t xml:space="preserve"> [</w:t>
      </w:r>
      <w:proofErr w:type="spellStart"/>
      <w:proofErr w:type="gramStart"/>
      <w:r w:rsidRPr="004D6FD4">
        <w:rPr>
          <w:rFonts w:cs="Arial"/>
          <w:b/>
        </w:rPr>
        <w:t>dny.°</w:t>
      </w:r>
      <w:proofErr w:type="gramEnd"/>
      <w:r w:rsidRPr="004D6FD4">
        <w:rPr>
          <w:rFonts w:cs="Arial"/>
          <w:b/>
        </w:rPr>
        <w:t>C</w:t>
      </w:r>
      <w:proofErr w:type="spellEnd"/>
      <w:r w:rsidRPr="004D6FD4">
        <w:rPr>
          <w:rFonts w:cs="Arial"/>
          <w:b/>
        </w:rPr>
        <w:t>]</w:t>
      </w:r>
      <w:r w:rsidRPr="004D6FD4">
        <w:rPr>
          <w:rFonts w:cs="Arial"/>
          <w:b/>
        </w:rPr>
        <w:tab/>
      </w:r>
      <w:r w:rsidRPr="004D6FD4">
        <w:rPr>
          <w:rFonts w:cs="Arial"/>
          <w:bCs/>
        </w:rPr>
        <w:t xml:space="preserve">je počet denostupňů v příslušném </w:t>
      </w:r>
      <w:r>
        <w:rPr>
          <w:rFonts w:cs="Arial"/>
          <w:bCs/>
        </w:rPr>
        <w:t xml:space="preserve">kalendářním měsíci referenčního </w:t>
      </w:r>
      <w:r w:rsidR="00EE10DB">
        <w:rPr>
          <w:rFonts w:cs="Arial"/>
          <w:bCs/>
        </w:rPr>
        <w:t>období</w:t>
      </w:r>
      <w:r w:rsidRPr="004D6FD4">
        <w:rPr>
          <w:rFonts w:cs="Arial"/>
          <w:bCs/>
        </w:rPr>
        <w:t xml:space="preserve">. Počet denostupňů je stanoven na základě průměrných měsíčních </w:t>
      </w:r>
      <w:r>
        <w:rPr>
          <w:rFonts w:cs="Arial"/>
          <w:bCs/>
        </w:rPr>
        <w:t xml:space="preserve">venkovních </w:t>
      </w:r>
      <w:r w:rsidRPr="004D6FD4">
        <w:rPr>
          <w:rFonts w:cs="Arial"/>
          <w:bCs/>
        </w:rPr>
        <w:t xml:space="preserve">teplot </w:t>
      </w:r>
      <w:r>
        <w:rPr>
          <w:rFonts w:cs="Arial"/>
          <w:bCs/>
        </w:rPr>
        <w:t xml:space="preserve">v topných dnech </w:t>
      </w:r>
      <w:r w:rsidRPr="004D6FD4">
        <w:rPr>
          <w:rFonts w:cs="Arial"/>
          <w:bCs/>
        </w:rPr>
        <w:t xml:space="preserve">a počtu topných dnů. Údaje o venkovních teplotách jsou převzaty od </w:t>
      </w:r>
      <w:proofErr w:type="gramStart"/>
      <w:r w:rsidRPr="004D6FD4">
        <w:rPr>
          <w:rFonts w:cs="Arial"/>
          <w:bCs/>
        </w:rPr>
        <w:t>ČHMÚ</w:t>
      </w:r>
      <w:r w:rsidRPr="004D6FD4">
        <w:rPr>
          <w:rFonts w:cs="Arial"/>
        </w:rPr>
        <w:t xml:space="preserve"> - stanice</w:t>
      </w:r>
      <w:proofErr w:type="gramEnd"/>
      <w:r w:rsidRPr="004D6FD4">
        <w:rPr>
          <w:rFonts w:cs="Arial"/>
        </w:rPr>
        <w:t xml:space="preserve"> </w:t>
      </w:r>
      <w:r>
        <w:t>Praha Ruzyně</w:t>
      </w:r>
      <w:r w:rsidRPr="004D6FD4">
        <w:rPr>
          <w:rFonts w:cs="Arial"/>
        </w:rPr>
        <w:t xml:space="preserve">. </w:t>
      </w:r>
      <w:r>
        <w:rPr>
          <w:rFonts w:cs="Arial"/>
          <w:bCs/>
        </w:rPr>
        <w:t xml:space="preserve">Referenční denostupně jsou stanoveny při vnitřní teplotě </w:t>
      </w:r>
      <w:r w:rsidR="00EE10DB">
        <w:rPr>
          <w:rFonts w:cs="Arial"/>
          <w:bCs/>
        </w:rPr>
        <w:t>19</w:t>
      </w:r>
      <w:r>
        <w:rPr>
          <w:rFonts w:cs="Arial"/>
          <w:bCs/>
        </w:rPr>
        <w:t>°C. Způsob stanovení denostupňů je uveden v Tab.1.2.</w:t>
      </w:r>
    </w:p>
    <w:p w14:paraId="6478F77D" w14:textId="77777777" w:rsidR="00EE10DB" w:rsidRDefault="00EE10DB">
      <w:pPr>
        <w:spacing w:before="0"/>
        <w:jc w:val="left"/>
        <w:rPr>
          <w:rFonts w:asciiTheme="minorHAnsi" w:eastAsia="Arial" w:hAnsiTheme="minorHAnsi" w:cstheme="minorHAnsi"/>
          <w:color w:val="000000"/>
          <w:lang w:eastAsia="cs-CZ" w:bidi="cs-CZ"/>
        </w:rPr>
      </w:pPr>
      <w:r>
        <w:rPr>
          <w:rFonts w:asciiTheme="minorHAnsi" w:hAnsiTheme="minorHAnsi" w:cstheme="minorHAnsi"/>
          <w:color w:val="000000"/>
          <w:lang w:bidi="cs-CZ"/>
        </w:rPr>
        <w:br w:type="page"/>
      </w:r>
    </w:p>
    <w:p w14:paraId="44018D0A" w14:textId="00AA9752" w:rsidR="00761253" w:rsidRPr="00176FDB" w:rsidRDefault="00761253" w:rsidP="006D25B2">
      <w:pPr>
        <w:pStyle w:val="Bodytext20"/>
        <w:shd w:val="clear" w:color="auto" w:fill="auto"/>
        <w:spacing w:after="0" w:line="240" w:lineRule="auto"/>
        <w:ind w:firstLine="0"/>
        <w:rPr>
          <w:rFonts w:asciiTheme="minorHAnsi" w:hAnsiTheme="minorHAnsi" w:cstheme="minorHAnsi"/>
          <w:color w:val="000000"/>
          <w:sz w:val="22"/>
          <w:szCs w:val="22"/>
          <w:lang w:bidi="cs-CZ"/>
        </w:rPr>
      </w:pPr>
      <w:r w:rsidRPr="00176FDB">
        <w:rPr>
          <w:rFonts w:asciiTheme="minorHAnsi" w:hAnsiTheme="minorHAnsi" w:cstheme="minorHAnsi"/>
          <w:color w:val="000000"/>
          <w:sz w:val="22"/>
          <w:szCs w:val="22"/>
          <w:lang w:bidi="cs-CZ"/>
        </w:rPr>
        <w:lastRenderedPageBreak/>
        <w:t>V souladu s čl.14 Smlouvy si v případě změny oproti výchozímu stavu, která zvyšuje energetickou náročnost Areálu</w:t>
      </w:r>
      <w:r w:rsidR="006D25B2">
        <w:rPr>
          <w:rFonts w:asciiTheme="minorHAnsi" w:hAnsiTheme="minorHAnsi" w:cstheme="minorHAnsi"/>
          <w:color w:val="000000"/>
          <w:sz w:val="22"/>
          <w:szCs w:val="22"/>
          <w:lang w:bidi="cs-CZ"/>
        </w:rPr>
        <w:t xml:space="preserve"> / Objektu</w:t>
      </w:r>
      <w:r w:rsidRPr="00176FDB">
        <w:rPr>
          <w:rFonts w:asciiTheme="minorHAnsi" w:hAnsiTheme="minorHAnsi" w:cstheme="minorHAnsi"/>
          <w:color w:val="000000"/>
          <w:sz w:val="22"/>
          <w:szCs w:val="22"/>
          <w:lang w:bidi="cs-CZ"/>
        </w:rPr>
        <w:t>, ESCO vyhrazuje možnost navýšit odpovídajícím způsobem referenční hodnoty spotřeb uvedené v Tab.1.1, kterých se tato změna týká tak, aby tato dodatečná změna neměla vliv na výslednou vykazovanou úsporu (viz Příloha č.6), případně využít korekční součinitele ve výpočtové metodice uvedené v Příloze č.6. Příklady změn zvyšujících energetickou náročnost Areálu</w:t>
      </w:r>
      <w:r w:rsidR="006D25B2">
        <w:rPr>
          <w:rFonts w:asciiTheme="minorHAnsi" w:hAnsiTheme="minorHAnsi" w:cstheme="minorHAnsi"/>
          <w:color w:val="000000"/>
          <w:sz w:val="22"/>
          <w:szCs w:val="22"/>
          <w:lang w:bidi="cs-CZ"/>
        </w:rPr>
        <w:t xml:space="preserve"> / Objektu</w:t>
      </w:r>
      <w:r w:rsidRPr="00176FDB">
        <w:rPr>
          <w:rFonts w:asciiTheme="minorHAnsi" w:hAnsiTheme="minorHAnsi" w:cstheme="minorHAnsi"/>
          <w:color w:val="000000"/>
          <w:sz w:val="22"/>
          <w:szCs w:val="22"/>
          <w:lang w:bidi="cs-CZ"/>
        </w:rPr>
        <w:t>:</w:t>
      </w:r>
    </w:p>
    <w:p w14:paraId="0A8C8C42" w14:textId="77777777" w:rsidR="00761253" w:rsidRPr="00844777" w:rsidRDefault="00761253" w:rsidP="00FE2739">
      <w:pPr>
        <w:pStyle w:val="ListParagraph"/>
        <w:numPr>
          <w:ilvl w:val="0"/>
          <w:numId w:val="12"/>
        </w:numPr>
        <w:ind w:left="709" w:hanging="425"/>
        <w:contextualSpacing w:val="0"/>
        <w:rPr>
          <w:rFonts w:cs="Arial"/>
        </w:rPr>
      </w:pPr>
      <w:r w:rsidRPr="00844777">
        <w:rPr>
          <w:rFonts w:cs="Arial"/>
        </w:rPr>
        <w:t>Nová přístavba nebo výstavba nového objektu, zprovoznění objektu.</w:t>
      </w:r>
    </w:p>
    <w:p w14:paraId="4CED685D" w14:textId="54A1B86D" w:rsidR="00761253" w:rsidRPr="00844777" w:rsidRDefault="00761253" w:rsidP="00FE2739">
      <w:pPr>
        <w:pStyle w:val="ListParagraph"/>
        <w:numPr>
          <w:ilvl w:val="0"/>
          <w:numId w:val="12"/>
        </w:numPr>
        <w:ind w:left="709" w:hanging="425"/>
        <w:contextualSpacing w:val="0"/>
        <w:rPr>
          <w:rFonts w:cs="Arial"/>
        </w:rPr>
      </w:pPr>
      <w:r w:rsidRPr="00844777">
        <w:rPr>
          <w:rFonts w:cs="Arial"/>
        </w:rPr>
        <w:t>Nový spotřebič zemního plynu či tepelné energie z plynových zdrojů</w:t>
      </w:r>
      <w:r w:rsidR="00D0746E">
        <w:rPr>
          <w:rFonts w:cs="Arial"/>
        </w:rPr>
        <w:t>.</w:t>
      </w:r>
    </w:p>
    <w:p w14:paraId="4AC98DF4" w14:textId="07826791" w:rsidR="00761253" w:rsidRPr="00844777" w:rsidRDefault="00761253" w:rsidP="00FE2739">
      <w:pPr>
        <w:pStyle w:val="ListParagraph"/>
        <w:numPr>
          <w:ilvl w:val="0"/>
          <w:numId w:val="12"/>
        </w:numPr>
        <w:ind w:left="709" w:hanging="425"/>
        <w:contextualSpacing w:val="0"/>
        <w:rPr>
          <w:rFonts w:cs="Arial"/>
        </w:rPr>
      </w:pPr>
      <w:r w:rsidRPr="00844777">
        <w:rPr>
          <w:rFonts w:cs="Arial"/>
        </w:rPr>
        <w:t>Změny ve způsobu provozování – zvýšení vnitřní teploty v interiéru, prodloužení provozní doby místnosti/zařízení, odstávka systému zpětného získání tepla, zvýšení komfortu vnitřního prostředí v objektu či jeho části apod.</w:t>
      </w:r>
    </w:p>
    <w:p w14:paraId="31579F23" w14:textId="42C33D41" w:rsidR="00761253" w:rsidRPr="00176FDB" w:rsidRDefault="00761253" w:rsidP="006D25B2">
      <w:pPr>
        <w:pStyle w:val="Bodytext20"/>
        <w:shd w:val="clear" w:color="auto" w:fill="auto"/>
        <w:spacing w:after="0" w:line="240" w:lineRule="auto"/>
        <w:ind w:firstLine="0"/>
        <w:rPr>
          <w:rFonts w:asciiTheme="minorHAnsi" w:hAnsiTheme="minorHAnsi" w:cstheme="minorHAnsi"/>
          <w:color w:val="000000"/>
          <w:sz w:val="22"/>
          <w:szCs w:val="22"/>
          <w:lang w:bidi="cs-CZ"/>
        </w:rPr>
      </w:pPr>
      <w:r w:rsidRPr="00176FDB">
        <w:rPr>
          <w:rFonts w:asciiTheme="minorHAnsi" w:hAnsiTheme="minorHAnsi" w:cstheme="minorHAnsi"/>
          <w:color w:val="000000"/>
          <w:sz w:val="22"/>
          <w:szCs w:val="22"/>
          <w:lang w:bidi="cs-CZ"/>
        </w:rPr>
        <w:t>V případě změny oproti výchozímu stavu, která snižuje energetickou náročnost Areálu</w:t>
      </w:r>
      <w:r w:rsidR="006D25B2">
        <w:rPr>
          <w:rFonts w:asciiTheme="minorHAnsi" w:hAnsiTheme="minorHAnsi" w:cstheme="minorHAnsi"/>
          <w:color w:val="000000"/>
          <w:sz w:val="22"/>
          <w:szCs w:val="22"/>
          <w:lang w:bidi="cs-CZ"/>
        </w:rPr>
        <w:t xml:space="preserve"> / Objektu</w:t>
      </w:r>
      <w:r w:rsidRPr="00176FDB">
        <w:rPr>
          <w:rFonts w:asciiTheme="minorHAnsi" w:hAnsiTheme="minorHAnsi" w:cstheme="minorHAnsi"/>
          <w:color w:val="000000"/>
          <w:sz w:val="22"/>
          <w:szCs w:val="22"/>
          <w:lang w:bidi="cs-CZ"/>
        </w:rPr>
        <w:t xml:space="preserve"> (</w:t>
      </w:r>
      <w:r w:rsidRPr="00006CAC">
        <w:t>s</w:t>
      </w:r>
      <w:r w:rsidR="00006CAC">
        <w:t> </w:t>
      </w:r>
      <w:r w:rsidRPr="00006CAC">
        <w:t>výjimkou</w:t>
      </w:r>
      <w:r w:rsidRPr="00176FDB">
        <w:rPr>
          <w:rFonts w:asciiTheme="minorHAnsi" w:hAnsiTheme="minorHAnsi" w:cstheme="minorHAnsi"/>
          <w:color w:val="000000"/>
          <w:sz w:val="22"/>
          <w:szCs w:val="22"/>
          <w:lang w:bidi="cs-CZ"/>
        </w:rPr>
        <w:t xml:space="preserve"> opatření provedených v rámci této smlouvy</w:t>
      </w:r>
      <w:r w:rsidR="006D25B2">
        <w:rPr>
          <w:rFonts w:asciiTheme="minorHAnsi" w:hAnsiTheme="minorHAnsi" w:cstheme="minorHAnsi"/>
          <w:color w:val="000000"/>
          <w:sz w:val="22"/>
          <w:szCs w:val="22"/>
          <w:lang w:bidi="cs-CZ"/>
        </w:rPr>
        <w:t xml:space="preserve"> a</w:t>
      </w:r>
      <w:r w:rsidR="00232808">
        <w:rPr>
          <w:rFonts w:asciiTheme="minorHAnsi" w:hAnsiTheme="minorHAnsi" w:cstheme="minorHAnsi"/>
          <w:color w:val="000000"/>
          <w:sz w:val="22"/>
          <w:szCs w:val="22"/>
          <w:lang w:bidi="cs-CZ"/>
        </w:rPr>
        <w:t xml:space="preserve"> s výjimkou</w:t>
      </w:r>
      <w:r w:rsidR="006D25B2">
        <w:rPr>
          <w:rFonts w:asciiTheme="minorHAnsi" w:hAnsiTheme="minorHAnsi" w:cstheme="minorHAnsi"/>
          <w:color w:val="000000"/>
          <w:sz w:val="22"/>
          <w:szCs w:val="22"/>
          <w:lang w:bidi="cs-CZ"/>
        </w:rPr>
        <w:t xml:space="preserve"> kompletního zateplení Objektů </w:t>
      </w:r>
      <w:r w:rsidR="00172BE6">
        <w:rPr>
          <w:rFonts w:asciiTheme="minorHAnsi" w:hAnsiTheme="minorHAnsi" w:cstheme="minorHAnsi"/>
          <w:color w:val="000000"/>
          <w:sz w:val="22"/>
          <w:szCs w:val="22"/>
          <w:lang w:bidi="cs-CZ"/>
        </w:rPr>
        <w:t xml:space="preserve">včetně výměny výplní otvorů v kvalitě </w:t>
      </w:r>
      <w:r w:rsidR="006D25B2">
        <w:rPr>
          <w:rFonts w:asciiTheme="minorHAnsi" w:hAnsiTheme="minorHAnsi" w:cstheme="minorHAnsi"/>
          <w:color w:val="000000"/>
          <w:sz w:val="22"/>
          <w:szCs w:val="22"/>
          <w:lang w:bidi="cs-CZ"/>
        </w:rPr>
        <w:t>požad</w:t>
      </w:r>
      <w:r w:rsidR="00172BE6">
        <w:rPr>
          <w:rFonts w:asciiTheme="minorHAnsi" w:hAnsiTheme="minorHAnsi" w:cstheme="minorHAnsi"/>
          <w:color w:val="000000"/>
          <w:sz w:val="22"/>
          <w:szCs w:val="22"/>
          <w:lang w:bidi="cs-CZ"/>
        </w:rPr>
        <w:t>ované v rámci</w:t>
      </w:r>
      <w:r w:rsidR="006D25B2">
        <w:rPr>
          <w:rFonts w:asciiTheme="minorHAnsi" w:hAnsiTheme="minorHAnsi" w:cstheme="minorHAnsi"/>
          <w:color w:val="000000"/>
          <w:sz w:val="22"/>
          <w:szCs w:val="22"/>
          <w:lang w:bidi="cs-CZ"/>
        </w:rPr>
        <w:t xml:space="preserve"> 146.výzvy OPŽP</w:t>
      </w:r>
      <w:r w:rsidRPr="00176FDB">
        <w:rPr>
          <w:rFonts w:asciiTheme="minorHAnsi" w:hAnsiTheme="minorHAnsi" w:cstheme="minorHAnsi"/>
          <w:color w:val="000000"/>
          <w:sz w:val="22"/>
          <w:szCs w:val="22"/>
          <w:lang w:bidi="cs-CZ"/>
        </w:rPr>
        <w:t>), využije ESCO v souladu s čl.14 Smlouvy korekční součinitele ve výpočtové metodice uvedené v Příloze č.6, případně upraví referenční hodnoty spotřeb uvedené v této příloze, kterých se tato změna týká tak, aby tato dodatečná změna neměla vliv na výslednou vykazovanou úsporu (viz Příloha č.6). Snížení referenční spotřeby musí být provedeno vždy tak, aby nesnižovalo výši vykazované úspory pod úroveň, které by bylo dosaženo v případě, kdyby změna nebyla realizována. Příklady změn snižujících energetickou náročnost Areálu</w:t>
      </w:r>
      <w:r w:rsidR="006D25B2">
        <w:rPr>
          <w:rFonts w:asciiTheme="minorHAnsi" w:hAnsiTheme="minorHAnsi" w:cstheme="minorHAnsi"/>
          <w:color w:val="000000"/>
          <w:sz w:val="22"/>
          <w:szCs w:val="22"/>
          <w:lang w:bidi="cs-CZ"/>
        </w:rPr>
        <w:t xml:space="preserve"> / Objektu</w:t>
      </w:r>
      <w:r w:rsidRPr="00176FDB">
        <w:rPr>
          <w:rFonts w:asciiTheme="minorHAnsi" w:hAnsiTheme="minorHAnsi" w:cstheme="minorHAnsi"/>
          <w:color w:val="000000"/>
          <w:sz w:val="22"/>
          <w:szCs w:val="22"/>
          <w:lang w:bidi="cs-CZ"/>
        </w:rPr>
        <w:t>:</w:t>
      </w:r>
    </w:p>
    <w:p w14:paraId="2B26B9CB" w14:textId="77777777" w:rsidR="00761253" w:rsidRPr="00844777" w:rsidRDefault="00761253" w:rsidP="00FE2739">
      <w:pPr>
        <w:pStyle w:val="ListParagraph"/>
        <w:numPr>
          <w:ilvl w:val="0"/>
          <w:numId w:val="12"/>
        </w:numPr>
        <w:ind w:left="709" w:hanging="425"/>
        <w:contextualSpacing w:val="0"/>
        <w:rPr>
          <w:rFonts w:cs="Arial"/>
        </w:rPr>
      </w:pPr>
      <w:r w:rsidRPr="00844777">
        <w:rPr>
          <w:rFonts w:cs="Arial"/>
        </w:rPr>
        <w:t>Demolice, ukončení provozu objektu, nebo jeho části; ukončení odběru.</w:t>
      </w:r>
    </w:p>
    <w:p w14:paraId="07B2593F" w14:textId="77777777" w:rsidR="00761253" w:rsidRPr="00844777" w:rsidRDefault="00761253" w:rsidP="00FE2739">
      <w:pPr>
        <w:pStyle w:val="ListParagraph"/>
        <w:numPr>
          <w:ilvl w:val="0"/>
          <w:numId w:val="12"/>
        </w:numPr>
        <w:ind w:left="709" w:hanging="425"/>
        <w:contextualSpacing w:val="0"/>
        <w:rPr>
          <w:rFonts w:cs="Arial"/>
        </w:rPr>
      </w:pPr>
      <w:r w:rsidRPr="00844777">
        <w:rPr>
          <w:rFonts w:cs="Arial"/>
        </w:rPr>
        <w:t>Změny ve způsobu provozování – snížení vnitřní teploty v interiérech, zkrácení provozní doby místnosti/zařízení, zavedení systému zpětného získání tepla apod.</w:t>
      </w:r>
    </w:p>
    <w:p w14:paraId="60865DF4" w14:textId="77777777" w:rsidR="00761253" w:rsidRPr="00176FDB" w:rsidRDefault="00761253" w:rsidP="00176FDB">
      <w:pPr>
        <w:jc w:val="left"/>
        <w:rPr>
          <w:rFonts w:asciiTheme="minorHAnsi" w:hAnsiTheme="minorHAnsi" w:cstheme="minorHAnsi"/>
        </w:rPr>
      </w:pPr>
    </w:p>
    <w:p w14:paraId="1DCF4C82" w14:textId="77777777" w:rsidR="00761253" w:rsidRPr="00176FDB" w:rsidRDefault="00761253" w:rsidP="00176FDB">
      <w:pPr>
        <w:jc w:val="left"/>
        <w:rPr>
          <w:rFonts w:asciiTheme="minorHAnsi" w:hAnsiTheme="minorHAnsi" w:cstheme="minorHAnsi"/>
        </w:rPr>
        <w:sectPr w:rsidR="00761253" w:rsidRPr="00176FDB" w:rsidSect="00BD36FC">
          <w:headerReference w:type="even" r:id="rId56"/>
          <w:headerReference w:type="default" r:id="rId57"/>
          <w:footerReference w:type="default" r:id="rId58"/>
          <w:headerReference w:type="first" r:id="rId59"/>
          <w:pgSz w:w="11906" w:h="16838"/>
          <w:pgMar w:top="1417" w:right="1416" w:bottom="1417" w:left="1418" w:header="708" w:footer="708" w:gutter="0"/>
          <w:cols w:space="708"/>
          <w:docGrid w:linePitch="360"/>
        </w:sectPr>
      </w:pPr>
    </w:p>
    <w:p w14:paraId="569EAA3D" w14:textId="77777777" w:rsidR="00176FDB" w:rsidRPr="00176FDB" w:rsidRDefault="00176FDB" w:rsidP="00176FDB">
      <w:pPr>
        <w:tabs>
          <w:tab w:val="left" w:pos="993"/>
        </w:tabs>
        <w:rPr>
          <w:rFonts w:asciiTheme="minorHAnsi" w:hAnsiTheme="minorHAnsi" w:cstheme="minorHAnsi"/>
        </w:rPr>
      </w:pPr>
      <w:r w:rsidRPr="00176FDB">
        <w:rPr>
          <w:rFonts w:asciiTheme="minorHAnsi" w:hAnsiTheme="minorHAnsi" w:cstheme="minorHAnsi"/>
        </w:rPr>
        <w:lastRenderedPageBreak/>
        <w:t>Tab.1.1</w:t>
      </w:r>
      <w:r w:rsidRPr="00176FDB">
        <w:rPr>
          <w:rFonts w:asciiTheme="minorHAnsi" w:hAnsiTheme="minorHAnsi" w:cstheme="minorHAnsi"/>
        </w:rPr>
        <w:tab/>
        <w:t>Referenční hodnoty denostupňů, spotřeby tepla a plynu pro výpočet úspory dle Přílohy č.6</w:t>
      </w:r>
    </w:p>
    <w:p w14:paraId="1FF5DD4C" w14:textId="227865CD" w:rsidR="00176FDB" w:rsidRPr="00176FDB" w:rsidRDefault="00232808" w:rsidP="00C06F90">
      <w:pPr>
        <w:pStyle w:val="Bodytext50"/>
        <w:spacing w:before="120" w:line="240" w:lineRule="auto"/>
        <w:ind w:firstLine="0"/>
        <w:jc w:val="center"/>
        <w:rPr>
          <w:rFonts w:asciiTheme="minorHAnsi" w:hAnsiTheme="minorHAnsi" w:cstheme="minorHAnsi"/>
          <w:color w:val="000000"/>
          <w:sz w:val="22"/>
          <w:lang w:bidi="cs-CZ"/>
        </w:rPr>
      </w:pPr>
      <w:r w:rsidRPr="00232808">
        <w:rPr>
          <w:noProof/>
        </w:rPr>
        <w:drawing>
          <wp:inline distT="0" distB="0" distL="0" distR="0" wp14:anchorId="79002B11" wp14:editId="7BD7D7A2">
            <wp:extent cx="4000500" cy="44577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0500" cy="4457700"/>
                    </a:xfrm>
                    <a:prstGeom prst="rect">
                      <a:avLst/>
                    </a:prstGeom>
                    <a:noFill/>
                    <a:ln>
                      <a:noFill/>
                    </a:ln>
                  </pic:spPr>
                </pic:pic>
              </a:graphicData>
            </a:graphic>
          </wp:inline>
        </w:drawing>
      </w:r>
    </w:p>
    <w:p w14:paraId="1EFF9427" w14:textId="77777777" w:rsidR="00176FDB" w:rsidRDefault="00176FDB">
      <w:pPr>
        <w:spacing w:before="0"/>
        <w:jc w:val="left"/>
        <w:rPr>
          <w:rFonts w:asciiTheme="minorHAnsi" w:hAnsiTheme="minorHAnsi" w:cstheme="minorHAnsi"/>
        </w:rPr>
      </w:pPr>
      <w:r>
        <w:rPr>
          <w:rFonts w:asciiTheme="minorHAnsi" w:hAnsiTheme="minorHAnsi" w:cstheme="minorHAnsi"/>
        </w:rPr>
        <w:br w:type="page"/>
      </w:r>
    </w:p>
    <w:p w14:paraId="34B6DC29" w14:textId="71818CC4" w:rsidR="00761253" w:rsidRDefault="00761253" w:rsidP="00176FDB">
      <w:pPr>
        <w:tabs>
          <w:tab w:val="left" w:pos="993"/>
        </w:tabs>
        <w:jc w:val="left"/>
        <w:rPr>
          <w:rFonts w:asciiTheme="minorHAnsi" w:hAnsiTheme="minorHAnsi" w:cstheme="minorHAnsi"/>
        </w:rPr>
      </w:pPr>
      <w:r w:rsidRPr="00176FDB">
        <w:rPr>
          <w:rFonts w:asciiTheme="minorHAnsi" w:hAnsiTheme="minorHAnsi" w:cstheme="minorHAnsi"/>
        </w:rPr>
        <w:lastRenderedPageBreak/>
        <w:t>Tab.1.2</w:t>
      </w:r>
      <w:r w:rsidRPr="00176FDB">
        <w:rPr>
          <w:rFonts w:asciiTheme="minorHAnsi" w:hAnsiTheme="minorHAnsi" w:cstheme="minorHAnsi"/>
        </w:rPr>
        <w:tab/>
        <w:t>Způsob stanovení topných dnů a denostupňů z průměrných denních venkovních teplot</w:t>
      </w:r>
    </w:p>
    <w:p w14:paraId="7529C429" w14:textId="303B5436" w:rsidR="00D33D0B" w:rsidRPr="00176FDB" w:rsidRDefault="00D33D0B" w:rsidP="00E933A1">
      <w:pPr>
        <w:tabs>
          <w:tab w:val="left" w:pos="993"/>
        </w:tabs>
        <w:jc w:val="center"/>
        <w:rPr>
          <w:rFonts w:asciiTheme="minorHAnsi" w:hAnsiTheme="minorHAnsi" w:cstheme="minorHAnsi"/>
        </w:rPr>
      </w:pPr>
      <w:r w:rsidRPr="00D33D0B">
        <w:rPr>
          <w:noProof/>
        </w:rPr>
        <w:lastRenderedPageBreak/>
        <w:drawing>
          <wp:inline distT="0" distB="0" distL="0" distR="0" wp14:anchorId="3ADD94E1" wp14:editId="2BB8DA92">
            <wp:extent cx="4695825" cy="7393427"/>
            <wp:effectExtent l="0" t="0" r="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6945" cy="7395191"/>
                    </a:xfrm>
                    <a:prstGeom prst="rect">
                      <a:avLst/>
                    </a:prstGeom>
                    <a:noFill/>
                    <a:ln>
                      <a:noFill/>
                    </a:ln>
                  </pic:spPr>
                </pic:pic>
              </a:graphicData>
            </a:graphic>
          </wp:inline>
        </w:drawing>
      </w:r>
    </w:p>
    <w:p w14:paraId="1118A9F1" w14:textId="77777777" w:rsidR="00D33D0B" w:rsidRDefault="00D33D0B">
      <w:pPr>
        <w:spacing w:before="0"/>
        <w:jc w:val="left"/>
        <w:rPr>
          <w:rFonts w:asciiTheme="minorHAnsi" w:hAnsiTheme="minorHAnsi" w:cstheme="minorHAnsi"/>
        </w:rPr>
      </w:pPr>
      <w:r>
        <w:rPr>
          <w:rFonts w:asciiTheme="minorHAnsi" w:hAnsiTheme="minorHAnsi" w:cstheme="minorHAnsi"/>
        </w:rPr>
        <w:lastRenderedPageBreak/>
        <w:br w:type="page"/>
      </w:r>
    </w:p>
    <w:p w14:paraId="1BC5F7D1" w14:textId="77777777" w:rsidR="00761253" w:rsidRPr="00176FDB" w:rsidRDefault="00761253" w:rsidP="00E41615">
      <w:pPr>
        <w:pStyle w:val="Heading2"/>
      </w:pPr>
      <w:bookmarkStart w:id="13" w:name="_Toc92199516"/>
      <w:bookmarkStart w:id="14" w:name="_Toc98513778"/>
      <w:bookmarkStart w:id="15" w:name="_Toc98514194"/>
      <w:bookmarkStart w:id="16" w:name="_Toc100673905"/>
      <w:r w:rsidRPr="00176FDB">
        <w:lastRenderedPageBreak/>
        <w:t>Souhrnný přehled spotřeb a nákladů v referenčním roce</w:t>
      </w:r>
      <w:bookmarkEnd w:id="13"/>
      <w:bookmarkEnd w:id="14"/>
      <w:bookmarkEnd w:id="15"/>
      <w:bookmarkEnd w:id="16"/>
    </w:p>
    <w:p w14:paraId="41294686" w14:textId="3C38EEC9" w:rsidR="00761253" w:rsidRPr="00176FDB" w:rsidRDefault="00761253" w:rsidP="00244CA2">
      <w:pPr>
        <w:rPr>
          <w:rFonts w:asciiTheme="minorHAnsi" w:hAnsiTheme="minorHAnsi" w:cstheme="minorHAnsi"/>
        </w:rPr>
      </w:pPr>
      <w:r w:rsidRPr="00176FDB">
        <w:rPr>
          <w:rFonts w:asciiTheme="minorHAnsi" w:hAnsiTheme="minorHAnsi" w:cstheme="minorHAnsi"/>
        </w:rPr>
        <w:t>Z hlediska výpočtu dosažených úspor a posouzení splnění garance jsou rozhodující referenční spotřeby uvedené v Tab.1.1, které jsou použity při výpočtu úspory v souladu s Přílohou č.6.</w:t>
      </w:r>
      <w:r w:rsidR="00244CA2">
        <w:rPr>
          <w:rFonts w:asciiTheme="minorHAnsi" w:hAnsiTheme="minorHAnsi" w:cstheme="minorHAnsi"/>
        </w:rPr>
        <w:t xml:space="preserve"> </w:t>
      </w:r>
    </w:p>
    <w:p w14:paraId="38F2233F" w14:textId="491A846F" w:rsidR="00244CA2" w:rsidRDefault="00AF1459" w:rsidP="00244CA2">
      <w:pPr>
        <w:tabs>
          <w:tab w:val="left" w:pos="1134"/>
        </w:tabs>
        <w:rPr>
          <w:rFonts w:asciiTheme="minorHAnsi" w:hAnsiTheme="minorHAnsi" w:cstheme="minorHAnsi"/>
        </w:rPr>
      </w:pPr>
      <w:r w:rsidRPr="00AF1459">
        <w:rPr>
          <w:noProof/>
        </w:rPr>
        <w:drawing>
          <wp:inline distT="0" distB="0" distL="0" distR="0" wp14:anchorId="35A4ED99" wp14:editId="50362EEF">
            <wp:extent cx="5782310" cy="2651760"/>
            <wp:effectExtent l="0" t="0" r="889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2310" cy="2651760"/>
                    </a:xfrm>
                    <a:prstGeom prst="rect">
                      <a:avLst/>
                    </a:prstGeom>
                    <a:noFill/>
                    <a:ln>
                      <a:noFill/>
                    </a:ln>
                  </pic:spPr>
                </pic:pic>
              </a:graphicData>
            </a:graphic>
          </wp:inline>
        </w:drawing>
      </w:r>
    </w:p>
    <w:p w14:paraId="48143169" w14:textId="49A739CE" w:rsidR="00AC0307" w:rsidRDefault="001A1AC4" w:rsidP="00BD36FC">
      <w:pPr>
        <w:pStyle w:val="Heading1"/>
      </w:pPr>
      <w:bookmarkStart w:id="17" w:name="_Toc100673906"/>
      <w:r>
        <w:lastRenderedPageBreak/>
        <w:t>Příloha č. 2: Popis základních opatření</w:t>
      </w:r>
      <w:bookmarkEnd w:id="17"/>
    </w:p>
    <w:p w14:paraId="503FCD22" w14:textId="77777777" w:rsidR="00B05AAC" w:rsidRPr="00617A52" w:rsidRDefault="00B05AAC" w:rsidP="00B05AAC">
      <w:pPr>
        <w:tabs>
          <w:tab w:val="left" w:pos="1134"/>
        </w:tabs>
        <w:spacing w:before="240"/>
      </w:pPr>
      <w:r w:rsidRPr="00617A52">
        <w:t xml:space="preserve">Podstatou projektu je poskytnutí prací a služeb vedoucích ke snížení nákladů na provoz </w:t>
      </w:r>
      <w:r>
        <w:t>řešeného objektu</w:t>
      </w:r>
      <w:r w:rsidRPr="00617A52">
        <w:t xml:space="preserve">. </w:t>
      </w:r>
      <w:r>
        <w:t>R</w:t>
      </w:r>
      <w:r w:rsidRPr="00617A52">
        <w:t>ozsah činností</w:t>
      </w:r>
      <w:r>
        <w:t xml:space="preserve"> ESCO je následující</w:t>
      </w:r>
      <w:r w:rsidRPr="00617A52">
        <w:t>:</w:t>
      </w:r>
    </w:p>
    <w:p w14:paraId="3AAD76E1" w14:textId="77777777" w:rsidR="00B05AAC" w:rsidRDefault="00B05AAC" w:rsidP="00FE2739">
      <w:pPr>
        <w:pStyle w:val="ListParagraph"/>
        <w:numPr>
          <w:ilvl w:val="0"/>
          <w:numId w:val="19"/>
        </w:numPr>
        <w:tabs>
          <w:tab w:val="left" w:pos="709"/>
        </w:tabs>
      </w:pPr>
      <w:r w:rsidRPr="008927B7">
        <w:t>ověření skutečného stavu</w:t>
      </w:r>
      <w:r>
        <w:t xml:space="preserve"> dle čl. 5 Smlouvy,</w:t>
      </w:r>
    </w:p>
    <w:p w14:paraId="2BB6744D" w14:textId="77777777" w:rsidR="00B05AAC" w:rsidRDefault="00B05AAC" w:rsidP="00FE2739">
      <w:pPr>
        <w:pStyle w:val="ListParagraph"/>
        <w:numPr>
          <w:ilvl w:val="0"/>
          <w:numId w:val="19"/>
        </w:numPr>
        <w:tabs>
          <w:tab w:val="left" w:pos="709"/>
        </w:tabs>
      </w:pPr>
      <w:r>
        <w:t>zpracování projektové dokumentace a zajištění dalších činností pro zajištění stavebních povolení na realizaci úsporných opatření, budou-li dle nabídky účastníka s ohledem na navrhovaná opatření nezbytná a nebyly-li podklady poskytnuty zadavatelem,</w:t>
      </w:r>
    </w:p>
    <w:p w14:paraId="11986A4B" w14:textId="77777777" w:rsidR="00B05AAC" w:rsidRDefault="00B05AAC" w:rsidP="00FE2739">
      <w:pPr>
        <w:pStyle w:val="ListParagraph"/>
        <w:numPr>
          <w:ilvl w:val="0"/>
          <w:numId w:val="19"/>
        </w:numPr>
        <w:tabs>
          <w:tab w:val="left" w:pos="709"/>
        </w:tabs>
      </w:pPr>
      <w:r>
        <w:t>veškerá inženýrská činnost, zejména vyřízení náležitostí spojených se získáním stavebního povolení,</w:t>
      </w:r>
    </w:p>
    <w:p w14:paraId="1F327B31" w14:textId="77777777" w:rsidR="00B05AAC" w:rsidRDefault="00B05AAC" w:rsidP="00FE2739">
      <w:pPr>
        <w:pStyle w:val="ListParagraph"/>
        <w:numPr>
          <w:ilvl w:val="0"/>
          <w:numId w:val="19"/>
        </w:numPr>
        <w:tabs>
          <w:tab w:val="left" w:pos="709"/>
        </w:tabs>
      </w:pPr>
      <w:r w:rsidRPr="00617A52">
        <w:t xml:space="preserve">zpracování </w:t>
      </w:r>
      <w:r>
        <w:t xml:space="preserve">prováděcí </w:t>
      </w:r>
      <w:r w:rsidRPr="00617A52">
        <w:t>projektové dokumentace na realizaci úsporných opatření</w:t>
      </w:r>
      <w:r>
        <w:t>,</w:t>
      </w:r>
    </w:p>
    <w:p w14:paraId="6EACC643" w14:textId="77777777" w:rsidR="00B05AAC" w:rsidRPr="00617A52" w:rsidRDefault="00B05AAC" w:rsidP="00FE2739">
      <w:pPr>
        <w:pStyle w:val="ListParagraph"/>
        <w:numPr>
          <w:ilvl w:val="0"/>
          <w:numId w:val="19"/>
        </w:numPr>
        <w:tabs>
          <w:tab w:val="left" w:pos="709"/>
        </w:tabs>
      </w:pPr>
      <w:r>
        <w:t>zajištění</w:t>
      </w:r>
      <w:r w:rsidRPr="00617A52">
        <w:t xml:space="preserve"> náležitostí spojených se získáním stavebního povolení</w:t>
      </w:r>
      <w:r>
        <w:t xml:space="preserve">, ohlášení, </w:t>
      </w:r>
      <w:r w:rsidRPr="008927B7">
        <w:t xml:space="preserve">pokud </w:t>
      </w:r>
      <w:r>
        <w:t>je navržené opatření vyžaduje,</w:t>
      </w:r>
    </w:p>
    <w:p w14:paraId="753EF2C5" w14:textId="77777777" w:rsidR="00B05AAC" w:rsidRPr="00617A52" w:rsidRDefault="00B05AAC" w:rsidP="00FE2739">
      <w:pPr>
        <w:pStyle w:val="ListParagraph"/>
        <w:numPr>
          <w:ilvl w:val="0"/>
          <w:numId w:val="19"/>
        </w:numPr>
        <w:tabs>
          <w:tab w:val="left" w:pos="709"/>
        </w:tabs>
      </w:pPr>
      <w:r w:rsidRPr="00617A52">
        <w:t xml:space="preserve">dodávka a montáž </w:t>
      </w:r>
      <w:r>
        <w:t xml:space="preserve">navržených </w:t>
      </w:r>
      <w:r w:rsidRPr="00617A52">
        <w:t>úsporných opatření „na klíč“,</w:t>
      </w:r>
    </w:p>
    <w:p w14:paraId="0AF46848" w14:textId="77777777" w:rsidR="00B05AAC" w:rsidRPr="00617A52" w:rsidRDefault="00B05AAC" w:rsidP="00FE2739">
      <w:pPr>
        <w:pStyle w:val="ListParagraph"/>
        <w:numPr>
          <w:ilvl w:val="0"/>
          <w:numId w:val="19"/>
        </w:numPr>
        <w:tabs>
          <w:tab w:val="left" w:pos="709"/>
        </w:tabs>
      </w:pPr>
      <w:r w:rsidRPr="00617A52">
        <w:t>zpracování dokumentace skutečného provedení úsporných opatření,</w:t>
      </w:r>
    </w:p>
    <w:p w14:paraId="5D51373F" w14:textId="77777777" w:rsidR="00B05AAC" w:rsidRPr="00617A52" w:rsidRDefault="00B05AAC" w:rsidP="00FE2739">
      <w:pPr>
        <w:pStyle w:val="ListParagraph"/>
        <w:numPr>
          <w:ilvl w:val="0"/>
          <w:numId w:val="19"/>
        </w:numPr>
        <w:tabs>
          <w:tab w:val="left" w:pos="709"/>
        </w:tabs>
      </w:pPr>
      <w:r w:rsidRPr="00617A52">
        <w:t>vypracování provozního řádu</w:t>
      </w:r>
      <w:r>
        <w:t xml:space="preserve"> pro nově instalovaná zařízení</w:t>
      </w:r>
      <w:r w:rsidRPr="00617A52">
        <w:t xml:space="preserve"> a zaškolení obsluhy,</w:t>
      </w:r>
    </w:p>
    <w:p w14:paraId="0FC1425B" w14:textId="77777777" w:rsidR="00B05AAC" w:rsidRDefault="00B05AAC" w:rsidP="00FE2739">
      <w:pPr>
        <w:pStyle w:val="ListParagraph"/>
        <w:numPr>
          <w:ilvl w:val="0"/>
          <w:numId w:val="19"/>
        </w:numPr>
        <w:tabs>
          <w:tab w:val="left" w:pos="709"/>
        </w:tabs>
      </w:pPr>
      <w:r>
        <w:t>energetický management (služby zahrnující trvalé sledování a vyhodnocování dosahovaných úspor energie) po dobu trvání smluvního vztahu, včetně kontroly instalovaného zařízení,</w:t>
      </w:r>
    </w:p>
    <w:p w14:paraId="6E1E2D04" w14:textId="626B47C1" w:rsidR="003C78EA" w:rsidRDefault="003C78EA" w:rsidP="00FE2739">
      <w:pPr>
        <w:pStyle w:val="ListParagraph"/>
        <w:numPr>
          <w:ilvl w:val="0"/>
          <w:numId w:val="19"/>
        </w:numPr>
        <w:tabs>
          <w:tab w:val="left" w:pos="709"/>
        </w:tabs>
      </w:pPr>
      <w:r>
        <w:t>poskytnutí záruky za dosažení přepokládaných úspor,</w:t>
      </w:r>
    </w:p>
    <w:p w14:paraId="041B6811" w14:textId="71AF535E" w:rsidR="00B05AAC" w:rsidRDefault="00B05AAC" w:rsidP="00FE2739">
      <w:pPr>
        <w:pStyle w:val="ListParagraph"/>
        <w:numPr>
          <w:ilvl w:val="0"/>
          <w:numId w:val="19"/>
        </w:numPr>
        <w:tabs>
          <w:tab w:val="left" w:pos="709"/>
        </w:tabs>
      </w:pPr>
      <w:r w:rsidRPr="00F75D8A">
        <w:t>sledování a vyhodnocování dosažených výsledků po dobu trvání smluvního vztahu</w:t>
      </w:r>
      <w:r>
        <w:t>,</w:t>
      </w:r>
    </w:p>
    <w:p w14:paraId="2A7400D6" w14:textId="77777777" w:rsidR="00B05AAC" w:rsidRPr="00617A52" w:rsidRDefault="00B05AAC" w:rsidP="00FE2739">
      <w:pPr>
        <w:pStyle w:val="ListParagraph"/>
        <w:numPr>
          <w:ilvl w:val="0"/>
          <w:numId w:val="19"/>
        </w:numPr>
        <w:tabs>
          <w:tab w:val="left" w:pos="709"/>
        </w:tabs>
      </w:pPr>
      <w:r>
        <w:t xml:space="preserve">převzetí garance za úsporná opatření na stavební části projektu – viz investiční opatření prováděná Klientem, která jsou specifikována ve smlouvě o energetických službách určených veřejnému zadavateli. </w:t>
      </w:r>
    </w:p>
    <w:p w14:paraId="3F50CF1C" w14:textId="77777777" w:rsidR="00B05AAC" w:rsidRDefault="00B05AAC" w:rsidP="00B05AAC">
      <w:pPr>
        <w:widowControl w:val="0"/>
        <w:autoSpaceDE w:val="0"/>
        <w:autoSpaceDN w:val="0"/>
        <w:adjustRightInd w:val="0"/>
        <w:rPr>
          <w:rFonts w:cs="Arial"/>
          <w:color w:val="000000"/>
        </w:rPr>
      </w:pPr>
      <w:r>
        <w:rPr>
          <w:rFonts w:cs="Arial"/>
          <w:color w:val="000000"/>
        </w:rPr>
        <w:t xml:space="preserve">Předmětem projektu není </w:t>
      </w:r>
      <w:r w:rsidRPr="00617A52">
        <w:rPr>
          <w:rFonts w:cs="Arial"/>
          <w:color w:val="000000"/>
        </w:rPr>
        <w:t xml:space="preserve">pronájem předmětného zařízení </w:t>
      </w:r>
      <w:r>
        <w:rPr>
          <w:rFonts w:cs="Arial"/>
          <w:color w:val="000000"/>
        </w:rPr>
        <w:t xml:space="preserve">a </w:t>
      </w:r>
      <w:r w:rsidRPr="00617A52">
        <w:rPr>
          <w:rFonts w:cs="Arial"/>
          <w:color w:val="000000"/>
        </w:rPr>
        <w:t>jeho provozování</w:t>
      </w:r>
      <w:r>
        <w:rPr>
          <w:rFonts w:cs="Arial"/>
          <w:color w:val="000000"/>
        </w:rPr>
        <w:t xml:space="preserve"> ze strany ESCO ani </w:t>
      </w:r>
      <w:r w:rsidRPr="00617A52">
        <w:rPr>
          <w:rFonts w:cs="Arial"/>
          <w:color w:val="000000"/>
        </w:rPr>
        <w:t xml:space="preserve">nákup </w:t>
      </w:r>
      <w:r>
        <w:rPr>
          <w:rFonts w:cs="Arial"/>
          <w:color w:val="000000"/>
        </w:rPr>
        <w:t>tepla</w:t>
      </w:r>
      <w:r w:rsidRPr="00617A52">
        <w:rPr>
          <w:rFonts w:cs="Arial"/>
          <w:color w:val="000000"/>
        </w:rPr>
        <w:t xml:space="preserve"> nebo zemního plynu </w:t>
      </w:r>
      <w:r>
        <w:rPr>
          <w:rFonts w:cs="Arial"/>
          <w:color w:val="000000"/>
        </w:rPr>
        <w:t>ze strany ESCO</w:t>
      </w:r>
      <w:r w:rsidRPr="00617A52">
        <w:rPr>
          <w:rFonts w:cs="Arial"/>
          <w:color w:val="000000"/>
        </w:rPr>
        <w:t xml:space="preserve"> a následný prodej tepelné energie </w:t>
      </w:r>
      <w:r>
        <w:rPr>
          <w:rFonts w:cs="Arial"/>
          <w:color w:val="000000"/>
        </w:rPr>
        <w:t>Klientovi</w:t>
      </w:r>
      <w:r w:rsidRPr="00617A52">
        <w:rPr>
          <w:rFonts w:cs="Arial"/>
          <w:color w:val="000000"/>
        </w:rPr>
        <w:t>.</w:t>
      </w:r>
    </w:p>
    <w:p w14:paraId="1A2635F2" w14:textId="77777777" w:rsidR="00B05AAC" w:rsidRDefault="00B05AAC" w:rsidP="00B05AAC">
      <w:pPr>
        <w:widowControl w:val="0"/>
        <w:autoSpaceDE w:val="0"/>
        <w:autoSpaceDN w:val="0"/>
        <w:adjustRightInd w:val="0"/>
        <w:rPr>
          <w:rFonts w:cs="Arial"/>
          <w:color w:val="000000"/>
        </w:rPr>
      </w:pPr>
      <w:r>
        <w:rPr>
          <w:rFonts w:cs="Arial"/>
          <w:color w:val="000000"/>
        </w:rPr>
        <w:t>Součástí opatření je z</w:t>
      </w:r>
      <w:r w:rsidRPr="001D3038">
        <w:rPr>
          <w:rFonts w:cs="Arial"/>
          <w:color w:val="000000"/>
        </w:rPr>
        <w:t>avedení energetického managementu dle podmínek OPŽP</w:t>
      </w:r>
      <w:r>
        <w:rPr>
          <w:rFonts w:cs="Arial"/>
          <w:color w:val="000000"/>
        </w:rPr>
        <w:t xml:space="preserve"> platných pro 146. výzvu Specifického cíle 5.1 - </w:t>
      </w:r>
      <w:r w:rsidRPr="001D3038">
        <w:rPr>
          <w:rFonts w:cs="Arial"/>
          <w:color w:val="000000"/>
        </w:rPr>
        <w:t>Snížení energetické náročnosti veřejných budov a zvýšení využití obnovitelných zdrojů energie.</w:t>
      </w:r>
    </w:p>
    <w:p w14:paraId="46F05769" w14:textId="77777777" w:rsidR="00B05AAC" w:rsidRDefault="00B05AAC" w:rsidP="00B05AAC">
      <w:pPr>
        <w:widowControl w:val="0"/>
        <w:autoSpaceDE w:val="0"/>
        <w:autoSpaceDN w:val="0"/>
        <w:adjustRightInd w:val="0"/>
        <w:rPr>
          <w:rFonts w:cs="Arial"/>
        </w:rPr>
      </w:pPr>
      <w:r>
        <w:rPr>
          <w:rFonts w:cs="Arial"/>
        </w:rPr>
        <w:t xml:space="preserve">V případě opatření zahrnujících vizualizaci na řídicím dispečinku se předpokládá využití stávající PC sítě a systému </w:t>
      </w:r>
      <w:proofErr w:type="spellStart"/>
      <w:r>
        <w:rPr>
          <w:rFonts w:cs="Arial"/>
        </w:rPr>
        <w:t>Reliance</w:t>
      </w:r>
      <w:proofErr w:type="spellEnd"/>
      <w:r>
        <w:rPr>
          <w:rFonts w:cs="Arial"/>
        </w:rPr>
        <w:t>.</w:t>
      </w:r>
    </w:p>
    <w:p w14:paraId="75BF1E21" w14:textId="77777777" w:rsidR="00E27D84" w:rsidRDefault="00E27D84" w:rsidP="00B05AAC">
      <w:pPr>
        <w:spacing w:before="0"/>
        <w:jc w:val="left"/>
        <w:rPr>
          <w:b/>
          <w:sz w:val="28"/>
          <w:szCs w:val="28"/>
          <w:u w:val="single"/>
        </w:rPr>
      </w:pPr>
    </w:p>
    <w:p w14:paraId="0D563076" w14:textId="22D9BA8D" w:rsidR="00B05AAC" w:rsidRDefault="00E27D84" w:rsidP="00B05AAC">
      <w:pPr>
        <w:spacing w:before="0"/>
        <w:jc w:val="left"/>
        <w:rPr>
          <w:b/>
          <w:sz w:val="28"/>
          <w:szCs w:val="28"/>
          <w:u w:val="single"/>
        </w:rPr>
      </w:pPr>
      <w:bookmarkStart w:id="18" w:name="OLE_LINK1"/>
      <w:bookmarkStart w:id="19" w:name="OLE_LINK2"/>
      <w:r>
        <w:rPr>
          <w:b/>
          <w:sz w:val="28"/>
          <w:szCs w:val="28"/>
          <w:u w:val="single"/>
        </w:rPr>
        <w:t>Zadavatel v souladu s § 3 odst. 2, písm. b zákona č. 340/2015 Sb. nezveřejňuje další obsah přílohy č. 2.</w:t>
      </w:r>
      <w:bookmarkEnd w:id="18"/>
      <w:bookmarkEnd w:id="19"/>
      <w:r w:rsidR="00B05AAC">
        <w:rPr>
          <w:b/>
          <w:sz w:val="28"/>
          <w:szCs w:val="28"/>
          <w:u w:val="single"/>
        </w:rPr>
        <w:br w:type="page"/>
      </w:r>
    </w:p>
    <w:p w14:paraId="3E28CCFE" w14:textId="13F459BE" w:rsidR="007E46B6" w:rsidRPr="0014543A" w:rsidRDefault="007E46B6" w:rsidP="0014543A">
      <w:pPr>
        <w:sectPr w:rsidR="007E46B6" w:rsidRPr="0014543A" w:rsidSect="003E3AEC">
          <w:headerReference w:type="even" r:id="rId63"/>
          <w:headerReference w:type="default" r:id="rId64"/>
          <w:footerReference w:type="default" r:id="rId65"/>
          <w:headerReference w:type="first" r:id="rId66"/>
          <w:pgSz w:w="16838" w:h="11906" w:orient="landscape"/>
          <w:pgMar w:top="1418" w:right="1418" w:bottom="1416" w:left="1134" w:header="709" w:footer="709" w:gutter="0"/>
          <w:cols w:space="708"/>
          <w:docGrid w:linePitch="360"/>
        </w:sectPr>
      </w:pPr>
    </w:p>
    <w:p w14:paraId="48143290" w14:textId="26EA43AE" w:rsidR="00AC0307" w:rsidRDefault="001A1AC4" w:rsidP="00BD36FC">
      <w:pPr>
        <w:pStyle w:val="Heading1"/>
        <w:spacing w:before="120"/>
      </w:pPr>
      <w:bookmarkStart w:id="20" w:name="_Toc100673907"/>
      <w:r>
        <w:lastRenderedPageBreak/>
        <w:t>Příloha č. 3: Cena a její úhrada</w:t>
      </w:r>
      <w:bookmarkEnd w:id="20"/>
    </w:p>
    <w:p w14:paraId="29923B97" w14:textId="3CCBFB6B" w:rsidR="00A87D42" w:rsidRDefault="00A87D42" w:rsidP="00A87D42">
      <w:pPr>
        <w:rPr>
          <w:b/>
          <w:lang w:eastAsia="cs-CZ"/>
        </w:rPr>
      </w:pPr>
    </w:p>
    <w:p w14:paraId="04BB2434" w14:textId="0FEC581F" w:rsidR="00B75AF6" w:rsidRPr="00133BB7" w:rsidRDefault="00F47BE3">
      <w:pPr>
        <w:spacing w:before="0"/>
        <w:jc w:val="left"/>
        <w:rPr>
          <w:rFonts w:asciiTheme="minorHAnsi" w:hAnsiTheme="minorHAnsi" w:cstheme="minorHAnsi"/>
        </w:rPr>
      </w:pPr>
      <w:r w:rsidRPr="00F47BE3">
        <w:rPr>
          <w:noProof/>
        </w:rPr>
        <w:drawing>
          <wp:inline distT="0" distB="0" distL="0" distR="0" wp14:anchorId="65074407" wp14:editId="491F414D">
            <wp:extent cx="5760720" cy="4318000"/>
            <wp:effectExtent l="0" t="0" r="0" b="635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r w:rsidR="00B75AF6" w:rsidRPr="00133BB7">
        <w:rPr>
          <w:rFonts w:asciiTheme="minorHAnsi" w:hAnsiTheme="minorHAnsi" w:cstheme="minorHAnsi"/>
        </w:rPr>
        <w:br w:type="page"/>
      </w:r>
    </w:p>
    <w:p w14:paraId="2249FEE8" w14:textId="1B902A80" w:rsidR="00B75AF6" w:rsidRPr="0062605A" w:rsidRDefault="00B75AF6" w:rsidP="00FE2739">
      <w:pPr>
        <w:pStyle w:val="ListParagraph"/>
        <w:numPr>
          <w:ilvl w:val="0"/>
          <w:numId w:val="22"/>
        </w:numPr>
        <w:tabs>
          <w:tab w:val="left" w:pos="1134"/>
        </w:tabs>
        <w:spacing w:before="0" w:line="276" w:lineRule="auto"/>
        <w:ind w:left="567" w:hanging="567"/>
        <w:rPr>
          <w:rFonts w:asciiTheme="minorHAnsi" w:hAnsiTheme="minorHAnsi" w:cstheme="minorHAnsi"/>
          <w:b/>
          <w:sz w:val="28"/>
          <w:szCs w:val="28"/>
          <w:u w:val="single"/>
        </w:rPr>
      </w:pPr>
      <w:r w:rsidRPr="0062605A">
        <w:rPr>
          <w:rFonts w:asciiTheme="minorHAnsi" w:hAnsiTheme="minorHAnsi" w:cstheme="minorHAnsi"/>
          <w:b/>
          <w:sz w:val="28"/>
          <w:szCs w:val="28"/>
          <w:u w:val="single"/>
        </w:rPr>
        <w:lastRenderedPageBreak/>
        <w:t>CENA ZA PROVEDENÍ ZÁKLADNÍCH OPATŘENÍ</w:t>
      </w:r>
    </w:p>
    <w:p w14:paraId="0BC4DA02" w14:textId="77777777" w:rsidR="00B75AF6" w:rsidRPr="008E654B" w:rsidRDefault="00B75AF6" w:rsidP="00B75AF6">
      <w:pPr>
        <w:rPr>
          <w:rFonts w:asciiTheme="minorHAnsi" w:hAnsiTheme="minorHAnsi" w:cstheme="minorHAnsi"/>
        </w:rPr>
      </w:pPr>
      <w:r w:rsidRPr="008E654B">
        <w:rPr>
          <w:rFonts w:asciiTheme="minorHAnsi" w:hAnsiTheme="minorHAnsi" w:cstheme="minorHAnsi"/>
        </w:rPr>
        <w:t>Cena za provedení souboru základních opatření popsaných v Příloze č. 2 je uvedena v souladu s čl. 17 smlouvy po realizovaných opatřeních v Tab.3.1.</w:t>
      </w:r>
    </w:p>
    <w:p w14:paraId="19EC3C65" w14:textId="6570F1F6" w:rsidR="00B75AF6" w:rsidRDefault="00B75AF6" w:rsidP="00B75AF6">
      <w:pPr>
        <w:spacing w:before="240"/>
        <w:rPr>
          <w:rFonts w:asciiTheme="minorHAnsi" w:hAnsiTheme="minorHAnsi" w:cstheme="minorHAnsi"/>
        </w:rPr>
      </w:pPr>
      <w:r w:rsidRPr="008E654B">
        <w:rPr>
          <w:rFonts w:asciiTheme="minorHAnsi" w:hAnsiTheme="minorHAnsi" w:cstheme="minorHAnsi"/>
        </w:rPr>
        <w:t>Tab.3.1 Cena za provedení základních opatření – rozpočet</w:t>
      </w:r>
    </w:p>
    <w:p w14:paraId="38FF61E1" w14:textId="2CCE0906" w:rsidR="00783DB3" w:rsidRDefault="00783DB3" w:rsidP="00B75AF6">
      <w:pPr>
        <w:spacing w:before="240"/>
        <w:rPr>
          <w:rFonts w:asciiTheme="minorHAnsi" w:hAnsiTheme="minorHAnsi" w:cstheme="minorHAnsi"/>
        </w:rPr>
      </w:pPr>
      <w:r w:rsidRPr="00783DB3">
        <w:rPr>
          <w:noProof/>
        </w:rPr>
        <w:drawing>
          <wp:inline distT="0" distB="0" distL="0" distR="0" wp14:anchorId="6D7DC3CE" wp14:editId="0EC13934">
            <wp:extent cx="5848350" cy="163099"/>
            <wp:effectExtent l="0" t="0" r="0" b="889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7316" cy="164743"/>
                    </a:xfrm>
                    <a:prstGeom prst="rect">
                      <a:avLst/>
                    </a:prstGeom>
                    <a:noFill/>
                    <a:ln>
                      <a:noFill/>
                    </a:ln>
                  </pic:spPr>
                </pic:pic>
              </a:graphicData>
            </a:graphic>
          </wp:inline>
        </w:drawing>
      </w:r>
    </w:p>
    <w:p w14:paraId="16D5B4FA" w14:textId="504E9B26" w:rsidR="00B75AF6" w:rsidRDefault="009C5B71" w:rsidP="00B75AF6">
      <w:pPr>
        <w:spacing w:before="0"/>
        <w:jc w:val="left"/>
        <w:rPr>
          <w:b/>
          <w:lang w:eastAsia="cs-CZ"/>
        </w:rPr>
      </w:pPr>
      <w:r w:rsidRPr="009C5B71">
        <w:rPr>
          <w:noProof/>
        </w:rPr>
        <w:drawing>
          <wp:inline distT="0" distB="0" distL="0" distR="0" wp14:anchorId="005E71EB" wp14:editId="4394BC96">
            <wp:extent cx="5760720" cy="6455410"/>
            <wp:effectExtent l="0" t="0" r="0" b="2540"/>
            <wp:docPr id="2249" name="Obrázek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6455410"/>
                    </a:xfrm>
                    <a:prstGeom prst="rect">
                      <a:avLst/>
                    </a:prstGeom>
                    <a:noFill/>
                    <a:ln>
                      <a:noFill/>
                    </a:ln>
                  </pic:spPr>
                </pic:pic>
              </a:graphicData>
            </a:graphic>
          </wp:inline>
        </w:drawing>
      </w:r>
    </w:p>
    <w:p w14:paraId="5C6F5708" w14:textId="3FA59A9F" w:rsidR="00B75AF6" w:rsidRDefault="009C5B71" w:rsidP="00A87D42">
      <w:pPr>
        <w:rPr>
          <w:b/>
          <w:lang w:eastAsia="cs-CZ"/>
        </w:rPr>
      </w:pPr>
      <w:r w:rsidRPr="009C5B71">
        <w:rPr>
          <w:noProof/>
        </w:rPr>
        <w:lastRenderedPageBreak/>
        <w:drawing>
          <wp:inline distT="0" distB="0" distL="0" distR="0" wp14:anchorId="5330C807" wp14:editId="0B6338B2">
            <wp:extent cx="5760720" cy="6890385"/>
            <wp:effectExtent l="0" t="0" r="0" b="5715"/>
            <wp:docPr id="2250" name="Obrázek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6890385"/>
                    </a:xfrm>
                    <a:prstGeom prst="rect">
                      <a:avLst/>
                    </a:prstGeom>
                    <a:noFill/>
                    <a:ln>
                      <a:noFill/>
                    </a:ln>
                  </pic:spPr>
                </pic:pic>
              </a:graphicData>
            </a:graphic>
          </wp:inline>
        </w:drawing>
      </w:r>
    </w:p>
    <w:p w14:paraId="354A7535" w14:textId="32F7BC01" w:rsidR="00B75AF6" w:rsidRDefault="00B75AF6" w:rsidP="00A87D42">
      <w:pPr>
        <w:rPr>
          <w:noProof/>
        </w:rPr>
      </w:pPr>
    </w:p>
    <w:p w14:paraId="64F4357F" w14:textId="02046B2F" w:rsidR="00D866FE" w:rsidRDefault="00D866FE" w:rsidP="00A87D42">
      <w:pPr>
        <w:rPr>
          <w:noProof/>
        </w:rPr>
      </w:pPr>
    </w:p>
    <w:p w14:paraId="7E908857" w14:textId="09CB8080" w:rsidR="00D866FE" w:rsidRDefault="00D866FE" w:rsidP="00A87D42">
      <w:pPr>
        <w:rPr>
          <w:noProof/>
        </w:rPr>
      </w:pPr>
    </w:p>
    <w:p w14:paraId="5F0D6186" w14:textId="108A065D" w:rsidR="00D866FE" w:rsidRDefault="00D866FE" w:rsidP="00A87D42">
      <w:pPr>
        <w:rPr>
          <w:b/>
          <w:lang w:eastAsia="cs-CZ"/>
        </w:rPr>
      </w:pPr>
    </w:p>
    <w:p w14:paraId="2C2F233E" w14:textId="77777777" w:rsidR="00680721" w:rsidRDefault="00680721" w:rsidP="00A87D42">
      <w:pPr>
        <w:rPr>
          <w:b/>
          <w:lang w:eastAsia="cs-CZ"/>
        </w:rPr>
      </w:pPr>
    </w:p>
    <w:p w14:paraId="5F746EF7" w14:textId="2E853407" w:rsidR="00B75AF6" w:rsidRDefault="00B75AF6" w:rsidP="00A87D42">
      <w:pPr>
        <w:rPr>
          <w:b/>
          <w:lang w:eastAsia="cs-CZ"/>
        </w:rPr>
      </w:pPr>
    </w:p>
    <w:p w14:paraId="7B6EAA58" w14:textId="0CDC4833" w:rsidR="00B75AF6" w:rsidRDefault="00B75AF6" w:rsidP="00A87D42">
      <w:pPr>
        <w:rPr>
          <w:b/>
          <w:lang w:eastAsia="cs-CZ"/>
        </w:rPr>
      </w:pPr>
    </w:p>
    <w:p w14:paraId="3EFA5230" w14:textId="77777777" w:rsidR="00D866FE" w:rsidRDefault="00D866FE" w:rsidP="00A87D42">
      <w:pPr>
        <w:spacing w:before="0"/>
        <w:jc w:val="left"/>
        <w:rPr>
          <w:b/>
          <w:lang w:eastAsia="cs-CZ"/>
        </w:rPr>
      </w:pPr>
    </w:p>
    <w:p w14:paraId="510BE92D" w14:textId="4729B03B" w:rsidR="00A87D42" w:rsidRDefault="00A87D42" w:rsidP="00A87D42">
      <w:pPr>
        <w:spacing w:before="0"/>
        <w:jc w:val="left"/>
        <w:rPr>
          <w:b/>
          <w:lang w:eastAsia="cs-CZ"/>
        </w:rPr>
      </w:pPr>
      <w:r>
        <w:rPr>
          <w:b/>
          <w:lang w:eastAsia="cs-CZ"/>
        </w:rPr>
        <w:br w:type="page"/>
      </w:r>
    </w:p>
    <w:p w14:paraId="50FD3E16" w14:textId="77777777" w:rsidR="00A87D42" w:rsidRDefault="00A87D42" w:rsidP="00A87D42">
      <w:pPr>
        <w:spacing w:before="0"/>
        <w:jc w:val="left"/>
        <w:rPr>
          <w:b/>
          <w:lang w:eastAsia="cs-CZ"/>
        </w:rPr>
        <w:sectPr w:rsidR="00A87D42" w:rsidSect="00BD36FC">
          <w:headerReference w:type="even" r:id="rId71"/>
          <w:headerReference w:type="default" r:id="rId72"/>
          <w:footerReference w:type="default" r:id="rId73"/>
          <w:headerReference w:type="first" r:id="rId74"/>
          <w:pgSz w:w="11906" w:h="16838"/>
          <w:pgMar w:top="1418" w:right="1416" w:bottom="1134" w:left="1418" w:header="709" w:footer="709" w:gutter="0"/>
          <w:cols w:space="708"/>
          <w:docGrid w:linePitch="360"/>
        </w:sectPr>
      </w:pPr>
    </w:p>
    <w:p w14:paraId="050C071C" w14:textId="691EC0CD" w:rsidR="00783DB3" w:rsidRDefault="009C5B71">
      <w:pPr>
        <w:spacing w:before="0"/>
        <w:jc w:val="left"/>
        <w:rPr>
          <w:rFonts w:asciiTheme="minorHAnsi" w:hAnsiTheme="minorHAnsi" w:cstheme="minorHAnsi"/>
          <w:b/>
          <w:sz w:val="28"/>
          <w:szCs w:val="28"/>
          <w:u w:val="single"/>
        </w:rPr>
      </w:pPr>
      <w:r w:rsidRPr="009C5B71">
        <w:rPr>
          <w:noProof/>
        </w:rPr>
        <w:lastRenderedPageBreak/>
        <w:drawing>
          <wp:inline distT="0" distB="0" distL="0" distR="0" wp14:anchorId="2695C88A" wp14:editId="042AD734">
            <wp:extent cx="5760720" cy="2524760"/>
            <wp:effectExtent l="0" t="0" r="0" b="8890"/>
            <wp:docPr id="2262" name="Obrázek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524760"/>
                    </a:xfrm>
                    <a:prstGeom prst="rect">
                      <a:avLst/>
                    </a:prstGeom>
                    <a:noFill/>
                    <a:ln>
                      <a:noFill/>
                    </a:ln>
                  </pic:spPr>
                </pic:pic>
              </a:graphicData>
            </a:graphic>
          </wp:inline>
        </w:drawing>
      </w:r>
    </w:p>
    <w:p w14:paraId="01CF6E65" w14:textId="313ACEA8" w:rsidR="00783DB3" w:rsidRDefault="00783DB3">
      <w:pPr>
        <w:spacing w:before="0"/>
        <w:jc w:val="left"/>
        <w:rPr>
          <w:rFonts w:asciiTheme="minorHAnsi" w:hAnsiTheme="minorHAnsi" w:cstheme="minorHAnsi"/>
          <w:b/>
          <w:sz w:val="28"/>
          <w:szCs w:val="28"/>
          <w:u w:val="single"/>
        </w:rPr>
      </w:pPr>
    </w:p>
    <w:p w14:paraId="3816C26C" w14:textId="2CCA9838" w:rsidR="00783DB3" w:rsidRDefault="00783DB3">
      <w:pPr>
        <w:spacing w:before="0"/>
        <w:jc w:val="left"/>
        <w:rPr>
          <w:rFonts w:asciiTheme="minorHAnsi" w:hAnsiTheme="minorHAnsi" w:cstheme="minorHAnsi"/>
          <w:b/>
          <w:sz w:val="28"/>
          <w:szCs w:val="28"/>
          <w:u w:val="single"/>
        </w:rPr>
      </w:pPr>
      <w:r w:rsidRPr="00783DB3">
        <w:rPr>
          <w:noProof/>
        </w:rPr>
        <w:drawing>
          <wp:inline distT="0" distB="0" distL="0" distR="0" wp14:anchorId="50F55A72" wp14:editId="72453E38">
            <wp:extent cx="5760720" cy="150495"/>
            <wp:effectExtent l="0" t="0" r="0" b="190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150495"/>
                    </a:xfrm>
                    <a:prstGeom prst="rect">
                      <a:avLst/>
                    </a:prstGeom>
                    <a:noFill/>
                    <a:ln>
                      <a:noFill/>
                    </a:ln>
                  </pic:spPr>
                </pic:pic>
              </a:graphicData>
            </a:graphic>
          </wp:inline>
        </w:drawing>
      </w:r>
    </w:p>
    <w:p w14:paraId="4324DBA2" w14:textId="66B3771F" w:rsidR="00783DB3" w:rsidRDefault="009C5B71">
      <w:pPr>
        <w:spacing w:before="0"/>
        <w:jc w:val="left"/>
        <w:rPr>
          <w:rFonts w:asciiTheme="minorHAnsi" w:hAnsiTheme="minorHAnsi" w:cstheme="minorHAnsi"/>
          <w:b/>
          <w:sz w:val="28"/>
          <w:szCs w:val="28"/>
          <w:u w:val="single"/>
        </w:rPr>
      </w:pPr>
      <w:r w:rsidRPr="009C5B71">
        <w:rPr>
          <w:noProof/>
        </w:rPr>
        <w:drawing>
          <wp:inline distT="0" distB="0" distL="0" distR="0" wp14:anchorId="78B95ABE" wp14:editId="4862B35B">
            <wp:extent cx="5760720" cy="3373755"/>
            <wp:effectExtent l="0" t="0" r="0" b="0"/>
            <wp:docPr id="2263" name="Obrázek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373755"/>
                    </a:xfrm>
                    <a:prstGeom prst="rect">
                      <a:avLst/>
                    </a:prstGeom>
                    <a:noFill/>
                    <a:ln>
                      <a:noFill/>
                    </a:ln>
                  </pic:spPr>
                </pic:pic>
              </a:graphicData>
            </a:graphic>
          </wp:inline>
        </w:drawing>
      </w:r>
      <w:r w:rsidR="00783DB3">
        <w:rPr>
          <w:rFonts w:asciiTheme="minorHAnsi" w:hAnsiTheme="minorHAnsi" w:cstheme="minorHAnsi"/>
          <w:b/>
          <w:sz w:val="28"/>
          <w:szCs w:val="28"/>
          <w:u w:val="single"/>
        </w:rPr>
        <w:br w:type="page"/>
      </w:r>
    </w:p>
    <w:p w14:paraId="252E03CA" w14:textId="1A22C679" w:rsidR="00A87D42" w:rsidRPr="008E654B" w:rsidRDefault="00A87D42" w:rsidP="00FE2739">
      <w:pPr>
        <w:pStyle w:val="ListParagraph"/>
        <w:numPr>
          <w:ilvl w:val="0"/>
          <w:numId w:val="22"/>
        </w:numPr>
        <w:tabs>
          <w:tab w:val="left" w:pos="1134"/>
        </w:tabs>
        <w:spacing w:before="360" w:line="276" w:lineRule="auto"/>
        <w:ind w:left="567" w:hanging="567"/>
        <w:rPr>
          <w:rFonts w:asciiTheme="minorHAnsi" w:hAnsiTheme="minorHAnsi" w:cstheme="minorHAnsi"/>
          <w:b/>
          <w:sz w:val="28"/>
          <w:szCs w:val="28"/>
          <w:u w:val="single"/>
        </w:rPr>
      </w:pPr>
      <w:r w:rsidRPr="008E654B">
        <w:rPr>
          <w:rFonts w:asciiTheme="minorHAnsi" w:hAnsiTheme="minorHAnsi" w:cstheme="minorHAnsi"/>
          <w:b/>
          <w:sz w:val="28"/>
          <w:szCs w:val="28"/>
          <w:u w:val="single"/>
        </w:rPr>
        <w:lastRenderedPageBreak/>
        <w:t>CENA ENERGETICKÉHO MANAGEMENTU</w:t>
      </w:r>
    </w:p>
    <w:p w14:paraId="71541D7E" w14:textId="77777777" w:rsidR="00A87D42" w:rsidRPr="008E654B" w:rsidRDefault="00A87D42" w:rsidP="00A87D42">
      <w:pPr>
        <w:rPr>
          <w:rFonts w:asciiTheme="minorHAnsi" w:hAnsiTheme="minorHAnsi" w:cstheme="minorHAnsi"/>
        </w:rPr>
      </w:pPr>
      <w:r w:rsidRPr="008E654B">
        <w:rPr>
          <w:rFonts w:asciiTheme="minorHAnsi" w:hAnsiTheme="minorHAnsi" w:cstheme="minorHAnsi"/>
        </w:rPr>
        <w:t>V souladu s čl. 18 smlouvy je cena energetického managementu uvedena v Tab.3.2.</w:t>
      </w:r>
    </w:p>
    <w:p w14:paraId="67BDB4B5" w14:textId="77777777" w:rsidR="00A87D42" w:rsidRPr="008E654B" w:rsidRDefault="00A87D42" w:rsidP="00A87D42">
      <w:pPr>
        <w:keepNext/>
        <w:tabs>
          <w:tab w:val="left" w:pos="1134"/>
        </w:tabs>
        <w:spacing w:before="240"/>
        <w:jc w:val="left"/>
        <w:rPr>
          <w:rFonts w:asciiTheme="minorHAnsi" w:hAnsiTheme="minorHAnsi" w:cstheme="minorHAnsi"/>
        </w:rPr>
      </w:pPr>
      <w:r w:rsidRPr="008E654B">
        <w:rPr>
          <w:rFonts w:asciiTheme="minorHAnsi" w:hAnsiTheme="minorHAnsi" w:cstheme="minorHAnsi"/>
        </w:rPr>
        <w:t>Tab.3.2</w:t>
      </w:r>
      <w:r w:rsidRPr="008E654B">
        <w:rPr>
          <w:rFonts w:asciiTheme="minorHAnsi" w:hAnsiTheme="minorHAnsi" w:cstheme="minorHAnsi"/>
        </w:rPr>
        <w:tab/>
        <w:t>Cena energetického managementu v Kč bez DPH</w:t>
      </w:r>
    </w:p>
    <w:p w14:paraId="73CA6FCC" w14:textId="3DBA5077" w:rsidR="00A87D42" w:rsidRDefault="00F47BE3" w:rsidP="00A87D42">
      <w:pPr>
        <w:rPr>
          <w:b/>
          <w:lang w:eastAsia="cs-CZ"/>
        </w:rPr>
      </w:pPr>
      <w:r w:rsidRPr="00F47BE3">
        <w:rPr>
          <w:noProof/>
        </w:rPr>
        <w:drawing>
          <wp:inline distT="0" distB="0" distL="0" distR="0" wp14:anchorId="010F1C61" wp14:editId="0902BE15">
            <wp:extent cx="5791200" cy="234315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200" cy="2343150"/>
                    </a:xfrm>
                    <a:prstGeom prst="rect">
                      <a:avLst/>
                    </a:prstGeom>
                    <a:noFill/>
                    <a:ln>
                      <a:noFill/>
                    </a:ln>
                  </pic:spPr>
                </pic:pic>
              </a:graphicData>
            </a:graphic>
          </wp:inline>
        </w:drawing>
      </w:r>
    </w:p>
    <w:p w14:paraId="200FC4BA" w14:textId="0957CD03" w:rsidR="00A87D42" w:rsidRPr="00A87D42" w:rsidRDefault="00A87D42" w:rsidP="00A87D42">
      <w:pPr>
        <w:rPr>
          <w:bCs/>
          <w:lang w:eastAsia="cs-CZ"/>
        </w:rPr>
      </w:pPr>
      <w:r w:rsidRPr="00A87D42">
        <w:rPr>
          <w:bCs/>
          <w:lang w:eastAsia="cs-CZ"/>
        </w:rPr>
        <w:t>Cena za energetický management se skládá ze dvou složek:</w:t>
      </w:r>
    </w:p>
    <w:p w14:paraId="17FAD0B7" w14:textId="3728DF27" w:rsidR="00A87D42" w:rsidRPr="00A87D42" w:rsidRDefault="00A87D42" w:rsidP="00FE2739">
      <w:pPr>
        <w:pStyle w:val="ListParagraph"/>
        <w:numPr>
          <w:ilvl w:val="0"/>
          <w:numId w:val="23"/>
        </w:numPr>
        <w:rPr>
          <w:bCs/>
          <w:lang w:eastAsia="cs-CZ"/>
        </w:rPr>
      </w:pPr>
      <w:r w:rsidRPr="00A87D42">
        <w:rPr>
          <w:bCs/>
          <w:lang w:eastAsia="cs-CZ"/>
        </w:rPr>
        <w:t>Cena za poskytování energetického managementu ve formě trvalého sledování a vyhodnocování dosahovaných úspor energie po dobu trvání smluvního vztahu, včetně kontroly instalovaného zařízení dle metodiky OPŽP</w:t>
      </w:r>
      <w:r w:rsidR="00731209">
        <w:rPr>
          <w:bCs/>
          <w:lang w:eastAsia="cs-CZ"/>
        </w:rPr>
        <w:t xml:space="preserve"> a</w:t>
      </w:r>
      <w:r w:rsidR="00E11C21">
        <w:rPr>
          <w:bCs/>
          <w:lang w:eastAsia="cs-CZ"/>
        </w:rPr>
        <w:t xml:space="preserve"> poskytování dispečinku v režimu 24/7.</w:t>
      </w:r>
    </w:p>
    <w:p w14:paraId="44189DA6" w14:textId="296FCC85" w:rsidR="00A87D42" w:rsidRDefault="00A87D42" w:rsidP="00FE2739">
      <w:pPr>
        <w:pStyle w:val="ListParagraph"/>
        <w:numPr>
          <w:ilvl w:val="0"/>
          <w:numId w:val="23"/>
        </w:numPr>
        <w:rPr>
          <w:bCs/>
          <w:lang w:eastAsia="cs-CZ"/>
        </w:rPr>
      </w:pPr>
      <w:r w:rsidRPr="00A87D42">
        <w:rPr>
          <w:bCs/>
          <w:lang w:eastAsia="cs-CZ"/>
        </w:rPr>
        <w:t>Cena za pravidelné servisní prohlídky na základě rámcové smlouvy o poskytování servisních služeb, jejíž návrh je přílohou č. 10</w:t>
      </w:r>
      <w:r w:rsidR="00731209">
        <w:rPr>
          <w:bCs/>
          <w:lang w:eastAsia="cs-CZ"/>
        </w:rPr>
        <w:t>, vč. servisní činnosti při opravách v pozáruční době</w:t>
      </w:r>
      <w:r w:rsidRPr="00A87D42">
        <w:rPr>
          <w:bCs/>
          <w:lang w:eastAsia="cs-CZ"/>
        </w:rPr>
        <w:t>.</w:t>
      </w:r>
    </w:p>
    <w:p w14:paraId="1E1E0D32" w14:textId="4D1CDC21" w:rsidR="00A87D42" w:rsidRDefault="00A87D42" w:rsidP="00A87D42">
      <w:pPr>
        <w:rPr>
          <w:b/>
          <w:lang w:eastAsia="cs-CZ"/>
        </w:rPr>
      </w:pPr>
      <w:r>
        <w:rPr>
          <w:b/>
          <w:lang w:eastAsia="cs-CZ"/>
        </w:rPr>
        <w:t>Rozpis ceny energetického managementu</w:t>
      </w:r>
      <w:r w:rsidR="006C5615">
        <w:rPr>
          <w:b/>
          <w:lang w:eastAsia="cs-CZ"/>
        </w:rPr>
        <w:t xml:space="preserve"> v Kč bez DPH/rok</w:t>
      </w:r>
    </w:p>
    <w:p w14:paraId="1CC787A4" w14:textId="53CB906F" w:rsidR="00144389" w:rsidRDefault="00F47BE3" w:rsidP="00144389">
      <w:pPr>
        <w:jc w:val="center"/>
        <w:rPr>
          <w:b/>
          <w:lang w:eastAsia="cs-CZ"/>
        </w:rPr>
      </w:pPr>
      <w:r w:rsidRPr="00F47BE3">
        <w:rPr>
          <w:noProof/>
        </w:rPr>
        <w:drawing>
          <wp:inline distT="0" distB="0" distL="0" distR="0" wp14:anchorId="4B137AA6" wp14:editId="535C735D">
            <wp:extent cx="5238750" cy="2419350"/>
            <wp:effectExtent l="0" t="0" r="0" b="0"/>
            <wp:docPr id="2242" name="Obrázek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8750" cy="2419350"/>
                    </a:xfrm>
                    <a:prstGeom prst="rect">
                      <a:avLst/>
                    </a:prstGeom>
                    <a:noFill/>
                    <a:ln>
                      <a:noFill/>
                    </a:ln>
                  </pic:spPr>
                </pic:pic>
              </a:graphicData>
            </a:graphic>
          </wp:inline>
        </w:drawing>
      </w:r>
    </w:p>
    <w:p w14:paraId="4992ACD5" w14:textId="3E64D789" w:rsidR="00A87D42" w:rsidRDefault="00A87D42" w:rsidP="00A87D42">
      <w:pPr>
        <w:rPr>
          <w:b/>
          <w:lang w:eastAsia="cs-CZ"/>
        </w:rPr>
      </w:pPr>
      <w:r>
        <w:rPr>
          <w:b/>
          <w:lang w:eastAsia="cs-CZ"/>
        </w:rPr>
        <w:t xml:space="preserve">Celková cena energetického managementu za 10 let garance </w:t>
      </w:r>
      <w:r w:rsidRPr="00783DB3">
        <w:rPr>
          <w:b/>
          <w:lang w:eastAsia="cs-CZ"/>
        </w:rPr>
        <w:t xml:space="preserve">činí </w:t>
      </w:r>
      <w:r w:rsidR="00F47BE3">
        <w:rPr>
          <w:b/>
          <w:lang w:eastAsia="cs-CZ"/>
        </w:rPr>
        <w:t>1 390 000</w:t>
      </w:r>
      <w:r w:rsidRPr="00144389">
        <w:rPr>
          <w:b/>
          <w:lang w:eastAsia="cs-CZ"/>
        </w:rPr>
        <w:t xml:space="preserve"> Kč</w:t>
      </w:r>
      <w:r>
        <w:rPr>
          <w:b/>
          <w:lang w:eastAsia="cs-CZ"/>
        </w:rPr>
        <w:t xml:space="preserve"> bez DPH. Energetický management bude fakturován </w:t>
      </w:r>
      <w:r w:rsidR="00D866FE">
        <w:rPr>
          <w:b/>
          <w:lang w:eastAsia="cs-CZ"/>
        </w:rPr>
        <w:t>v souladu se SES ročně</w:t>
      </w:r>
      <w:r>
        <w:rPr>
          <w:b/>
          <w:lang w:eastAsia="cs-CZ"/>
        </w:rPr>
        <w:t>.</w:t>
      </w:r>
    </w:p>
    <w:p w14:paraId="0311B81F" w14:textId="77777777" w:rsidR="00A87D42" w:rsidRPr="008E654B" w:rsidRDefault="00A87D42" w:rsidP="00FE2739">
      <w:pPr>
        <w:pStyle w:val="ListParagraph"/>
        <w:numPr>
          <w:ilvl w:val="0"/>
          <w:numId w:val="22"/>
        </w:numPr>
        <w:tabs>
          <w:tab w:val="left" w:pos="1134"/>
        </w:tabs>
        <w:spacing w:before="360" w:line="276" w:lineRule="auto"/>
        <w:ind w:left="567" w:hanging="567"/>
        <w:rPr>
          <w:rFonts w:asciiTheme="minorHAnsi" w:hAnsiTheme="minorHAnsi" w:cstheme="minorHAnsi"/>
          <w:b/>
          <w:sz w:val="28"/>
          <w:szCs w:val="28"/>
          <w:u w:val="single"/>
        </w:rPr>
      </w:pPr>
      <w:r w:rsidRPr="008E654B">
        <w:rPr>
          <w:rFonts w:asciiTheme="minorHAnsi" w:hAnsiTheme="minorHAnsi" w:cstheme="minorHAnsi"/>
          <w:b/>
          <w:sz w:val="28"/>
          <w:szCs w:val="28"/>
          <w:u w:val="single"/>
        </w:rPr>
        <w:t>PRÉMIE</w:t>
      </w:r>
    </w:p>
    <w:p w14:paraId="59D12319" w14:textId="77777777" w:rsidR="00A87D42" w:rsidRPr="008E654B" w:rsidRDefault="00A87D42" w:rsidP="00A87D42">
      <w:pPr>
        <w:rPr>
          <w:rFonts w:asciiTheme="minorHAnsi" w:hAnsiTheme="minorHAnsi" w:cstheme="minorHAnsi"/>
          <w:bCs/>
        </w:rPr>
      </w:pPr>
      <w:r w:rsidRPr="008E654B">
        <w:rPr>
          <w:rFonts w:asciiTheme="minorHAnsi" w:hAnsiTheme="minorHAnsi" w:cstheme="minorHAnsi"/>
          <w:bCs/>
        </w:rPr>
        <w:t>Pokud bude dosažená úspora za příslušné zúčtovací období vyšší, než garantovaná úspora uvedená pro toto období v Tab.5.1 v Příloze č.5, vzniká ESCO vůči Klientovi v souladu s čl. 20 smlouvy právo na zaplacení prémie stanovené v souladu s Přílohou č. 5.</w:t>
      </w:r>
    </w:p>
    <w:p w14:paraId="01DF0C6D" w14:textId="592CAEF7" w:rsidR="00A87D42" w:rsidRDefault="001A1AC4" w:rsidP="00A87D42">
      <w:pPr>
        <w:pStyle w:val="Heading1"/>
      </w:pPr>
      <w:bookmarkStart w:id="21" w:name="_Toc100673908"/>
      <w:r>
        <w:lastRenderedPageBreak/>
        <w:t>Příloha č. 4: Harmonogram realizace projektu</w:t>
      </w:r>
      <w:bookmarkEnd w:id="21"/>
    </w:p>
    <w:p w14:paraId="76BB9854" w14:textId="77777777" w:rsidR="00354883" w:rsidRDefault="00354883">
      <w:pPr>
        <w:spacing w:before="0"/>
        <w:jc w:val="left"/>
        <w:rPr>
          <w:rFonts w:asciiTheme="minorHAnsi" w:hAnsiTheme="minorHAnsi" w:cstheme="minorHAnsi"/>
          <w:bCs/>
        </w:rPr>
      </w:pPr>
    </w:p>
    <w:p w14:paraId="55434DD9" w14:textId="77777777" w:rsidR="00354883" w:rsidRDefault="00354883">
      <w:pPr>
        <w:spacing w:before="0"/>
        <w:jc w:val="left"/>
        <w:rPr>
          <w:rFonts w:asciiTheme="minorHAnsi" w:hAnsiTheme="minorHAnsi" w:cstheme="minorHAnsi"/>
          <w:b/>
          <w:u w:val="single"/>
        </w:rPr>
      </w:pPr>
      <w:r w:rsidRPr="00354883">
        <w:rPr>
          <w:rFonts w:asciiTheme="minorHAnsi" w:hAnsiTheme="minorHAnsi" w:cstheme="minorHAnsi"/>
          <w:b/>
          <w:u w:val="single"/>
        </w:rPr>
        <w:t>Požadavky Klienta na harmonogram</w:t>
      </w:r>
    </w:p>
    <w:p w14:paraId="5AD97CBC" w14:textId="0006922C" w:rsidR="00354883" w:rsidRDefault="00354883" w:rsidP="00354883">
      <w:pPr>
        <w:spacing w:before="0"/>
        <w:rPr>
          <w:rFonts w:asciiTheme="minorHAnsi" w:hAnsiTheme="minorHAnsi" w:cstheme="minorHAnsi"/>
          <w:bCs/>
        </w:rPr>
      </w:pPr>
      <w:r>
        <w:rPr>
          <w:rFonts w:asciiTheme="minorHAnsi" w:hAnsiTheme="minorHAnsi" w:cstheme="minorHAnsi"/>
          <w:bCs/>
        </w:rPr>
        <w:t>Ve výzvě k podání finální nabídky byly vzneseny požadavky Klienta (podmínky Zadavatele) na sestavení harmonogramu pro finální nabídku. Požadavky (podmínky Zadavatele) jsou následující:</w:t>
      </w:r>
    </w:p>
    <w:p w14:paraId="0A1C7AE8" w14:textId="77777777" w:rsidR="00354883" w:rsidRPr="00354883" w:rsidRDefault="00354883" w:rsidP="00354883">
      <w:pPr>
        <w:autoSpaceDE w:val="0"/>
        <w:autoSpaceDN w:val="0"/>
        <w:adjustRightInd w:val="0"/>
        <w:spacing w:before="0"/>
        <w:jc w:val="left"/>
        <w:rPr>
          <w:rFonts w:eastAsia="Calibri" w:cs="Calibri"/>
          <w:color w:val="000000"/>
          <w:sz w:val="24"/>
          <w:szCs w:val="24"/>
          <w:lang w:eastAsia="cs-CZ"/>
        </w:rPr>
      </w:pPr>
    </w:p>
    <w:p w14:paraId="01A3D500" w14:textId="07EAEE59"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HARMONOGRAM OPATŘENÍ – podmínky Zadavatele. </w:t>
      </w:r>
    </w:p>
    <w:p w14:paraId="0A394FDC" w14:textId="77777777" w:rsidR="00354883" w:rsidRDefault="00354883" w:rsidP="00354883">
      <w:pPr>
        <w:spacing w:before="0"/>
        <w:rPr>
          <w:rFonts w:asciiTheme="minorHAnsi" w:hAnsiTheme="minorHAnsi" w:cstheme="minorHAnsi"/>
          <w:b/>
        </w:rPr>
      </w:pPr>
    </w:p>
    <w:p w14:paraId="052F15C1" w14:textId="5AC67312"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Příloha: </w:t>
      </w:r>
    </w:p>
    <w:p w14:paraId="7A623BCB" w14:textId="0AD7302D" w:rsidR="00354883" w:rsidRPr="00354883" w:rsidRDefault="00354883" w:rsidP="00354883">
      <w:pPr>
        <w:pStyle w:val="ListParagraph"/>
        <w:numPr>
          <w:ilvl w:val="0"/>
          <w:numId w:val="42"/>
        </w:numPr>
        <w:spacing w:before="0"/>
        <w:rPr>
          <w:rFonts w:asciiTheme="minorHAnsi" w:hAnsiTheme="minorHAnsi" w:cstheme="minorHAnsi"/>
          <w:bCs/>
        </w:rPr>
      </w:pPr>
      <w:proofErr w:type="gramStart"/>
      <w:r w:rsidRPr="00354883">
        <w:rPr>
          <w:rFonts w:asciiTheme="minorHAnsi" w:hAnsiTheme="minorHAnsi" w:cstheme="minorHAnsi"/>
          <w:bCs/>
        </w:rPr>
        <w:t>HARMONOGRAM - ODSTÁVKY</w:t>
      </w:r>
      <w:proofErr w:type="gramEnd"/>
      <w:r w:rsidRPr="00354883">
        <w:rPr>
          <w:rFonts w:asciiTheme="minorHAnsi" w:hAnsiTheme="minorHAnsi" w:cstheme="minorHAnsi"/>
          <w:bCs/>
        </w:rPr>
        <w:t xml:space="preserve"> ZATEPLENÍ </w:t>
      </w:r>
    </w:p>
    <w:p w14:paraId="259CC64E" w14:textId="06C5DD8D" w:rsidR="00354883" w:rsidRPr="00354883" w:rsidRDefault="00354883" w:rsidP="00354883">
      <w:pPr>
        <w:pStyle w:val="ListParagraph"/>
        <w:numPr>
          <w:ilvl w:val="0"/>
          <w:numId w:val="42"/>
        </w:numPr>
        <w:spacing w:before="0"/>
        <w:rPr>
          <w:rFonts w:asciiTheme="minorHAnsi" w:hAnsiTheme="minorHAnsi" w:cstheme="minorHAnsi"/>
          <w:bCs/>
        </w:rPr>
      </w:pPr>
      <w:r w:rsidRPr="00354883">
        <w:rPr>
          <w:rFonts w:asciiTheme="minorHAnsi" w:hAnsiTheme="minorHAnsi" w:cstheme="minorHAnsi"/>
          <w:bCs/>
        </w:rPr>
        <w:t xml:space="preserve">rozsah výměny podhledových konstrukcí </w:t>
      </w:r>
    </w:p>
    <w:p w14:paraId="51417F6E" w14:textId="77777777" w:rsidR="00354883" w:rsidRDefault="00354883" w:rsidP="00354883">
      <w:pPr>
        <w:spacing w:before="0"/>
        <w:rPr>
          <w:rFonts w:asciiTheme="minorHAnsi" w:hAnsiTheme="minorHAnsi" w:cstheme="minorHAnsi"/>
          <w:bCs/>
          <w:i/>
          <w:iCs/>
        </w:rPr>
      </w:pPr>
    </w:p>
    <w:p w14:paraId="0A70539D" w14:textId="642096AE" w:rsidR="00354883" w:rsidRPr="00354883" w:rsidRDefault="00354883" w:rsidP="00354883">
      <w:pPr>
        <w:spacing w:before="0"/>
        <w:rPr>
          <w:rFonts w:asciiTheme="minorHAnsi" w:hAnsiTheme="minorHAnsi" w:cstheme="minorHAnsi"/>
          <w:bCs/>
          <w:i/>
          <w:iCs/>
        </w:rPr>
      </w:pPr>
      <w:r w:rsidRPr="00354883">
        <w:rPr>
          <w:rFonts w:asciiTheme="minorHAnsi" w:hAnsiTheme="minorHAnsi" w:cstheme="minorHAnsi"/>
          <w:bCs/>
          <w:i/>
          <w:iCs/>
        </w:rPr>
        <w:t xml:space="preserve">Pozn: Předpoklad zahájení 1.etapy zateplení je září 2022 </w:t>
      </w:r>
    </w:p>
    <w:p w14:paraId="7D4BE86D" w14:textId="77777777" w:rsidR="00354883" w:rsidRDefault="00354883" w:rsidP="00354883">
      <w:pPr>
        <w:spacing w:before="0"/>
        <w:rPr>
          <w:rFonts w:asciiTheme="minorHAnsi" w:hAnsiTheme="minorHAnsi" w:cstheme="minorHAnsi"/>
          <w:bCs/>
        </w:rPr>
      </w:pPr>
    </w:p>
    <w:p w14:paraId="12446722" w14:textId="29F37E95"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Dle jednotlivých opatření: </w:t>
      </w:r>
    </w:p>
    <w:p w14:paraId="2FECB08F" w14:textId="77777777" w:rsidR="00437F3F" w:rsidRDefault="00437F3F" w:rsidP="00354883">
      <w:pPr>
        <w:spacing w:before="0"/>
        <w:rPr>
          <w:rFonts w:asciiTheme="minorHAnsi" w:hAnsiTheme="minorHAnsi" w:cstheme="minorHAnsi"/>
          <w:bCs/>
        </w:rPr>
      </w:pPr>
    </w:p>
    <w:p w14:paraId="6535468F" w14:textId="57353986"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Rekonstrukce stávajícího zdroje vytápění: </w:t>
      </w:r>
    </w:p>
    <w:p w14:paraId="47E0D987" w14:textId="6609D87A" w:rsid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Dle klimatických podmínek a bez vlivu na provozní chod nemocnice. Harmonogram bude vzájemně odsouhlasen oběma stranami v průběhu projektové přípravy. </w:t>
      </w:r>
    </w:p>
    <w:p w14:paraId="22C2B37D" w14:textId="77777777" w:rsidR="00437F3F" w:rsidRPr="00354883" w:rsidRDefault="00437F3F" w:rsidP="00354883">
      <w:pPr>
        <w:spacing w:before="0"/>
        <w:rPr>
          <w:rFonts w:asciiTheme="minorHAnsi" w:hAnsiTheme="minorHAnsi" w:cstheme="minorHAnsi"/>
          <w:bCs/>
        </w:rPr>
      </w:pPr>
    </w:p>
    <w:p w14:paraId="1805FA5E" w14:textId="77777777"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Rekonstrukce zdroje páry a změna způsobu přípravy teplé vody </w:t>
      </w:r>
    </w:p>
    <w:p w14:paraId="3862B853" w14:textId="77777777" w:rsidR="00354883" w:rsidRP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Bez vlivu na provozní chod nemocnice. Harmonogram bude vzájemně odsouhlasen oběma stranami v průběhu projektové přípravy a bude řešen zvlášť pro každý dotčený úsek (centrální sterilizace, stravovací provoz, bazén, patologie, ohřev TUV). </w:t>
      </w:r>
    </w:p>
    <w:p w14:paraId="38711A47" w14:textId="77777777" w:rsidR="00437F3F" w:rsidRDefault="00437F3F" w:rsidP="00354883">
      <w:pPr>
        <w:spacing w:before="0"/>
        <w:rPr>
          <w:rFonts w:asciiTheme="minorHAnsi" w:hAnsiTheme="minorHAnsi" w:cstheme="minorHAnsi"/>
          <w:bCs/>
        </w:rPr>
      </w:pPr>
    </w:p>
    <w:p w14:paraId="3E460944" w14:textId="263E207D"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Instalace nového systému měření a regulace </w:t>
      </w:r>
    </w:p>
    <w:p w14:paraId="1FDE49A0" w14:textId="77777777" w:rsidR="00354883" w:rsidRP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Bez vlivu na provozní chod nemocnice. Harmonogram bude vzájemně odsouhlasen oběma stranami v průběhu projektové přípravy. </w:t>
      </w:r>
    </w:p>
    <w:p w14:paraId="36FEAB1C" w14:textId="77777777" w:rsidR="00437F3F" w:rsidRDefault="00437F3F" w:rsidP="00354883">
      <w:pPr>
        <w:spacing w:before="0"/>
        <w:rPr>
          <w:rFonts w:asciiTheme="minorHAnsi" w:hAnsiTheme="minorHAnsi" w:cstheme="minorHAnsi"/>
          <w:bCs/>
        </w:rPr>
      </w:pPr>
    </w:p>
    <w:p w14:paraId="2DBB4363" w14:textId="226C7CDB"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Měření a regulace vnitřního prostředí </w:t>
      </w:r>
    </w:p>
    <w:p w14:paraId="0414F2A7" w14:textId="77777777" w:rsidR="00354883" w:rsidRP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Dle klimatických podmínek a bez vlivu na chod nemocnice. Harmonogram bude vzájemně odsouhlasen oběma stranami v průběhu projektové přípravy a zároveň bude brát zřetel na harmonogram odstávek jednotlivých úseků dle </w:t>
      </w:r>
      <w:proofErr w:type="spellStart"/>
      <w:proofErr w:type="gramStart"/>
      <w:r w:rsidRPr="00354883">
        <w:rPr>
          <w:rFonts w:asciiTheme="minorHAnsi" w:hAnsiTheme="minorHAnsi" w:cstheme="minorHAnsi"/>
          <w:bCs/>
        </w:rPr>
        <w:t>HARMONOGRAMu</w:t>
      </w:r>
      <w:proofErr w:type="spellEnd"/>
      <w:r w:rsidRPr="00354883">
        <w:rPr>
          <w:rFonts w:asciiTheme="minorHAnsi" w:hAnsiTheme="minorHAnsi" w:cstheme="minorHAnsi"/>
          <w:bCs/>
        </w:rPr>
        <w:t xml:space="preserve"> - ODSTÁVKY</w:t>
      </w:r>
      <w:proofErr w:type="gramEnd"/>
      <w:r w:rsidRPr="00354883">
        <w:rPr>
          <w:rFonts w:asciiTheme="minorHAnsi" w:hAnsiTheme="minorHAnsi" w:cstheme="minorHAnsi"/>
          <w:bCs/>
        </w:rPr>
        <w:t xml:space="preserve"> ZATEPLENÍ. </w:t>
      </w:r>
    </w:p>
    <w:p w14:paraId="3F3703E4" w14:textId="77777777" w:rsidR="00437F3F" w:rsidRDefault="00437F3F" w:rsidP="00354883">
      <w:pPr>
        <w:spacing w:before="0"/>
        <w:rPr>
          <w:rFonts w:asciiTheme="minorHAnsi" w:hAnsiTheme="minorHAnsi" w:cstheme="minorHAnsi"/>
          <w:bCs/>
        </w:rPr>
      </w:pPr>
    </w:p>
    <w:p w14:paraId="32ADA14C" w14:textId="62F72AEF"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Výměna stávajících transformátorů </w:t>
      </w:r>
    </w:p>
    <w:p w14:paraId="4A11B607" w14:textId="3C9D1F57" w:rsid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Bez vlivu na chod nemocnice. Harmonogram bude vzájemně odsouhlasen oběma stranami v průběhu projektové přípravy. </w:t>
      </w:r>
    </w:p>
    <w:p w14:paraId="72C81A74" w14:textId="77777777" w:rsidR="00437F3F" w:rsidRPr="00354883" w:rsidRDefault="00437F3F" w:rsidP="00354883">
      <w:pPr>
        <w:spacing w:before="0"/>
        <w:rPr>
          <w:rFonts w:asciiTheme="minorHAnsi" w:hAnsiTheme="minorHAnsi" w:cstheme="minorHAnsi"/>
          <w:bCs/>
        </w:rPr>
      </w:pPr>
    </w:p>
    <w:p w14:paraId="24810715" w14:textId="77777777"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Instalace zařízení na rekuperaci odpadního tepla z chlazení </w:t>
      </w:r>
    </w:p>
    <w:p w14:paraId="04F9709F" w14:textId="01ABC9C8" w:rsid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Dle klimatických podmínek a bez vlivu na provozní chod nemocnice. Harmonogram bude vzájemně odsouhlasen oběma stranami v průběhu projektové přípravy. </w:t>
      </w:r>
    </w:p>
    <w:p w14:paraId="3668B807" w14:textId="77777777" w:rsidR="00437F3F" w:rsidRPr="00354883" w:rsidRDefault="00437F3F" w:rsidP="00354883">
      <w:pPr>
        <w:spacing w:before="0"/>
        <w:rPr>
          <w:rFonts w:asciiTheme="minorHAnsi" w:hAnsiTheme="minorHAnsi" w:cstheme="minorHAnsi"/>
          <w:bCs/>
        </w:rPr>
      </w:pPr>
    </w:p>
    <w:p w14:paraId="70623BE1" w14:textId="77777777"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Výměna rozvodů tepla </w:t>
      </w:r>
    </w:p>
    <w:p w14:paraId="03A028D1" w14:textId="6A68AB20" w:rsid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Dle klimatických podmínek a bez vlivu na provozní chod nemocnice. Harmonogram bude vzájemně odsouhlasen oběma stranami v průběhu projektové přípravy. </w:t>
      </w:r>
    </w:p>
    <w:p w14:paraId="4C79DF83" w14:textId="77777777" w:rsidR="00437F3F" w:rsidRPr="00354883" w:rsidRDefault="00437F3F" w:rsidP="00354883">
      <w:pPr>
        <w:spacing w:before="0"/>
        <w:rPr>
          <w:rFonts w:asciiTheme="minorHAnsi" w:hAnsiTheme="minorHAnsi" w:cstheme="minorHAnsi"/>
          <w:bCs/>
        </w:rPr>
      </w:pPr>
    </w:p>
    <w:p w14:paraId="324A99FE" w14:textId="77777777" w:rsidR="00354883" w:rsidRPr="00354883" w:rsidRDefault="00354883" w:rsidP="00354883">
      <w:pPr>
        <w:spacing w:before="0"/>
        <w:rPr>
          <w:rFonts w:asciiTheme="minorHAnsi" w:hAnsiTheme="minorHAnsi" w:cstheme="minorHAnsi"/>
          <w:b/>
        </w:rPr>
      </w:pPr>
      <w:r w:rsidRPr="00354883">
        <w:rPr>
          <w:rFonts w:asciiTheme="minorHAnsi" w:hAnsiTheme="minorHAnsi" w:cstheme="minorHAnsi"/>
          <w:b/>
        </w:rPr>
        <w:t xml:space="preserve">Výměna vnitřního osvětlení </w:t>
      </w:r>
    </w:p>
    <w:p w14:paraId="7302645C" w14:textId="77777777" w:rsidR="00354883" w:rsidRPr="00354883" w:rsidRDefault="00354883" w:rsidP="00354883">
      <w:pPr>
        <w:spacing w:before="0"/>
        <w:rPr>
          <w:rFonts w:asciiTheme="minorHAnsi" w:hAnsiTheme="minorHAnsi" w:cstheme="minorHAnsi"/>
          <w:bCs/>
        </w:rPr>
      </w:pPr>
      <w:r w:rsidRPr="00354883">
        <w:rPr>
          <w:rFonts w:asciiTheme="minorHAnsi" w:hAnsiTheme="minorHAnsi" w:cstheme="minorHAnsi"/>
          <w:bCs/>
        </w:rPr>
        <w:t xml:space="preserve">Výměna osvětlení bude v probíhat v přímé návaznosti na odstávky jednotlivých oddělení z důvodu výměny oken či LOP, viz příloha </w:t>
      </w:r>
      <w:proofErr w:type="gramStart"/>
      <w:r w:rsidRPr="00354883">
        <w:rPr>
          <w:rFonts w:asciiTheme="minorHAnsi" w:hAnsiTheme="minorHAnsi" w:cstheme="minorHAnsi"/>
          <w:bCs/>
        </w:rPr>
        <w:t>HARMONOGRAM - ODSTÁVKY</w:t>
      </w:r>
      <w:proofErr w:type="gramEnd"/>
      <w:r w:rsidRPr="00354883">
        <w:rPr>
          <w:rFonts w:asciiTheme="minorHAnsi" w:hAnsiTheme="minorHAnsi" w:cstheme="minorHAnsi"/>
          <w:bCs/>
        </w:rPr>
        <w:t xml:space="preserve"> ZATEPLENÍ. Průběh odstávek je patrný z přílohy „</w:t>
      </w:r>
      <w:proofErr w:type="gramStart"/>
      <w:r w:rsidRPr="00354883">
        <w:rPr>
          <w:rFonts w:asciiTheme="minorHAnsi" w:hAnsiTheme="minorHAnsi" w:cstheme="minorHAnsi"/>
          <w:bCs/>
        </w:rPr>
        <w:t xml:space="preserve">HARMONOGRAM - </w:t>
      </w:r>
      <w:proofErr w:type="spellStart"/>
      <w:r w:rsidRPr="00354883">
        <w:rPr>
          <w:rFonts w:asciiTheme="minorHAnsi" w:hAnsiTheme="minorHAnsi" w:cstheme="minorHAnsi"/>
          <w:bCs/>
        </w:rPr>
        <w:t>Ganttův</w:t>
      </w:r>
      <w:proofErr w:type="spellEnd"/>
      <w:proofErr w:type="gramEnd"/>
      <w:r w:rsidRPr="00354883">
        <w:rPr>
          <w:rFonts w:asciiTheme="minorHAnsi" w:hAnsiTheme="minorHAnsi" w:cstheme="minorHAnsi"/>
          <w:bCs/>
        </w:rPr>
        <w:t xml:space="preserve"> diagram“ a půdorysů jednotlivých podlaží s vyznačený rozsahem odstávek. </w:t>
      </w:r>
    </w:p>
    <w:p w14:paraId="308FFBD7" w14:textId="77777777" w:rsidR="00437F3F" w:rsidRDefault="00354883" w:rsidP="00354883">
      <w:pPr>
        <w:spacing w:before="0"/>
        <w:rPr>
          <w:rFonts w:asciiTheme="minorHAnsi" w:hAnsiTheme="minorHAnsi" w:cstheme="minorHAnsi"/>
          <w:bCs/>
        </w:rPr>
      </w:pPr>
      <w:r w:rsidRPr="00354883">
        <w:rPr>
          <w:rFonts w:asciiTheme="minorHAnsi" w:hAnsiTheme="minorHAnsi" w:cstheme="minorHAnsi"/>
          <w:bCs/>
        </w:rPr>
        <w:lastRenderedPageBreak/>
        <w:t xml:space="preserve">Zároveň v prostorech, jež nemají návaznost na zateplení objektu (suterén, technické místnosti atd.) harmonogram bude vzájemně odsouhlasen oběma stranami v průběhu projektové přípravy. </w:t>
      </w:r>
    </w:p>
    <w:p w14:paraId="14552EE7" w14:textId="77777777" w:rsidR="00437F3F" w:rsidRDefault="00437F3F" w:rsidP="00354883">
      <w:pPr>
        <w:spacing w:before="0"/>
        <w:rPr>
          <w:i/>
          <w:iCs/>
        </w:rPr>
      </w:pPr>
    </w:p>
    <w:p w14:paraId="58B708CB" w14:textId="77777777" w:rsidR="00437F3F" w:rsidRDefault="00437F3F" w:rsidP="00354883">
      <w:pPr>
        <w:spacing w:before="0"/>
        <w:rPr>
          <w:i/>
          <w:iCs/>
        </w:rPr>
      </w:pPr>
      <w:r>
        <w:rPr>
          <w:i/>
          <w:iCs/>
        </w:rPr>
        <w:t xml:space="preserve">Pozn.: v chodbách dojde k výměně stávajících plechových podhledů za nové minerální kazetové podhledy. K výměně dojde v rámci stavebních prací, které nejsou předmětem této Smlouvy. Rozsah výměny podhledů je patrný z přílohy „Obměna podhledových konstrukcí“, z toho vyplývá povinnost Zhotovitele/ESCO nutná koordinace s ostatními dodavateli Zadavatele. </w:t>
      </w:r>
    </w:p>
    <w:p w14:paraId="2854928B" w14:textId="77777777" w:rsidR="00437F3F" w:rsidRDefault="00437F3F" w:rsidP="00354883">
      <w:pPr>
        <w:spacing w:before="0"/>
        <w:rPr>
          <w:i/>
          <w:iCs/>
        </w:rPr>
      </w:pPr>
    </w:p>
    <w:p w14:paraId="62EAA28C" w14:textId="77777777" w:rsidR="00437F3F" w:rsidRPr="00437F3F" w:rsidRDefault="00437F3F" w:rsidP="00437F3F">
      <w:pPr>
        <w:spacing w:before="0"/>
        <w:rPr>
          <w:rFonts w:asciiTheme="minorHAnsi" w:hAnsiTheme="minorHAnsi" w:cstheme="minorHAnsi"/>
          <w:b/>
        </w:rPr>
      </w:pPr>
      <w:r w:rsidRPr="00437F3F">
        <w:rPr>
          <w:rFonts w:asciiTheme="minorHAnsi" w:hAnsiTheme="minorHAnsi" w:cstheme="minorHAnsi"/>
          <w:b/>
        </w:rPr>
        <w:t xml:space="preserve">Instalace fotovoltaické elektrárny </w:t>
      </w:r>
    </w:p>
    <w:p w14:paraId="5E6AB058"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Instalace nových panelů FVE bude probíhat po dokončení obnovy střešního pláště dle jednotlivých etap viz. příloha </w:t>
      </w:r>
      <w:proofErr w:type="gramStart"/>
      <w:r w:rsidRPr="00437F3F">
        <w:rPr>
          <w:rFonts w:asciiTheme="minorHAnsi" w:hAnsiTheme="minorHAnsi" w:cstheme="minorHAnsi"/>
          <w:bCs/>
        </w:rPr>
        <w:t>HARMONOGRAM - ODSTÁVKY</w:t>
      </w:r>
      <w:proofErr w:type="gramEnd"/>
      <w:r w:rsidRPr="00437F3F">
        <w:rPr>
          <w:rFonts w:asciiTheme="minorHAnsi" w:hAnsiTheme="minorHAnsi" w:cstheme="minorHAnsi"/>
          <w:bCs/>
        </w:rPr>
        <w:t xml:space="preserve"> ZATEPLENÍ </w:t>
      </w:r>
    </w:p>
    <w:p w14:paraId="3DFC17DB"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u objektů 009, 010 a 015 bude FVE instalována po opravách hydroizolačního souvrství dotčených střech s předpokladem možností instalace </w:t>
      </w:r>
      <w:proofErr w:type="spellStart"/>
      <w:r w:rsidRPr="00437F3F">
        <w:rPr>
          <w:rFonts w:asciiTheme="minorHAnsi" w:hAnsiTheme="minorHAnsi" w:cstheme="minorHAnsi"/>
          <w:bCs/>
        </w:rPr>
        <w:t>FVe</w:t>
      </w:r>
      <w:proofErr w:type="spellEnd"/>
      <w:r w:rsidRPr="00437F3F">
        <w:rPr>
          <w:rFonts w:asciiTheme="minorHAnsi" w:hAnsiTheme="minorHAnsi" w:cstheme="minorHAnsi"/>
          <w:bCs/>
        </w:rPr>
        <w:t xml:space="preserve"> v 2. kvartálu roku 2023 </w:t>
      </w:r>
    </w:p>
    <w:p w14:paraId="4CB98E68" w14:textId="77777777" w:rsidR="00437F3F" w:rsidRDefault="00437F3F" w:rsidP="00437F3F">
      <w:pPr>
        <w:spacing w:before="0"/>
        <w:rPr>
          <w:rFonts w:asciiTheme="minorHAnsi" w:hAnsiTheme="minorHAnsi" w:cstheme="minorHAnsi"/>
          <w:bCs/>
        </w:rPr>
      </w:pPr>
    </w:p>
    <w:p w14:paraId="0B2BF804" w14:textId="277849F2" w:rsidR="00437F3F" w:rsidRPr="00437F3F" w:rsidRDefault="00437F3F" w:rsidP="00437F3F">
      <w:pPr>
        <w:spacing w:before="0"/>
        <w:rPr>
          <w:rFonts w:asciiTheme="minorHAnsi" w:hAnsiTheme="minorHAnsi" w:cstheme="minorHAnsi"/>
          <w:b/>
        </w:rPr>
      </w:pPr>
      <w:r w:rsidRPr="00437F3F">
        <w:rPr>
          <w:rFonts w:asciiTheme="minorHAnsi" w:hAnsiTheme="minorHAnsi" w:cstheme="minorHAnsi"/>
          <w:b/>
        </w:rPr>
        <w:t xml:space="preserve">Výměna vzduchotechnických jednotek </w:t>
      </w:r>
    </w:p>
    <w:p w14:paraId="30D6618F"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obměna VZT jednotek na střechách budov bude probíhat v koordinaci s obměnou střešního pláště na jednotlivých budovách viz. příloha </w:t>
      </w:r>
      <w:proofErr w:type="gramStart"/>
      <w:r w:rsidRPr="00437F3F">
        <w:rPr>
          <w:rFonts w:asciiTheme="minorHAnsi" w:hAnsiTheme="minorHAnsi" w:cstheme="minorHAnsi"/>
          <w:bCs/>
        </w:rPr>
        <w:t>HARMONOGRAM - ODSTÁVKY</w:t>
      </w:r>
      <w:proofErr w:type="gramEnd"/>
      <w:r w:rsidRPr="00437F3F">
        <w:rPr>
          <w:rFonts w:asciiTheme="minorHAnsi" w:hAnsiTheme="minorHAnsi" w:cstheme="minorHAnsi"/>
          <w:bCs/>
        </w:rPr>
        <w:t xml:space="preserve"> ZATEPLENÍ </w:t>
      </w:r>
    </w:p>
    <w:p w14:paraId="2B6975F4"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VZT jednotky na střeše objektu 003 monobloku budou postupně měněny v průběhu 1. a 2. etapy zateplení, viz. příloha </w:t>
      </w:r>
      <w:proofErr w:type="gramStart"/>
      <w:r w:rsidRPr="00437F3F">
        <w:rPr>
          <w:rFonts w:asciiTheme="minorHAnsi" w:hAnsiTheme="minorHAnsi" w:cstheme="minorHAnsi"/>
          <w:bCs/>
        </w:rPr>
        <w:t>HARMONOGRAM - ODSTÁVKY</w:t>
      </w:r>
      <w:proofErr w:type="gramEnd"/>
      <w:r w:rsidRPr="00437F3F">
        <w:rPr>
          <w:rFonts w:asciiTheme="minorHAnsi" w:hAnsiTheme="minorHAnsi" w:cstheme="minorHAnsi"/>
          <w:bCs/>
        </w:rPr>
        <w:t xml:space="preserve"> ZATEPLENÍ </w:t>
      </w:r>
    </w:p>
    <w:p w14:paraId="07DEE4AA"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Výměna ostatních VZT jednotek, tzn. jednotek ve strojovnách, bude v probíhat v přímé návaznosti na odstávky jednotlivých oddělení viz. příloha HARMONOGRAM - ODSTÁVKY </w:t>
      </w:r>
      <w:proofErr w:type="gramStart"/>
      <w:r w:rsidRPr="00437F3F">
        <w:rPr>
          <w:rFonts w:asciiTheme="minorHAnsi" w:hAnsiTheme="minorHAnsi" w:cstheme="minorHAnsi"/>
          <w:bCs/>
        </w:rPr>
        <w:t>ZATEPLENÍ .</w:t>
      </w:r>
      <w:proofErr w:type="gramEnd"/>
      <w:r w:rsidRPr="00437F3F">
        <w:rPr>
          <w:rFonts w:asciiTheme="minorHAnsi" w:hAnsiTheme="minorHAnsi" w:cstheme="minorHAnsi"/>
          <w:bCs/>
        </w:rPr>
        <w:t xml:space="preserve"> </w:t>
      </w:r>
    </w:p>
    <w:p w14:paraId="0CF70B21" w14:textId="77777777" w:rsidR="00437F3F" w:rsidRPr="00437F3F" w:rsidRDefault="00437F3F" w:rsidP="00437F3F">
      <w:pPr>
        <w:spacing w:before="0"/>
        <w:rPr>
          <w:rFonts w:asciiTheme="minorHAnsi" w:hAnsiTheme="minorHAnsi" w:cstheme="minorHAnsi"/>
          <w:bCs/>
        </w:rPr>
      </w:pPr>
      <w:r w:rsidRPr="00437F3F">
        <w:rPr>
          <w:rFonts w:asciiTheme="minorHAnsi" w:hAnsiTheme="minorHAnsi" w:cstheme="minorHAnsi"/>
          <w:bCs/>
        </w:rPr>
        <w:t xml:space="preserve">Výměna rozdělovačů a sběračů tepla a chladu včetně armatur a výstroje </w:t>
      </w:r>
      <w:proofErr w:type="spellStart"/>
      <w:r w:rsidRPr="00437F3F">
        <w:rPr>
          <w:rFonts w:asciiTheme="minorHAnsi" w:hAnsiTheme="minorHAnsi" w:cstheme="minorHAnsi"/>
          <w:bCs/>
        </w:rPr>
        <w:t>MaR</w:t>
      </w:r>
      <w:proofErr w:type="spellEnd"/>
      <w:r w:rsidRPr="00437F3F">
        <w:rPr>
          <w:rFonts w:asciiTheme="minorHAnsi" w:hAnsiTheme="minorHAnsi" w:cstheme="minorHAnsi"/>
          <w:bCs/>
        </w:rPr>
        <w:t xml:space="preserve"> bude v probíhat dle klimatických podmínek a bez vlivu na provozní chod nemocnice. Harmonogram bude vzájemně odsouhlasen oběma stranami v průběhu projektové přípravy. </w:t>
      </w:r>
    </w:p>
    <w:p w14:paraId="592A9589" w14:textId="77777777" w:rsidR="00437F3F" w:rsidRDefault="00437F3F" w:rsidP="00437F3F">
      <w:pPr>
        <w:spacing w:before="0"/>
        <w:rPr>
          <w:rFonts w:asciiTheme="minorHAnsi" w:hAnsiTheme="minorHAnsi" w:cstheme="minorHAnsi"/>
          <w:bCs/>
        </w:rPr>
      </w:pPr>
    </w:p>
    <w:p w14:paraId="7C729B65" w14:textId="0598FCE5" w:rsidR="00437F3F" w:rsidRPr="00437F3F" w:rsidRDefault="00437F3F" w:rsidP="00437F3F">
      <w:pPr>
        <w:spacing w:before="0"/>
        <w:rPr>
          <w:rFonts w:asciiTheme="minorHAnsi" w:hAnsiTheme="minorHAnsi" w:cstheme="minorHAnsi"/>
          <w:b/>
        </w:rPr>
      </w:pPr>
      <w:r w:rsidRPr="00437F3F">
        <w:rPr>
          <w:rFonts w:asciiTheme="minorHAnsi" w:hAnsiTheme="minorHAnsi" w:cstheme="minorHAnsi"/>
          <w:b/>
        </w:rPr>
        <w:t xml:space="preserve">Další opatření navržená účastníkem </w:t>
      </w:r>
    </w:p>
    <w:p w14:paraId="7F1A2397" w14:textId="53C06A8D" w:rsidR="00354883" w:rsidRPr="00354883" w:rsidRDefault="00437F3F" w:rsidP="00437F3F">
      <w:pPr>
        <w:spacing w:before="0"/>
        <w:rPr>
          <w:rFonts w:asciiTheme="minorHAnsi" w:hAnsiTheme="minorHAnsi" w:cstheme="minorHAnsi"/>
          <w:bCs/>
        </w:rPr>
      </w:pPr>
      <w:r w:rsidRPr="00437F3F">
        <w:rPr>
          <w:rFonts w:asciiTheme="minorHAnsi" w:hAnsiTheme="minorHAnsi" w:cstheme="minorHAnsi"/>
          <w:bCs/>
        </w:rPr>
        <w:t xml:space="preserve">Dle klimatických podmínek a bez vlivu na provozní chod nemocnice. Harmonogram bude vzájemně odsouhlasen oběma stranami v průběhu projektové přípravy. </w:t>
      </w:r>
      <w:r w:rsidR="00354883" w:rsidRPr="00354883">
        <w:rPr>
          <w:rFonts w:asciiTheme="minorHAnsi" w:hAnsiTheme="minorHAnsi" w:cstheme="minorHAnsi"/>
          <w:bCs/>
        </w:rPr>
        <w:br w:type="page"/>
      </w:r>
    </w:p>
    <w:p w14:paraId="12AA3FDC" w14:textId="6DA52F28" w:rsidR="00437F3F" w:rsidRPr="00437F3F" w:rsidRDefault="00437F3F" w:rsidP="00437F3F">
      <w:pPr>
        <w:rPr>
          <w:rFonts w:asciiTheme="minorHAnsi" w:hAnsiTheme="minorHAnsi" w:cstheme="minorHAnsi"/>
          <w:b/>
          <w:u w:val="single"/>
        </w:rPr>
      </w:pPr>
      <w:r w:rsidRPr="00437F3F">
        <w:rPr>
          <w:rFonts w:asciiTheme="minorHAnsi" w:hAnsiTheme="minorHAnsi" w:cstheme="minorHAnsi"/>
          <w:b/>
          <w:u w:val="single"/>
        </w:rPr>
        <w:lastRenderedPageBreak/>
        <w:t>Harmonogram projektu</w:t>
      </w:r>
    </w:p>
    <w:p w14:paraId="5A13BAAF" w14:textId="611F8E7D" w:rsidR="00437F3F" w:rsidRDefault="000A21F8" w:rsidP="00437F3F">
      <w:pPr>
        <w:rPr>
          <w:rFonts w:asciiTheme="minorHAnsi" w:hAnsiTheme="minorHAnsi" w:cstheme="minorHAnsi"/>
          <w:bCs/>
        </w:rPr>
      </w:pPr>
      <w:r w:rsidRPr="000A21F8">
        <w:rPr>
          <w:rFonts w:asciiTheme="minorHAnsi" w:hAnsiTheme="minorHAnsi" w:cstheme="minorHAnsi"/>
          <w:bCs/>
        </w:rPr>
        <w:t>V rámci procesu ověření stavu v souladu s čl. 5 Smlouvy bude provedeno i upřesnění harmonogramu realizace projektu. Podrobnější harmonogram bude součástí předběžné zprávy dle č. 5 Smlouvy.</w:t>
      </w:r>
      <w:r w:rsidR="00437F3F" w:rsidRPr="00437F3F">
        <w:rPr>
          <w:rFonts w:asciiTheme="minorHAnsi" w:hAnsiTheme="minorHAnsi" w:cstheme="minorHAnsi"/>
          <w:bCs/>
        </w:rPr>
        <w:t xml:space="preserve"> </w:t>
      </w:r>
      <w:r w:rsidR="00437F3F">
        <w:rPr>
          <w:rFonts w:asciiTheme="minorHAnsi" w:hAnsiTheme="minorHAnsi" w:cstheme="minorHAnsi"/>
          <w:bCs/>
        </w:rPr>
        <w:t>Na základě výše uvedených požadavků Zadavatele/Klienta byl sestaven následující harmonogram.</w:t>
      </w:r>
    </w:p>
    <w:p w14:paraId="08253A2A" w14:textId="4C8F0543" w:rsidR="000A21F8" w:rsidRDefault="000A21F8" w:rsidP="000A21F8">
      <w:pPr>
        <w:rPr>
          <w:rFonts w:asciiTheme="minorHAnsi" w:hAnsiTheme="minorHAnsi" w:cstheme="minorHAnsi"/>
          <w:bCs/>
        </w:rPr>
      </w:pPr>
      <w:r w:rsidRPr="000A21F8">
        <w:rPr>
          <w:rFonts w:asciiTheme="minorHAnsi" w:hAnsiTheme="minorHAnsi" w:cstheme="minorHAnsi"/>
          <w:bCs/>
        </w:rPr>
        <w:t>Základní výchozí termíny:</w:t>
      </w:r>
    </w:p>
    <w:p w14:paraId="25C9CBBC" w14:textId="0394FF2B" w:rsidR="000A21F8" w:rsidRDefault="009C5B71" w:rsidP="000A21F8">
      <w:pPr>
        <w:jc w:val="center"/>
        <w:rPr>
          <w:rFonts w:asciiTheme="minorHAnsi" w:hAnsiTheme="minorHAnsi" w:cstheme="minorHAnsi"/>
          <w:bCs/>
        </w:rPr>
      </w:pPr>
      <w:r w:rsidRPr="009C5B71">
        <w:rPr>
          <w:noProof/>
        </w:rPr>
        <w:drawing>
          <wp:inline distT="0" distB="0" distL="0" distR="0" wp14:anchorId="29489CDD" wp14:editId="1EFC3200">
            <wp:extent cx="5753100" cy="5318760"/>
            <wp:effectExtent l="0" t="0" r="0" b="0"/>
            <wp:docPr id="2273" name="Obrázek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5318760"/>
                    </a:xfrm>
                    <a:prstGeom prst="rect">
                      <a:avLst/>
                    </a:prstGeom>
                    <a:noFill/>
                    <a:ln>
                      <a:noFill/>
                    </a:ln>
                  </pic:spPr>
                </pic:pic>
              </a:graphicData>
            </a:graphic>
          </wp:inline>
        </w:drawing>
      </w:r>
    </w:p>
    <w:p w14:paraId="4BFAD0C9" w14:textId="461ACEB6" w:rsidR="000A21F8" w:rsidRPr="008E654B" w:rsidRDefault="000A21F8" w:rsidP="000A21F8">
      <w:pPr>
        <w:spacing w:before="360"/>
        <w:rPr>
          <w:rFonts w:asciiTheme="minorHAnsi" w:hAnsiTheme="minorHAnsi" w:cstheme="minorHAnsi"/>
          <w:bCs/>
        </w:rPr>
      </w:pPr>
      <w:r w:rsidRPr="00A1191B">
        <w:rPr>
          <w:rFonts w:asciiTheme="minorHAnsi" w:hAnsiTheme="minorHAnsi" w:cstheme="minorHAnsi"/>
          <w:bCs/>
          <w:u w:val="single"/>
        </w:rPr>
        <w:t>Den zahájení plnění</w:t>
      </w:r>
      <w:r w:rsidRPr="008E654B">
        <w:rPr>
          <w:rFonts w:asciiTheme="minorHAnsi" w:hAnsiTheme="minorHAnsi" w:cstheme="minorHAnsi"/>
          <w:bCs/>
        </w:rPr>
        <w:t xml:space="preserve"> je </w:t>
      </w:r>
      <w:r w:rsidR="00A51E17">
        <w:rPr>
          <w:rFonts w:asciiTheme="minorHAnsi" w:hAnsiTheme="minorHAnsi" w:cstheme="minorHAnsi"/>
          <w:bCs/>
        </w:rPr>
        <w:t>jeden</w:t>
      </w:r>
      <w:r w:rsidRPr="008E654B">
        <w:rPr>
          <w:rFonts w:asciiTheme="minorHAnsi" w:hAnsiTheme="minorHAnsi" w:cstheme="minorHAnsi"/>
          <w:bCs/>
        </w:rPr>
        <w:t xml:space="preserve"> kalendářní den po podpisu smlouvy. Zahájením plnění se rozumí i zahájení přípravných činností, jako je proces ověření stavu v souladu s čl.5 smlouvy.</w:t>
      </w:r>
    </w:p>
    <w:p w14:paraId="70287EF7" w14:textId="7112D66C" w:rsidR="000A21F8" w:rsidRPr="008E654B" w:rsidRDefault="000A21F8" w:rsidP="000A21F8">
      <w:pPr>
        <w:rPr>
          <w:rFonts w:asciiTheme="minorHAnsi" w:hAnsiTheme="minorHAnsi" w:cstheme="minorHAnsi"/>
          <w:bCs/>
        </w:rPr>
      </w:pPr>
      <w:r w:rsidRPr="00A1191B">
        <w:rPr>
          <w:rFonts w:asciiTheme="minorHAnsi" w:hAnsiTheme="minorHAnsi" w:cstheme="minorHAnsi"/>
          <w:bCs/>
          <w:u w:val="single"/>
        </w:rPr>
        <w:t>Den předání</w:t>
      </w:r>
      <w:r w:rsidRPr="008E654B">
        <w:rPr>
          <w:rFonts w:asciiTheme="minorHAnsi" w:hAnsiTheme="minorHAnsi" w:cstheme="minorHAnsi"/>
          <w:bCs/>
        </w:rPr>
        <w:t xml:space="preserve"> je</w:t>
      </w:r>
      <w:r>
        <w:rPr>
          <w:rFonts w:asciiTheme="minorHAnsi" w:hAnsiTheme="minorHAnsi" w:cstheme="minorHAnsi"/>
          <w:bCs/>
        </w:rPr>
        <w:t xml:space="preserve"> dle plánovaného harmonogramu</w:t>
      </w:r>
      <w:r w:rsidRPr="008E654B">
        <w:rPr>
          <w:rFonts w:asciiTheme="minorHAnsi" w:hAnsiTheme="minorHAnsi" w:cstheme="minorHAnsi"/>
          <w:bCs/>
        </w:rPr>
        <w:t xml:space="preserve"> 31.12.202</w:t>
      </w:r>
      <w:r>
        <w:rPr>
          <w:rFonts w:asciiTheme="minorHAnsi" w:hAnsiTheme="minorHAnsi" w:cstheme="minorHAnsi"/>
          <w:bCs/>
        </w:rPr>
        <w:t>3</w:t>
      </w:r>
      <w:r w:rsidRPr="008E654B">
        <w:rPr>
          <w:rFonts w:asciiTheme="minorHAnsi" w:hAnsiTheme="minorHAnsi" w:cstheme="minorHAnsi"/>
          <w:bCs/>
        </w:rPr>
        <w:t>.</w:t>
      </w:r>
      <w:r w:rsidR="003B2F92">
        <w:rPr>
          <w:rFonts w:asciiTheme="minorHAnsi" w:hAnsiTheme="minorHAnsi" w:cstheme="minorHAnsi"/>
          <w:bCs/>
        </w:rPr>
        <w:t xml:space="preserve"> Dílčí předání jednotlivých technologických celků je blíže uvedeno v příloze č. 13.</w:t>
      </w:r>
    </w:p>
    <w:p w14:paraId="5C9BC2AA" w14:textId="77777777" w:rsidR="000A21F8" w:rsidRDefault="000A21F8" w:rsidP="000A21F8">
      <w:pPr>
        <w:spacing w:before="360"/>
        <w:rPr>
          <w:rFonts w:asciiTheme="minorHAnsi" w:hAnsiTheme="minorHAnsi" w:cstheme="minorHAnsi"/>
          <w:bCs/>
        </w:rPr>
      </w:pPr>
      <w:r w:rsidRPr="008E654B">
        <w:rPr>
          <w:rFonts w:asciiTheme="minorHAnsi" w:hAnsiTheme="minorHAnsi" w:cstheme="minorHAnsi"/>
          <w:bCs/>
        </w:rPr>
        <w:t xml:space="preserve">Podrobný harmonogram realizace opatření v jednotlivých objektech bude konzultován s pověřenými zástupci Klienta a bude v maximální možné míře přizpůsoben požadavkům provozu </w:t>
      </w:r>
      <w:r>
        <w:rPr>
          <w:rFonts w:asciiTheme="minorHAnsi" w:hAnsiTheme="minorHAnsi" w:cstheme="minorHAnsi"/>
          <w:bCs/>
        </w:rPr>
        <w:t>objektu</w:t>
      </w:r>
      <w:r w:rsidRPr="008E654B">
        <w:rPr>
          <w:rFonts w:asciiTheme="minorHAnsi" w:hAnsiTheme="minorHAnsi" w:cstheme="minorHAnsi"/>
          <w:bCs/>
        </w:rPr>
        <w:t>.</w:t>
      </w:r>
    </w:p>
    <w:p w14:paraId="5E87D430" w14:textId="77777777" w:rsidR="000A21F8" w:rsidRDefault="000A21F8" w:rsidP="000A21F8">
      <w:pPr>
        <w:spacing w:before="360"/>
        <w:rPr>
          <w:rFonts w:asciiTheme="minorHAnsi" w:hAnsiTheme="minorHAnsi" w:cstheme="minorHAnsi"/>
          <w:bCs/>
        </w:rPr>
      </w:pPr>
      <w:r>
        <w:rPr>
          <w:rFonts w:asciiTheme="minorHAnsi" w:hAnsiTheme="minorHAnsi" w:cstheme="minorHAnsi"/>
          <w:bCs/>
        </w:rPr>
        <w:t>V souladu s čl. 36, odst. 3 smlouvy jsou stanoveny tyto penalizační milníky:</w:t>
      </w:r>
    </w:p>
    <w:p w14:paraId="1BE42CE0" w14:textId="77777777" w:rsidR="000A21F8" w:rsidRPr="00A1191B" w:rsidRDefault="000A21F8" w:rsidP="00FE2739">
      <w:pPr>
        <w:pStyle w:val="ListParagraph"/>
        <w:numPr>
          <w:ilvl w:val="0"/>
          <w:numId w:val="24"/>
        </w:numPr>
        <w:rPr>
          <w:rFonts w:asciiTheme="minorHAnsi" w:hAnsiTheme="minorHAnsi" w:cstheme="minorHAnsi"/>
        </w:rPr>
      </w:pPr>
      <w:r w:rsidRPr="00A1191B">
        <w:rPr>
          <w:rFonts w:asciiTheme="minorHAnsi" w:hAnsiTheme="minorHAnsi" w:cstheme="minorHAnsi"/>
        </w:rPr>
        <w:t>Předběžná zpráva bude předložena nejpozději do 90 dnů od nabytí účinnosti smlouvy v souladu s čl. 5, odst. 3 smlouvy;</w:t>
      </w:r>
    </w:p>
    <w:p w14:paraId="0547AD28" w14:textId="17308169" w:rsidR="000A21F8" w:rsidRPr="009C5B71" w:rsidRDefault="000A21F8" w:rsidP="00031F6B">
      <w:pPr>
        <w:pStyle w:val="ListParagraph"/>
        <w:numPr>
          <w:ilvl w:val="0"/>
          <w:numId w:val="24"/>
        </w:numPr>
        <w:spacing w:before="0"/>
        <w:jc w:val="left"/>
        <w:rPr>
          <w:rFonts w:asciiTheme="minorHAnsi" w:hAnsiTheme="minorHAnsi" w:cstheme="minorHAnsi"/>
          <w:bCs/>
        </w:rPr>
      </w:pPr>
      <w:r w:rsidRPr="009C5B71">
        <w:rPr>
          <w:rFonts w:asciiTheme="minorHAnsi" w:hAnsiTheme="minorHAnsi" w:cstheme="minorHAnsi"/>
        </w:rPr>
        <w:t>Ukončení všech opatření jako celku bude uskutečněno do 31. 12. 2023.</w:t>
      </w:r>
      <w:r w:rsidRPr="009C5B71">
        <w:rPr>
          <w:rFonts w:asciiTheme="minorHAnsi" w:hAnsiTheme="minorHAnsi" w:cstheme="minorHAnsi"/>
          <w:bCs/>
        </w:rPr>
        <w:br w:type="page"/>
      </w:r>
    </w:p>
    <w:p w14:paraId="3709786F" w14:textId="77777777" w:rsidR="000A21F8" w:rsidRDefault="000A21F8" w:rsidP="000A21F8">
      <w:pPr>
        <w:jc w:val="center"/>
        <w:rPr>
          <w:rFonts w:asciiTheme="minorHAnsi" w:hAnsiTheme="minorHAnsi" w:cstheme="minorHAnsi"/>
          <w:bCs/>
        </w:rPr>
        <w:sectPr w:rsidR="000A21F8" w:rsidSect="003E3AEC">
          <w:headerReference w:type="even" r:id="rId81"/>
          <w:headerReference w:type="default" r:id="rId82"/>
          <w:footerReference w:type="default" r:id="rId83"/>
          <w:headerReference w:type="first" r:id="rId84"/>
          <w:pgSz w:w="11906" w:h="16838"/>
          <w:pgMar w:top="1418" w:right="1416" w:bottom="1134" w:left="1418" w:header="709" w:footer="709" w:gutter="0"/>
          <w:cols w:space="708"/>
          <w:docGrid w:linePitch="360"/>
        </w:sectPr>
      </w:pPr>
    </w:p>
    <w:p w14:paraId="0D7B2C00" w14:textId="2FD8A027" w:rsidR="000A21F8" w:rsidRDefault="009C5B71" w:rsidP="00133BB7">
      <w:pPr>
        <w:sectPr w:rsidR="000A21F8" w:rsidSect="000A21F8">
          <w:headerReference w:type="even" r:id="rId85"/>
          <w:headerReference w:type="default" r:id="rId86"/>
          <w:headerReference w:type="first" r:id="rId87"/>
          <w:pgSz w:w="16838" w:h="11906" w:orient="landscape"/>
          <w:pgMar w:top="1418" w:right="1418" w:bottom="1416" w:left="1134" w:header="709" w:footer="709" w:gutter="0"/>
          <w:cols w:space="708"/>
          <w:docGrid w:linePitch="360"/>
        </w:sectPr>
      </w:pPr>
      <w:r w:rsidRPr="009C5B71">
        <w:rPr>
          <w:noProof/>
        </w:rPr>
        <w:lastRenderedPageBreak/>
        <w:drawing>
          <wp:inline distT="0" distB="0" distL="0" distR="0" wp14:anchorId="158CC20D" wp14:editId="3EFF57D9">
            <wp:extent cx="9071610" cy="5572760"/>
            <wp:effectExtent l="0" t="0" r="0" b="8890"/>
            <wp:docPr id="2279" name="Obrázek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71610" cy="5572760"/>
                    </a:xfrm>
                    <a:prstGeom prst="rect">
                      <a:avLst/>
                    </a:prstGeom>
                    <a:noFill/>
                    <a:ln>
                      <a:noFill/>
                    </a:ln>
                  </pic:spPr>
                </pic:pic>
              </a:graphicData>
            </a:graphic>
          </wp:inline>
        </w:drawing>
      </w:r>
    </w:p>
    <w:p w14:paraId="481432A8" w14:textId="015DFB37" w:rsidR="00AC0307" w:rsidRDefault="001A1AC4" w:rsidP="00BD36FC">
      <w:pPr>
        <w:pStyle w:val="Heading1"/>
      </w:pPr>
      <w:bookmarkStart w:id="22" w:name="_Toc100673909"/>
      <w:r>
        <w:lastRenderedPageBreak/>
        <w:t>Příloha č. 5: Výše garantované úspory</w:t>
      </w:r>
      <w:bookmarkEnd w:id="22"/>
    </w:p>
    <w:p w14:paraId="7960E734" w14:textId="46A3E674" w:rsidR="00144389" w:rsidRPr="008E654B" w:rsidRDefault="00144389" w:rsidP="00FE2739">
      <w:pPr>
        <w:pStyle w:val="ListParagraph"/>
        <w:numPr>
          <w:ilvl w:val="0"/>
          <w:numId w:val="25"/>
        </w:numPr>
        <w:tabs>
          <w:tab w:val="left" w:pos="1134"/>
        </w:tabs>
        <w:spacing w:before="360" w:line="276" w:lineRule="auto"/>
        <w:ind w:left="709" w:hanging="709"/>
        <w:rPr>
          <w:rFonts w:asciiTheme="minorHAnsi" w:hAnsiTheme="minorHAnsi" w:cstheme="minorHAnsi"/>
          <w:b/>
          <w:sz w:val="28"/>
          <w:szCs w:val="28"/>
          <w:u w:val="single"/>
        </w:rPr>
      </w:pPr>
      <w:r>
        <w:rPr>
          <w:rFonts w:asciiTheme="minorHAnsi" w:hAnsiTheme="minorHAnsi" w:cstheme="minorHAnsi"/>
          <w:b/>
          <w:sz w:val="28"/>
          <w:szCs w:val="28"/>
          <w:u w:val="single"/>
        </w:rPr>
        <w:t>VÝŠE GARANTOVANÉ ÚSPORY</w:t>
      </w:r>
    </w:p>
    <w:p w14:paraId="0610F578" w14:textId="77696FFE" w:rsidR="00144389" w:rsidRPr="00144389" w:rsidRDefault="00144389" w:rsidP="007154D4">
      <w:pPr>
        <w:shd w:val="clear" w:color="auto" w:fill="FFFFFF" w:themeFill="background1"/>
        <w:rPr>
          <w:rFonts w:asciiTheme="minorHAnsi" w:hAnsiTheme="minorHAnsi" w:cstheme="minorHAnsi"/>
          <w:bCs/>
        </w:rPr>
      </w:pPr>
      <w:r w:rsidRPr="00144389">
        <w:rPr>
          <w:rFonts w:asciiTheme="minorHAnsi" w:hAnsiTheme="minorHAnsi" w:cstheme="minorHAnsi"/>
          <w:bCs/>
        </w:rPr>
        <w:t xml:space="preserve">ESCO garantuje, že energeticky úspornými opatřeními bude v jednotlivých letech trvání smlouvy dosaženo nejméně úspor nákladů ve výši uvedené Tab.5.1. Za příslušné zúčtovací období je garantována celková úspora nákladů ve výši </w:t>
      </w:r>
      <w:r w:rsidR="009C5B71">
        <w:rPr>
          <w:rFonts w:asciiTheme="minorHAnsi" w:hAnsiTheme="minorHAnsi" w:cstheme="minorHAnsi"/>
          <w:bCs/>
        </w:rPr>
        <w:t>22 005 200</w:t>
      </w:r>
      <w:r w:rsidRPr="002C2ABD">
        <w:rPr>
          <w:rFonts w:asciiTheme="minorHAnsi" w:hAnsiTheme="minorHAnsi" w:cstheme="minorHAnsi"/>
          <w:bCs/>
        </w:rPr>
        <w:t xml:space="preserve"> Kč bez DPH.</w:t>
      </w:r>
      <w:r w:rsidRPr="00144389">
        <w:rPr>
          <w:rFonts w:asciiTheme="minorHAnsi" w:hAnsiTheme="minorHAnsi" w:cstheme="minorHAnsi"/>
          <w:bCs/>
        </w:rPr>
        <w:t xml:space="preserve"> Garantovaná úspora zahrnuje úspory nákladů na plyn, elektřinu</w:t>
      </w:r>
      <w:r w:rsidR="00680721">
        <w:rPr>
          <w:rFonts w:asciiTheme="minorHAnsi" w:hAnsiTheme="minorHAnsi" w:cstheme="minorHAnsi"/>
          <w:bCs/>
        </w:rPr>
        <w:t xml:space="preserve"> a</w:t>
      </w:r>
      <w:r w:rsidR="002C2ABD">
        <w:rPr>
          <w:rFonts w:asciiTheme="minorHAnsi" w:hAnsiTheme="minorHAnsi" w:cstheme="minorHAnsi"/>
          <w:bCs/>
        </w:rPr>
        <w:t xml:space="preserve"> </w:t>
      </w:r>
      <w:r w:rsidRPr="00144389">
        <w:rPr>
          <w:rFonts w:asciiTheme="minorHAnsi" w:hAnsiTheme="minorHAnsi" w:cstheme="minorHAnsi"/>
          <w:bCs/>
        </w:rPr>
        <w:t>vodu.</w:t>
      </w:r>
    </w:p>
    <w:p w14:paraId="09AE6850" w14:textId="2FFAF85E" w:rsidR="000F0924" w:rsidRDefault="000F0924" w:rsidP="002C2ABD">
      <w:pPr>
        <w:shd w:val="clear" w:color="auto" w:fill="FFFFFF" w:themeFill="background1"/>
        <w:spacing w:before="240"/>
        <w:rPr>
          <w:rFonts w:asciiTheme="minorHAnsi" w:hAnsiTheme="minorHAnsi" w:cstheme="minorHAnsi"/>
        </w:rPr>
      </w:pPr>
      <w:r w:rsidRPr="00B4585A">
        <w:rPr>
          <w:rFonts w:asciiTheme="minorHAnsi" w:hAnsiTheme="minorHAnsi" w:cstheme="minorHAnsi"/>
        </w:rPr>
        <w:t>Tab.5.1 Garantovaná úspora bez DPH</w:t>
      </w:r>
    </w:p>
    <w:p w14:paraId="1F7A0C7D" w14:textId="7B16C9D9" w:rsidR="000F0924" w:rsidRDefault="00407820" w:rsidP="009C5B71">
      <w:pPr>
        <w:jc w:val="center"/>
        <w:rPr>
          <w:lang w:eastAsia="cs-CZ"/>
        </w:rPr>
      </w:pPr>
      <w:r w:rsidRPr="00407820">
        <w:rPr>
          <w:noProof/>
        </w:rPr>
        <w:drawing>
          <wp:inline distT="0" distB="0" distL="0" distR="0" wp14:anchorId="31EA2411" wp14:editId="52A76692">
            <wp:extent cx="5471160" cy="2758440"/>
            <wp:effectExtent l="0" t="0" r="0" b="3810"/>
            <wp:docPr id="2264" name="Obrázek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1160" cy="2758440"/>
                    </a:xfrm>
                    <a:prstGeom prst="rect">
                      <a:avLst/>
                    </a:prstGeom>
                    <a:noFill/>
                    <a:ln>
                      <a:noFill/>
                    </a:ln>
                  </pic:spPr>
                </pic:pic>
              </a:graphicData>
            </a:graphic>
          </wp:inline>
        </w:drawing>
      </w:r>
    </w:p>
    <w:p w14:paraId="6A8DFF3B" w14:textId="51BA7161" w:rsidR="000F0924" w:rsidRDefault="000F0924" w:rsidP="007154D4">
      <w:pPr>
        <w:rPr>
          <w:lang w:eastAsia="cs-CZ"/>
        </w:rPr>
      </w:pPr>
    </w:p>
    <w:p w14:paraId="26506C3F" w14:textId="2AD3ADE7" w:rsidR="000F0924" w:rsidRDefault="000F0924" w:rsidP="007154D4">
      <w:pPr>
        <w:shd w:val="clear" w:color="auto" w:fill="FFFFFF" w:themeFill="background1"/>
        <w:rPr>
          <w:rFonts w:asciiTheme="minorHAnsi" w:hAnsiTheme="minorHAnsi" w:cstheme="minorHAnsi"/>
        </w:rPr>
      </w:pPr>
      <w:r w:rsidRPr="000F45FB">
        <w:rPr>
          <w:rFonts w:asciiTheme="minorHAnsi" w:hAnsiTheme="minorHAnsi" w:cstheme="minorHAnsi"/>
        </w:rPr>
        <w:t>Za příslušné zúčtovací období je garantována celková úspora nákladů ve výši uvedené v Tab.5.1, nikoli úspory nákladů na jednotlivých energiích</w:t>
      </w:r>
      <w:r w:rsidR="002C2ABD">
        <w:rPr>
          <w:rFonts w:asciiTheme="minorHAnsi" w:hAnsiTheme="minorHAnsi" w:cstheme="minorHAnsi"/>
        </w:rPr>
        <w:t xml:space="preserve">, </w:t>
      </w:r>
      <w:r w:rsidRPr="000F45FB">
        <w:rPr>
          <w:rFonts w:asciiTheme="minorHAnsi" w:hAnsiTheme="minorHAnsi" w:cstheme="minorHAnsi"/>
        </w:rPr>
        <w:t>opatřeních</w:t>
      </w:r>
      <w:r w:rsidR="002C2ABD">
        <w:rPr>
          <w:rFonts w:asciiTheme="minorHAnsi" w:hAnsiTheme="minorHAnsi" w:cstheme="minorHAnsi"/>
        </w:rPr>
        <w:t xml:space="preserve"> či objektech</w:t>
      </w:r>
      <w:r w:rsidRPr="000F45FB">
        <w:rPr>
          <w:rFonts w:asciiTheme="minorHAnsi" w:hAnsiTheme="minorHAnsi" w:cstheme="minorHAnsi"/>
        </w:rPr>
        <w:t xml:space="preserve">. V Tab.5.2 je uvedena očekávaná struktura garantované úspory po jednotlivých energiích. Detailnější rozklad úspory po jednotlivých </w:t>
      </w:r>
      <w:r w:rsidR="002C2ABD">
        <w:rPr>
          <w:rFonts w:asciiTheme="minorHAnsi" w:hAnsiTheme="minorHAnsi" w:cstheme="minorHAnsi"/>
        </w:rPr>
        <w:t xml:space="preserve">objektech a </w:t>
      </w:r>
      <w:r w:rsidRPr="000F45FB">
        <w:rPr>
          <w:rFonts w:asciiTheme="minorHAnsi" w:hAnsiTheme="minorHAnsi" w:cstheme="minorHAnsi"/>
        </w:rPr>
        <w:t>opatřeních je uveden v Tab.2.1</w:t>
      </w:r>
      <w:r w:rsidR="0015317F">
        <w:rPr>
          <w:rFonts w:asciiTheme="minorHAnsi" w:hAnsiTheme="minorHAnsi" w:cstheme="minorHAnsi"/>
        </w:rPr>
        <w:t xml:space="preserve"> </w:t>
      </w:r>
      <w:r w:rsidRPr="000F45FB">
        <w:rPr>
          <w:rFonts w:asciiTheme="minorHAnsi" w:hAnsiTheme="minorHAnsi" w:cstheme="minorHAnsi"/>
        </w:rPr>
        <w:t>v Příloze č.2. Úspora je garantována ve stálých cenách uvedených v Příloze č.6.</w:t>
      </w:r>
    </w:p>
    <w:p w14:paraId="35993E20" w14:textId="77777777" w:rsidR="00F5602E" w:rsidRDefault="0015317F" w:rsidP="007154D4">
      <w:pPr>
        <w:shd w:val="clear" w:color="auto" w:fill="FFFFFF" w:themeFill="background1"/>
        <w:rPr>
          <w:rFonts w:asciiTheme="minorHAnsi" w:hAnsiTheme="minorHAnsi" w:cstheme="minorHAnsi"/>
        </w:rPr>
      </w:pPr>
      <w:r w:rsidRPr="00F5602E">
        <w:rPr>
          <w:rFonts w:asciiTheme="minorHAnsi" w:hAnsiTheme="minorHAnsi" w:cstheme="minorHAnsi"/>
        </w:rPr>
        <w:t>Výše garantované úspory je podmíněna realizací zateplení, výměny otvorových výplní a dalších opatření, které jsou specifikovány ve Smlouvě jako „investiční opatření prováděná Klientem“</w:t>
      </w:r>
      <w:r w:rsidR="00F5602E">
        <w:rPr>
          <w:rFonts w:asciiTheme="minorHAnsi" w:hAnsiTheme="minorHAnsi" w:cstheme="minorHAnsi"/>
        </w:rPr>
        <w:t>, a to v rozsahu a kvalitě podané žádosti o dotaci v rámci 146. výzvy OPŽP.</w:t>
      </w:r>
    </w:p>
    <w:p w14:paraId="3DB83370" w14:textId="77777777" w:rsidR="00F5602E" w:rsidRDefault="00F5602E">
      <w:pPr>
        <w:spacing w:before="0"/>
        <w:jc w:val="left"/>
        <w:rPr>
          <w:rFonts w:asciiTheme="minorHAnsi" w:hAnsiTheme="minorHAnsi" w:cstheme="minorHAnsi"/>
        </w:rPr>
      </w:pPr>
      <w:r>
        <w:rPr>
          <w:rFonts w:asciiTheme="minorHAnsi" w:hAnsiTheme="minorHAnsi" w:cstheme="minorHAnsi"/>
        </w:rPr>
        <w:br w:type="page"/>
      </w:r>
    </w:p>
    <w:p w14:paraId="0EFD35A2" w14:textId="05B64D18" w:rsidR="0015317F" w:rsidRDefault="0015317F" w:rsidP="007154D4">
      <w:pPr>
        <w:rPr>
          <w:rFonts w:asciiTheme="minorHAnsi" w:hAnsiTheme="minorHAnsi" w:cstheme="minorHAnsi"/>
        </w:rPr>
      </w:pPr>
      <w:r w:rsidRPr="000F45FB">
        <w:rPr>
          <w:rFonts w:asciiTheme="minorHAnsi" w:hAnsiTheme="minorHAnsi" w:cstheme="minorHAnsi"/>
        </w:rPr>
        <w:lastRenderedPageBreak/>
        <w:t>Tab.5.2 Očekávaná struktura garantované úspory</w:t>
      </w:r>
    </w:p>
    <w:p w14:paraId="51E1E588" w14:textId="64DA557F" w:rsidR="00144389" w:rsidRDefault="009C5B71" w:rsidP="00F5602E">
      <w:pPr>
        <w:spacing w:before="60"/>
        <w:rPr>
          <w:lang w:eastAsia="cs-CZ"/>
        </w:rPr>
      </w:pPr>
      <w:r w:rsidRPr="009C5B71">
        <w:rPr>
          <w:noProof/>
        </w:rPr>
        <w:drawing>
          <wp:inline distT="0" distB="0" distL="0" distR="0" wp14:anchorId="0A27C276" wp14:editId="46B7FE76">
            <wp:extent cx="5760720" cy="8492490"/>
            <wp:effectExtent l="0" t="0" r="0" b="3810"/>
            <wp:docPr id="2281" name="Obrázek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8492490"/>
                    </a:xfrm>
                    <a:prstGeom prst="rect">
                      <a:avLst/>
                    </a:prstGeom>
                    <a:noFill/>
                    <a:ln>
                      <a:noFill/>
                    </a:ln>
                  </pic:spPr>
                </pic:pic>
              </a:graphicData>
            </a:graphic>
          </wp:inline>
        </w:drawing>
      </w:r>
    </w:p>
    <w:p w14:paraId="7539070C" w14:textId="379B0364" w:rsidR="00F5602E" w:rsidRDefault="00F5602E" w:rsidP="00F5602E">
      <w:pPr>
        <w:spacing w:before="60"/>
        <w:rPr>
          <w:lang w:eastAsia="cs-CZ"/>
        </w:rPr>
      </w:pPr>
    </w:p>
    <w:p w14:paraId="69934250" w14:textId="45CA44E0" w:rsidR="003B2F92" w:rsidRDefault="009C5B71" w:rsidP="00F5602E">
      <w:pPr>
        <w:spacing w:before="240"/>
        <w:rPr>
          <w:rFonts w:asciiTheme="minorHAnsi" w:hAnsiTheme="minorHAnsi" w:cstheme="minorHAnsi"/>
        </w:rPr>
      </w:pPr>
      <w:r w:rsidRPr="009C5B71">
        <w:rPr>
          <w:noProof/>
        </w:rPr>
        <w:lastRenderedPageBreak/>
        <w:drawing>
          <wp:inline distT="0" distB="0" distL="0" distR="0" wp14:anchorId="20CEA7A8" wp14:editId="3E25AED6">
            <wp:extent cx="5760720" cy="3037840"/>
            <wp:effectExtent l="0" t="0" r="0" b="0"/>
            <wp:docPr id="2287" name="Obrázek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7DA25A2C" w14:textId="5DFC0410" w:rsidR="0015317F" w:rsidRPr="0012397A" w:rsidRDefault="0015317F" w:rsidP="00F5602E">
      <w:pPr>
        <w:spacing w:before="240"/>
        <w:rPr>
          <w:rFonts w:asciiTheme="minorHAnsi" w:hAnsiTheme="minorHAnsi" w:cstheme="minorHAnsi"/>
        </w:rPr>
      </w:pPr>
      <w:r w:rsidRPr="00413F81">
        <w:rPr>
          <w:rFonts w:asciiTheme="minorHAnsi" w:hAnsiTheme="minorHAnsi" w:cstheme="minorHAnsi"/>
        </w:rPr>
        <w:t>Klient požaduje, aby energeticky úsporná opatření snížila celkovou současnou, tj. referenční úroveň spotřeby energie</w:t>
      </w:r>
      <w:r w:rsidR="00A53B05" w:rsidRPr="00413F81">
        <w:rPr>
          <w:rFonts w:asciiTheme="minorHAnsi" w:hAnsiTheme="minorHAnsi" w:cstheme="minorHAnsi"/>
        </w:rPr>
        <w:t xml:space="preserve"> bez technologické spotřeby </w:t>
      </w:r>
      <w:r w:rsidRPr="00413F81">
        <w:rPr>
          <w:rFonts w:asciiTheme="minorHAnsi" w:hAnsiTheme="minorHAnsi" w:cstheme="minorHAnsi"/>
        </w:rPr>
        <w:t xml:space="preserve">alespoň </w:t>
      </w:r>
      <w:r w:rsidRPr="00413F81">
        <w:rPr>
          <w:rFonts w:asciiTheme="minorHAnsi" w:hAnsiTheme="minorHAnsi" w:cstheme="minorHAnsi"/>
          <w:b/>
        </w:rPr>
        <w:t>o 30 %.</w:t>
      </w:r>
      <w:r w:rsidRPr="00413F81">
        <w:rPr>
          <w:rFonts w:asciiTheme="minorHAnsi" w:hAnsiTheme="minorHAnsi" w:cstheme="minorHAnsi"/>
        </w:rPr>
        <w:t xml:space="preserve"> </w:t>
      </w:r>
      <w:r w:rsidR="00680721" w:rsidRPr="00413F81">
        <w:rPr>
          <w:rFonts w:asciiTheme="minorHAnsi" w:hAnsiTheme="minorHAnsi" w:cstheme="minorHAnsi"/>
        </w:rPr>
        <w:t>U objekt</w:t>
      </w:r>
      <w:r w:rsidR="009D40A6" w:rsidRPr="00413F81">
        <w:rPr>
          <w:rFonts w:asciiTheme="minorHAnsi" w:hAnsiTheme="minorHAnsi" w:cstheme="minorHAnsi"/>
        </w:rPr>
        <w:t>u</w:t>
      </w:r>
      <w:r w:rsidR="00680721" w:rsidRPr="00413F81">
        <w:rPr>
          <w:rFonts w:asciiTheme="minorHAnsi" w:hAnsiTheme="minorHAnsi" w:cstheme="minorHAnsi"/>
        </w:rPr>
        <w:t xml:space="preserve"> SO-0</w:t>
      </w:r>
      <w:r w:rsidR="00A53B05" w:rsidRPr="00413F81">
        <w:rPr>
          <w:rFonts w:asciiTheme="minorHAnsi" w:hAnsiTheme="minorHAnsi" w:cstheme="minorHAnsi"/>
        </w:rPr>
        <w:t xml:space="preserve">1 </w:t>
      </w:r>
      <w:r w:rsidR="00680721" w:rsidRPr="00413F81">
        <w:rPr>
          <w:rFonts w:asciiTheme="minorHAnsi" w:hAnsiTheme="minorHAnsi" w:cstheme="minorHAnsi"/>
          <w:b/>
          <w:bCs/>
          <w:caps/>
        </w:rPr>
        <w:t>je požadavek splněn</w:t>
      </w:r>
      <w:r w:rsidR="00F413CB" w:rsidRPr="00413F81">
        <w:rPr>
          <w:rFonts w:asciiTheme="minorHAnsi" w:hAnsiTheme="minorHAnsi" w:cstheme="minorHAnsi"/>
        </w:rPr>
        <w:t xml:space="preserve"> (</w:t>
      </w:r>
      <w:r w:rsidR="00C93EB9" w:rsidRPr="00413F81">
        <w:rPr>
          <w:rFonts w:asciiTheme="minorHAnsi" w:hAnsiTheme="minorHAnsi" w:cstheme="minorHAnsi"/>
        </w:rPr>
        <w:t>viz příloha č. 2, část B</w:t>
      </w:r>
      <w:r w:rsidR="00680721" w:rsidRPr="00413F81">
        <w:rPr>
          <w:rFonts w:asciiTheme="minorHAnsi" w:hAnsiTheme="minorHAnsi" w:cstheme="minorHAnsi"/>
        </w:rPr>
        <w:t>)</w:t>
      </w:r>
      <w:r w:rsidR="00C93EB9" w:rsidRPr="00413F81">
        <w:rPr>
          <w:rFonts w:asciiTheme="minorHAnsi" w:hAnsiTheme="minorHAnsi" w:cstheme="minorHAnsi"/>
        </w:rPr>
        <w:t>.</w:t>
      </w:r>
    </w:p>
    <w:p w14:paraId="627C5F80" w14:textId="164CF217" w:rsidR="0015317F" w:rsidRDefault="0015317F" w:rsidP="007154D4">
      <w:pPr>
        <w:jc w:val="left"/>
        <w:rPr>
          <w:lang w:eastAsia="cs-CZ"/>
        </w:rPr>
      </w:pPr>
      <w:r>
        <w:rPr>
          <w:lang w:eastAsia="cs-CZ"/>
        </w:rPr>
        <w:br w:type="page"/>
      </w:r>
    </w:p>
    <w:p w14:paraId="35CCE258" w14:textId="59E9D35B" w:rsidR="0015317F" w:rsidRPr="0015317F" w:rsidRDefault="0015317F" w:rsidP="00FE2739">
      <w:pPr>
        <w:pStyle w:val="ListParagraph"/>
        <w:numPr>
          <w:ilvl w:val="0"/>
          <w:numId w:val="25"/>
        </w:numPr>
        <w:tabs>
          <w:tab w:val="left" w:pos="1134"/>
        </w:tabs>
        <w:ind w:left="709" w:hanging="709"/>
        <w:contextualSpacing w:val="0"/>
        <w:rPr>
          <w:rFonts w:asciiTheme="minorHAnsi" w:hAnsiTheme="minorHAnsi" w:cstheme="minorHAnsi"/>
          <w:b/>
          <w:sz w:val="28"/>
          <w:szCs w:val="28"/>
          <w:u w:val="single"/>
        </w:rPr>
      </w:pPr>
      <w:r>
        <w:rPr>
          <w:rFonts w:asciiTheme="minorHAnsi" w:hAnsiTheme="minorHAnsi" w:cstheme="minorHAnsi"/>
          <w:b/>
          <w:sz w:val="28"/>
          <w:szCs w:val="28"/>
          <w:u w:val="single"/>
        </w:rPr>
        <w:lastRenderedPageBreak/>
        <w:t>SANKCE ZA NEDODRŽENÍ GARANTOVANÉ ÚSPORY A PRÉMIE</w:t>
      </w:r>
    </w:p>
    <w:p w14:paraId="463ABD04" w14:textId="77777777" w:rsidR="0015317F" w:rsidRPr="000F45FB" w:rsidRDefault="0015317F" w:rsidP="007154D4">
      <w:pPr>
        <w:rPr>
          <w:rFonts w:asciiTheme="minorHAnsi" w:hAnsiTheme="minorHAnsi" w:cstheme="minorHAnsi"/>
        </w:rPr>
      </w:pPr>
      <w:r w:rsidRPr="000F45FB">
        <w:rPr>
          <w:rFonts w:asciiTheme="minorHAnsi" w:hAnsiTheme="minorHAnsi" w:cstheme="minorHAnsi"/>
        </w:rPr>
        <w:t>Sankce ESCO za nedosažení garantované úspory a prémie ESCO za překročení garantované úspory bude stanovena následujícím postupem:</w:t>
      </w:r>
    </w:p>
    <w:p w14:paraId="56721ED7" w14:textId="77777777" w:rsidR="0015317F" w:rsidRPr="000F45FB" w:rsidRDefault="0015317F" w:rsidP="00FE2739">
      <w:pPr>
        <w:numPr>
          <w:ilvl w:val="0"/>
          <w:numId w:val="26"/>
        </w:numPr>
        <w:tabs>
          <w:tab w:val="clear" w:pos="720"/>
          <w:tab w:val="num" w:pos="284"/>
        </w:tabs>
        <w:ind w:left="284" w:hanging="284"/>
        <w:rPr>
          <w:rFonts w:asciiTheme="minorHAnsi" w:hAnsiTheme="minorHAnsi" w:cstheme="minorHAnsi"/>
        </w:rPr>
      </w:pPr>
      <w:r w:rsidRPr="000F45FB">
        <w:rPr>
          <w:rFonts w:asciiTheme="minorHAnsi" w:hAnsiTheme="minorHAnsi" w:cstheme="minorHAnsi"/>
        </w:rPr>
        <w:t xml:space="preserve">Na konci každého zúčtovacího období provede ESCO výpočet úspory nákladů </w:t>
      </w:r>
      <w:r w:rsidRPr="000F45FB">
        <w:rPr>
          <w:rFonts w:asciiTheme="minorHAnsi" w:hAnsiTheme="minorHAnsi" w:cstheme="minorHAnsi"/>
          <w:b/>
        </w:rPr>
        <w:t>ÚSP</w:t>
      </w:r>
      <w:r w:rsidRPr="000F45FB">
        <w:rPr>
          <w:rFonts w:asciiTheme="minorHAnsi" w:hAnsiTheme="minorHAnsi" w:cstheme="minorHAnsi"/>
          <w:b/>
          <w:vertAlign w:val="subscript"/>
        </w:rPr>
        <w:t>ZO</w:t>
      </w:r>
      <w:r w:rsidRPr="000F45FB">
        <w:rPr>
          <w:rFonts w:asciiTheme="minorHAnsi" w:hAnsiTheme="minorHAnsi" w:cstheme="minorHAnsi"/>
        </w:rPr>
        <w:t xml:space="preserve"> za uplynulé zúčtovací období v souladu s Přílohou č.6.</w:t>
      </w:r>
    </w:p>
    <w:p w14:paraId="7315F685" w14:textId="0BA03140" w:rsidR="0015317F" w:rsidRPr="000F45FB" w:rsidRDefault="0015317F" w:rsidP="00FE2739">
      <w:pPr>
        <w:numPr>
          <w:ilvl w:val="0"/>
          <w:numId w:val="26"/>
        </w:numPr>
        <w:tabs>
          <w:tab w:val="clear" w:pos="720"/>
          <w:tab w:val="num" w:pos="284"/>
        </w:tabs>
        <w:ind w:left="284" w:hanging="284"/>
        <w:rPr>
          <w:rFonts w:asciiTheme="minorHAnsi" w:hAnsiTheme="minorHAnsi" w:cstheme="minorHAnsi"/>
        </w:rPr>
      </w:pPr>
      <w:r w:rsidRPr="000F45FB">
        <w:rPr>
          <w:rFonts w:asciiTheme="minorHAnsi" w:hAnsiTheme="minorHAnsi" w:cstheme="minorHAnsi"/>
        </w:rPr>
        <w:t xml:space="preserve">Pokud bude za dané zúčtovací období </w:t>
      </w:r>
      <w:r w:rsidRPr="000F45FB">
        <w:rPr>
          <w:rFonts w:asciiTheme="minorHAnsi" w:hAnsiTheme="minorHAnsi" w:cstheme="minorHAnsi"/>
          <w:b/>
        </w:rPr>
        <w:t>ÚSP</w:t>
      </w:r>
      <w:r w:rsidRPr="000F45FB">
        <w:rPr>
          <w:rFonts w:asciiTheme="minorHAnsi" w:hAnsiTheme="minorHAnsi" w:cstheme="minorHAnsi"/>
          <w:b/>
          <w:vertAlign w:val="subscript"/>
        </w:rPr>
        <w:t>ZO</w:t>
      </w:r>
      <w:r w:rsidRPr="000F45FB">
        <w:rPr>
          <w:rFonts w:asciiTheme="minorHAnsi" w:hAnsiTheme="minorHAnsi" w:cstheme="minorHAnsi"/>
        </w:rPr>
        <w:t xml:space="preserve"> nižší, než garantovaná úspora </w:t>
      </w:r>
      <w:r w:rsidRPr="000F45FB">
        <w:rPr>
          <w:rFonts w:asciiTheme="minorHAnsi" w:hAnsiTheme="minorHAnsi" w:cstheme="minorHAnsi"/>
          <w:b/>
        </w:rPr>
        <w:t>GÚ</w:t>
      </w:r>
      <w:r w:rsidRPr="000F45FB">
        <w:rPr>
          <w:rFonts w:asciiTheme="minorHAnsi" w:hAnsiTheme="minorHAnsi" w:cstheme="minorHAnsi"/>
          <w:b/>
          <w:vertAlign w:val="subscript"/>
        </w:rPr>
        <w:t>ZO</w:t>
      </w:r>
      <w:r w:rsidRPr="000F45FB">
        <w:rPr>
          <w:rFonts w:asciiTheme="minorHAnsi" w:hAnsiTheme="minorHAnsi" w:cstheme="minorHAnsi"/>
        </w:rPr>
        <w:t xml:space="preserve"> uvedená pro toto zúčtovací období v Tab.5.1 v Kč bez DPH, vzniká Klientovi právo na sankci ESCO za nedosažení garantované úspory v daném zúčtovacím období. Výše sankce bude stanovena následovně:</w:t>
      </w:r>
    </w:p>
    <w:p w14:paraId="2C9F330B" w14:textId="77777777" w:rsidR="0015317F" w:rsidRPr="000F45FB" w:rsidRDefault="0015317F" w:rsidP="007154D4">
      <w:pPr>
        <w:ind w:left="851" w:firstLine="590"/>
        <w:rPr>
          <w:rFonts w:asciiTheme="minorHAnsi" w:hAnsiTheme="minorHAnsi" w:cstheme="minorHAnsi"/>
        </w:rPr>
      </w:pPr>
      <w:proofErr w:type="spellStart"/>
      <w:proofErr w:type="gramStart"/>
      <w:r w:rsidRPr="000F45FB">
        <w:rPr>
          <w:rFonts w:asciiTheme="minorHAnsi" w:hAnsiTheme="minorHAnsi" w:cstheme="minorHAnsi"/>
          <w:b/>
        </w:rPr>
        <w:t>Sankce</w:t>
      </w:r>
      <w:r w:rsidRPr="000F45FB">
        <w:rPr>
          <w:rFonts w:asciiTheme="minorHAnsi" w:hAnsiTheme="minorHAnsi" w:cstheme="minorHAnsi"/>
          <w:b/>
          <w:vertAlign w:val="subscript"/>
        </w:rPr>
        <w:t>ZO</w:t>
      </w:r>
      <w:proofErr w:type="spellEnd"/>
      <w:r w:rsidRPr="000F45FB">
        <w:rPr>
          <w:rFonts w:asciiTheme="minorHAnsi" w:hAnsiTheme="minorHAnsi" w:cstheme="minorHAnsi"/>
          <w:b/>
          <w:vertAlign w:val="subscript"/>
        </w:rPr>
        <w:t xml:space="preserve"> </w:t>
      </w:r>
      <w:r w:rsidRPr="000F45FB">
        <w:rPr>
          <w:rFonts w:asciiTheme="minorHAnsi" w:hAnsiTheme="minorHAnsi" w:cstheme="minorHAnsi"/>
          <w:b/>
        </w:rPr>
        <w:t xml:space="preserve"> =</w:t>
      </w:r>
      <w:proofErr w:type="gramEnd"/>
      <w:r w:rsidRPr="000F45FB">
        <w:rPr>
          <w:rFonts w:asciiTheme="minorHAnsi" w:hAnsiTheme="minorHAnsi" w:cstheme="minorHAnsi"/>
          <w:b/>
        </w:rPr>
        <w:t xml:space="preserve"> GÚ</w:t>
      </w:r>
      <w:r w:rsidRPr="000F45FB">
        <w:rPr>
          <w:rFonts w:asciiTheme="minorHAnsi" w:hAnsiTheme="minorHAnsi" w:cstheme="minorHAnsi"/>
          <w:b/>
          <w:vertAlign w:val="subscript"/>
        </w:rPr>
        <w:t xml:space="preserve">ZO </w:t>
      </w:r>
      <w:r w:rsidRPr="000F45FB">
        <w:rPr>
          <w:rFonts w:asciiTheme="minorHAnsi" w:hAnsiTheme="minorHAnsi" w:cstheme="minorHAnsi"/>
          <w:b/>
        </w:rPr>
        <w:t>– ÚSP</w:t>
      </w:r>
      <w:r w:rsidRPr="000F45FB">
        <w:rPr>
          <w:rFonts w:asciiTheme="minorHAnsi" w:hAnsiTheme="minorHAnsi" w:cstheme="minorHAnsi"/>
          <w:b/>
          <w:vertAlign w:val="subscript"/>
        </w:rPr>
        <w:t>ZO</w:t>
      </w:r>
    </w:p>
    <w:p w14:paraId="72760808" w14:textId="537A793D" w:rsidR="0015317F" w:rsidRPr="000F45FB" w:rsidRDefault="0015317F" w:rsidP="00FE2739">
      <w:pPr>
        <w:numPr>
          <w:ilvl w:val="0"/>
          <w:numId w:val="26"/>
        </w:numPr>
        <w:tabs>
          <w:tab w:val="clear" w:pos="720"/>
          <w:tab w:val="num" w:pos="284"/>
        </w:tabs>
        <w:ind w:left="284" w:hanging="284"/>
        <w:rPr>
          <w:rFonts w:asciiTheme="minorHAnsi" w:hAnsiTheme="minorHAnsi" w:cstheme="minorHAnsi"/>
        </w:rPr>
      </w:pPr>
      <w:r w:rsidRPr="000F45FB">
        <w:rPr>
          <w:rFonts w:asciiTheme="minorHAnsi" w:hAnsiTheme="minorHAnsi" w:cstheme="minorHAnsi"/>
        </w:rPr>
        <w:t xml:space="preserve">Pokud bude za dané zúčtovací období </w:t>
      </w:r>
      <w:r w:rsidRPr="000F45FB">
        <w:rPr>
          <w:rFonts w:asciiTheme="minorHAnsi" w:hAnsiTheme="minorHAnsi" w:cstheme="minorHAnsi"/>
          <w:b/>
        </w:rPr>
        <w:t>ÚSP</w:t>
      </w:r>
      <w:r w:rsidRPr="000F45FB">
        <w:rPr>
          <w:rFonts w:asciiTheme="minorHAnsi" w:hAnsiTheme="minorHAnsi" w:cstheme="minorHAnsi"/>
          <w:b/>
          <w:vertAlign w:val="subscript"/>
        </w:rPr>
        <w:t>ZO</w:t>
      </w:r>
      <w:r w:rsidRPr="000F45FB">
        <w:rPr>
          <w:rFonts w:asciiTheme="minorHAnsi" w:hAnsiTheme="minorHAnsi" w:cstheme="minorHAnsi"/>
        </w:rPr>
        <w:t xml:space="preserve"> vyšší, než garantovaná úspora </w:t>
      </w:r>
      <w:r w:rsidRPr="000F45FB">
        <w:rPr>
          <w:rFonts w:asciiTheme="minorHAnsi" w:hAnsiTheme="minorHAnsi" w:cstheme="minorHAnsi"/>
          <w:b/>
        </w:rPr>
        <w:t>GÚ</w:t>
      </w:r>
      <w:r w:rsidRPr="000F45FB">
        <w:rPr>
          <w:rFonts w:asciiTheme="minorHAnsi" w:hAnsiTheme="minorHAnsi" w:cstheme="minorHAnsi"/>
          <w:b/>
          <w:vertAlign w:val="subscript"/>
        </w:rPr>
        <w:t>ZO</w:t>
      </w:r>
      <w:r w:rsidRPr="000F45FB">
        <w:rPr>
          <w:rFonts w:asciiTheme="minorHAnsi" w:hAnsiTheme="minorHAnsi" w:cstheme="minorHAnsi"/>
        </w:rPr>
        <w:t xml:space="preserve"> uvedená pro toto zúčtovací období v Tab.5.1 v Kč bez DPH, je garance ESCO za příslušné zúčtovací období splněna a ESCO vzniká právo na prémii za překročení garantované úspory v daném zúčtovacím období. Výše prémie bude stanovena následovně:</w:t>
      </w:r>
    </w:p>
    <w:p w14:paraId="351F0F59" w14:textId="77777777" w:rsidR="0015317F" w:rsidRPr="000F45FB" w:rsidRDefault="0015317F" w:rsidP="007154D4">
      <w:pPr>
        <w:ind w:left="851" w:firstLine="590"/>
        <w:rPr>
          <w:rFonts w:asciiTheme="minorHAnsi" w:hAnsiTheme="minorHAnsi" w:cstheme="minorHAnsi"/>
        </w:rPr>
      </w:pPr>
      <w:proofErr w:type="spellStart"/>
      <w:proofErr w:type="gramStart"/>
      <w:r w:rsidRPr="000F45FB">
        <w:rPr>
          <w:rFonts w:asciiTheme="minorHAnsi" w:hAnsiTheme="minorHAnsi" w:cstheme="minorHAnsi"/>
          <w:b/>
        </w:rPr>
        <w:t>Prémie</w:t>
      </w:r>
      <w:r w:rsidRPr="000F45FB">
        <w:rPr>
          <w:rFonts w:asciiTheme="minorHAnsi" w:hAnsiTheme="minorHAnsi" w:cstheme="minorHAnsi"/>
          <w:b/>
          <w:vertAlign w:val="subscript"/>
        </w:rPr>
        <w:t>ZO</w:t>
      </w:r>
      <w:proofErr w:type="spellEnd"/>
      <w:r w:rsidRPr="000F45FB">
        <w:rPr>
          <w:rFonts w:asciiTheme="minorHAnsi" w:hAnsiTheme="minorHAnsi" w:cstheme="minorHAnsi"/>
          <w:b/>
          <w:vertAlign w:val="subscript"/>
        </w:rPr>
        <w:t xml:space="preserve"> </w:t>
      </w:r>
      <w:r w:rsidRPr="000F45FB">
        <w:rPr>
          <w:rFonts w:asciiTheme="minorHAnsi" w:hAnsiTheme="minorHAnsi" w:cstheme="minorHAnsi"/>
          <w:b/>
        </w:rPr>
        <w:t xml:space="preserve"> =</w:t>
      </w:r>
      <w:proofErr w:type="gramEnd"/>
      <w:r w:rsidRPr="000F45FB">
        <w:rPr>
          <w:rFonts w:asciiTheme="minorHAnsi" w:hAnsiTheme="minorHAnsi" w:cstheme="minorHAnsi"/>
          <w:b/>
        </w:rPr>
        <w:t xml:space="preserve"> 0,</w:t>
      </w:r>
      <w:r>
        <w:rPr>
          <w:rFonts w:asciiTheme="minorHAnsi" w:hAnsiTheme="minorHAnsi" w:cstheme="minorHAnsi"/>
          <w:b/>
        </w:rPr>
        <w:t>3</w:t>
      </w:r>
      <w:r w:rsidRPr="000F45FB">
        <w:rPr>
          <w:rFonts w:asciiTheme="minorHAnsi" w:hAnsiTheme="minorHAnsi" w:cstheme="minorHAnsi"/>
          <w:b/>
        </w:rPr>
        <w:t>0 . (ÚSP</w:t>
      </w:r>
      <w:r w:rsidRPr="000F45FB">
        <w:rPr>
          <w:rFonts w:asciiTheme="minorHAnsi" w:hAnsiTheme="minorHAnsi" w:cstheme="minorHAnsi"/>
          <w:b/>
          <w:vertAlign w:val="subscript"/>
        </w:rPr>
        <w:t>ZO</w:t>
      </w:r>
      <w:r w:rsidRPr="000F45FB">
        <w:rPr>
          <w:rFonts w:asciiTheme="minorHAnsi" w:hAnsiTheme="minorHAnsi" w:cstheme="minorHAnsi"/>
          <w:b/>
        </w:rPr>
        <w:t xml:space="preserve"> – GÚ</w:t>
      </w:r>
      <w:r w:rsidRPr="000F45FB">
        <w:rPr>
          <w:rFonts w:asciiTheme="minorHAnsi" w:hAnsiTheme="minorHAnsi" w:cstheme="minorHAnsi"/>
          <w:b/>
          <w:vertAlign w:val="subscript"/>
        </w:rPr>
        <w:t>ZO</w:t>
      </w:r>
      <w:r w:rsidRPr="000F45FB">
        <w:rPr>
          <w:rFonts w:asciiTheme="minorHAnsi" w:hAnsiTheme="minorHAnsi" w:cstheme="minorHAnsi"/>
          <w:b/>
        </w:rPr>
        <w:t>)</w:t>
      </w:r>
    </w:p>
    <w:p w14:paraId="039C874D" w14:textId="77777777" w:rsidR="0015317F" w:rsidRPr="000F45FB" w:rsidRDefault="0015317F" w:rsidP="007154D4">
      <w:pPr>
        <w:rPr>
          <w:rFonts w:asciiTheme="minorHAnsi" w:hAnsiTheme="minorHAnsi" w:cstheme="minorHAnsi"/>
        </w:rPr>
      </w:pPr>
      <w:r w:rsidRPr="000F45FB">
        <w:rPr>
          <w:rFonts w:asciiTheme="minorHAnsi" w:hAnsiTheme="minorHAnsi" w:cstheme="minorHAnsi"/>
        </w:rPr>
        <w:t xml:space="preserve">Tuto prémii Klient uhradí ESCO v souladu se smlouvou. </w:t>
      </w:r>
    </w:p>
    <w:p w14:paraId="26FF50C4" w14:textId="77777777" w:rsidR="0015317F" w:rsidRPr="000F45FB" w:rsidRDefault="0015317F" w:rsidP="007154D4">
      <w:pPr>
        <w:rPr>
          <w:rFonts w:asciiTheme="minorHAnsi" w:hAnsiTheme="minorHAnsi" w:cstheme="minorHAnsi"/>
          <w:b/>
        </w:rPr>
      </w:pPr>
      <w:r w:rsidRPr="000F45FB">
        <w:rPr>
          <w:rFonts w:asciiTheme="minorHAnsi" w:hAnsiTheme="minorHAnsi" w:cstheme="minorHAnsi"/>
          <w:b/>
        </w:rPr>
        <w:t>Význam označení:</w:t>
      </w:r>
    </w:p>
    <w:p w14:paraId="2BCA4718" w14:textId="77777777" w:rsidR="0015317F" w:rsidRPr="000F45FB" w:rsidRDefault="0015317F" w:rsidP="007154D4">
      <w:pPr>
        <w:tabs>
          <w:tab w:val="left" w:pos="2268"/>
        </w:tabs>
        <w:ind w:left="2268" w:hanging="2268"/>
        <w:rPr>
          <w:rFonts w:asciiTheme="minorHAnsi" w:hAnsiTheme="minorHAnsi" w:cstheme="minorHAnsi"/>
        </w:rPr>
      </w:pPr>
      <w:proofErr w:type="spellStart"/>
      <w:r w:rsidRPr="000F45FB">
        <w:rPr>
          <w:rFonts w:asciiTheme="minorHAnsi" w:hAnsiTheme="minorHAnsi" w:cstheme="minorHAnsi"/>
          <w:b/>
        </w:rPr>
        <w:t>Prémie</w:t>
      </w:r>
      <w:r w:rsidRPr="000F45FB">
        <w:rPr>
          <w:rFonts w:asciiTheme="minorHAnsi" w:hAnsiTheme="minorHAnsi" w:cstheme="minorHAnsi"/>
          <w:b/>
          <w:vertAlign w:val="subscript"/>
        </w:rPr>
        <w:t>ZO</w:t>
      </w:r>
      <w:proofErr w:type="spellEnd"/>
      <w:r w:rsidRPr="000F45FB">
        <w:rPr>
          <w:rFonts w:asciiTheme="minorHAnsi" w:hAnsiTheme="minorHAnsi" w:cstheme="minorHAnsi"/>
          <w:b/>
          <w:vertAlign w:val="subscript"/>
        </w:rPr>
        <w:t xml:space="preserve"> </w:t>
      </w:r>
      <w:r w:rsidRPr="000F45FB">
        <w:rPr>
          <w:rFonts w:asciiTheme="minorHAnsi" w:hAnsiTheme="minorHAnsi" w:cstheme="minorHAnsi"/>
          <w:b/>
        </w:rPr>
        <w:t>[Kč]</w:t>
      </w:r>
      <w:r w:rsidRPr="000F45FB">
        <w:rPr>
          <w:rFonts w:asciiTheme="minorHAnsi" w:hAnsiTheme="minorHAnsi" w:cstheme="minorHAnsi"/>
          <w:b/>
        </w:rPr>
        <w:tab/>
      </w:r>
      <w:r w:rsidRPr="000F45FB">
        <w:rPr>
          <w:rFonts w:asciiTheme="minorHAnsi" w:hAnsiTheme="minorHAnsi" w:cstheme="minorHAnsi"/>
        </w:rPr>
        <w:t>je prémie ESCO za dané zúčtovací období.</w:t>
      </w:r>
    </w:p>
    <w:p w14:paraId="0A164009" w14:textId="77777777" w:rsidR="0015317F" w:rsidRPr="000F45FB" w:rsidRDefault="0015317F" w:rsidP="007154D4">
      <w:pPr>
        <w:tabs>
          <w:tab w:val="left" w:pos="2268"/>
        </w:tabs>
        <w:ind w:left="2268" w:hanging="2268"/>
        <w:rPr>
          <w:rFonts w:asciiTheme="minorHAnsi" w:hAnsiTheme="minorHAnsi" w:cstheme="minorHAnsi"/>
        </w:rPr>
      </w:pPr>
      <w:proofErr w:type="spellStart"/>
      <w:r w:rsidRPr="000F45FB">
        <w:rPr>
          <w:rFonts w:asciiTheme="minorHAnsi" w:hAnsiTheme="minorHAnsi" w:cstheme="minorHAnsi"/>
          <w:b/>
        </w:rPr>
        <w:t>Sankce</w:t>
      </w:r>
      <w:r w:rsidRPr="000F45FB">
        <w:rPr>
          <w:rFonts w:asciiTheme="minorHAnsi" w:hAnsiTheme="minorHAnsi" w:cstheme="minorHAnsi"/>
          <w:b/>
          <w:vertAlign w:val="subscript"/>
        </w:rPr>
        <w:t>ZO</w:t>
      </w:r>
      <w:proofErr w:type="spellEnd"/>
      <w:r w:rsidRPr="000F45FB">
        <w:rPr>
          <w:rFonts w:asciiTheme="minorHAnsi" w:hAnsiTheme="minorHAnsi" w:cstheme="minorHAnsi"/>
          <w:b/>
          <w:vertAlign w:val="subscript"/>
        </w:rPr>
        <w:t xml:space="preserve"> </w:t>
      </w:r>
      <w:r w:rsidRPr="000F45FB">
        <w:rPr>
          <w:rFonts w:asciiTheme="minorHAnsi" w:hAnsiTheme="minorHAnsi" w:cstheme="minorHAnsi"/>
          <w:b/>
        </w:rPr>
        <w:t>[Kč]</w:t>
      </w:r>
      <w:r w:rsidRPr="000F45FB">
        <w:rPr>
          <w:rFonts w:asciiTheme="minorHAnsi" w:hAnsiTheme="minorHAnsi" w:cstheme="minorHAnsi"/>
          <w:b/>
        </w:rPr>
        <w:tab/>
      </w:r>
      <w:r w:rsidRPr="000F45FB">
        <w:rPr>
          <w:rFonts w:asciiTheme="minorHAnsi" w:hAnsiTheme="minorHAnsi" w:cstheme="minorHAnsi"/>
        </w:rPr>
        <w:t>je sankce ESCO za dané zúčtovací období.</w:t>
      </w:r>
    </w:p>
    <w:p w14:paraId="12A3445B" w14:textId="77777777" w:rsidR="0015317F" w:rsidRPr="000F45FB" w:rsidRDefault="0015317F" w:rsidP="007154D4">
      <w:pPr>
        <w:tabs>
          <w:tab w:val="left" w:pos="2268"/>
        </w:tabs>
        <w:ind w:left="2268" w:hanging="2268"/>
        <w:rPr>
          <w:rFonts w:asciiTheme="minorHAnsi" w:hAnsiTheme="minorHAnsi" w:cstheme="minorHAnsi"/>
        </w:rPr>
      </w:pPr>
      <w:r w:rsidRPr="000F45FB">
        <w:rPr>
          <w:rFonts w:asciiTheme="minorHAnsi" w:hAnsiTheme="minorHAnsi" w:cstheme="minorHAnsi"/>
          <w:b/>
        </w:rPr>
        <w:t>ÚSP</w:t>
      </w:r>
      <w:r w:rsidRPr="000F45FB">
        <w:rPr>
          <w:rFonts w:asciiTheme="minorHAnsi" w:hAnsiTheme="minorHAnsi" w:cstheme="minorHAnsi"/>
          <w:vertAlign w:val="subscript"/>
        </w:rPr>
        <w:t>ZO</w:t>
      </w:r>
      <w:r w:rsidRPr="000F45FB">
        <w:rPr>
          <w:rFonts w:asciiTheme="minorHAnsi" w:hAnsiTheme="minorHAnsi" w:cstheme="minorHAnsi"/>
          <w:b/>
          <w:vertAlign w:val="subscript"/>
        </w:rPr>
        <w:t xml:space="preserve"> </w:t>
      </w:r>
      <w:r w:rsidRPr="000F45FB">
        <w:rPr>
          <w:rFonts w:asciiTheme="minorHAnsi" w:hAnsiTheme="minorHAnsi" w:cstheme="minorHAnsi"/>
          <w:b/>
        </w:rPr>
        <w:t>[Kč]</w:t>
      </w:r>
      <w:r w:rsidRPr="000F45FB">
        <w:rPr>
          <w:rFonts w:asciiTheme="minorHAnsi" w:hAnsiTheme="minorHAnsi" w:cstheme="minorHAnsi"/>
          <w:b/>
        </w:rPr>
        <w:tab/>
      </w:r>
      <w:r w:rsidRPr="000F45FB">
        <w:rPr>
          <w:rFonts w:asciiTheme="minorHAnsi" w:hAnsiTheme="minorHAnsi" w:cstheme="minorHAnsi"/>
        </w:rPr>
        <w:t>je</w:t>
      </w:r>
      <w:r w:rsidRPr="000F45FB">
        <w:rPr>
          <w:rFonts w:asciiTheme="minorHAnsi" w:hAnsiTheme="minorHAnsi" w:cstheme="minorHAnsi"/>
          <w:b/>
        </w:rPr>
        <w:t xml:space="preserve"> </w:t>
      </w:r>
      <w:r w:rsidRPr="000F45FB">
        <w:rPr>
          <w:rFonts w:asciiTheme="minorHAnsi" w:hAnsiTheme="minorHAnsi" w:cstheme="minorHAnsi"/>
        </w:rPr>
        <w:t>celková úspora nákladů za zúčtovací období stanovená v souladu s Přílohou č.6.</w:t>
      </w:r>
    </w:p>
    <w:p w14:paraId="1C821B8C" w14:textId="1C8A0176" w:rsidR="0015317F" w:rsidRPr="000F45FB" w:rsidRDefault="0015317F" w:rsidP="007154D4">
      <w:pPr>
        <w:tabs>
          <w:tab w:val="left" w:pos="2268"/>
        </w:tabs>
        <w:ind w:left="2268" w:hanging="2268"/>
        <w:rPr>
          <w:rFonts w:asciiTheme="minorHAnsi" w:hAnsiTheme="minorHAnsi" w:cstheme="minorHAnsi"/>
        </w:rPr>
      </w:pPr>
      <w:r w:rsidRPr="000F45FB">
        <w:rPr>
          <w:rFonts w:asciiTheme="minorHAnsi" w:hAnsiTheme="minorHAnsi" w:cstheme="minorHAnsi"/>
          <w:b/>
        </w:rPr>
        <w:t>GÚ</w:t>
      </w:r>
      <w:r w:rsidRPr="000F45FB">
        <w:rPr>
          <w:rFonts w:asciiTheme="minorHAnsi" w:hAnsiTheme="minorHAnsi" w:cstheme="minorHAnsi"/>
          <w:vertAlign w:val="subscript"/>
        </w:rPr>
        <w:t>ZO</w:t>
      </w:r>
      <w:r w:rsidRPr="000F45FB">
        <w:rPr>
          <w:rFonts w:asciiTheme="minorHAnsi" w:hAnsiTheme="minorHAnsi" w:cstheme="minorHAnsi"/>
          <w:b/>
          <w:vertAlign w:val="subscript"/>
        </w:rPr>
        <w:t xml:space="preserve"> </w:t>
      </w:r>
      <w:r w:rsidRPr="000F45FB">
        <w:rPr>
          <w:rFonts w:asciiTheme="minorHAnsi" w:hAnsiTheme="minorHAnsi" w:cstheme="minorHAnsi"/>
          <w:b/>
        </w:rPr>
        <w:t>[Kč]</w:t>
      </w:r>
      <w:r w:rsidRPr="000F45FB">
        <w:rPr>
          <w:rFonts w:asciiTheme="minorHAnsi" w:hAnsiTheme="minorHAnsi" w:cstheme="minorHAnsi"/>
          <w:b/>
        </w:rPr>
        <w:tab/>
      </w:r>
      <w:r w:rsidRPr="000F45FB">
        <w:rPr>
          <w:rFonts w:asciiTheme="minorHAnsi" w:hAnsiTheme="minorHAnsi" w:cstheme="minorHAnsi"/>
        </w:rPr>
        <w:t>je garantovaná úspora nákladů za zúčtovací období uvedená v Tab.5.1 v Kč bez DPH.</w:t>
      </w:r>
    </w:p>
    <w:p w14:paraId="0488964F" w14:textId="77777777" w:rsidR="0015317F" w:rsidRPr="000F45FB" w:rsidRDefault="0015317F" w:rsidP="007154D4">
      <w:pPr>
        <w:rPr>
          <w:rFonts w:asciiTheme="minorHAnsi" w:hAnsiTheme="minorHAnsi" w:cstheme="minorHAnsi"/>
          <w:b/>
          <w:bCs/>
        </w:rPr>
      </w:pPr>
      <w:r w:rsidRPr="000F45FB">
        <w:rPr>
          <w:rFonts w:asciiTheme="minorHAnsi" w:hAnsiTheme="minorHAnsi" w:cstheme="minorHAnsi"/>
          <w:b/>
          <w:bCs/>
        </w:rPr>
        <w:t>Výše podílu Klienta na úspoře dosažené nad garantovanou úsporu: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357"/>
      </w:tblGrid>
      <w:tr w:rsidR="0015317F" w:rsidRPr="000F45FB" w14:paraId="65A8C2AF" w14:textId="77777777" w:rsidTr="00AE6D10">
        <w:trPr>
          <w:trHeight w:val="834"/>
        </w:trPr>
        <w:tc>
          <w:tcPr>
            <w:tcW w:w="4813" w:type="dxa"/>
            <w:vAlign w:val="center"/>
          </w:tcPr>
          <w:p w14:paraId="06FB0050" w14:textId="77777777" w:rsidR="0015317F" w:rsidRPr="000F45FB" w:rsidRDefault="0015317F" w:rsidP="007154D4">
            <w:pPr>
              <w:jc w:val="left"/>
              <w:rPr>
                <w:rFonts w:asciiTheme="minorHAnsi" w:hAnsiTheme="minorHAnsi" w:cstheme="minorHAnsi"/>
                <w:b/>
              </w:rPr>
            </w:pPr>
            <w:r w:rsidRPr="000F45FB">
              <w:rPr>
                <w:rFonts w:asciiTheme="minorHAnsi" w:hAnsiTheme="minorHAnsi" w:cstheme="minorHAnsi"/>
                <w:b/>
              </w:rPr>
              <w:t>procentuální podíl Klienta na úspoře dosažené nad garantovanou úsporu</w:t>
            </w:r>
          </w:p>
        </w:tc>
        <w:tc>
          <w:tcPr>
            <w:tcW w:w="4476" w:type="dxa"/>
            <w:vAlign w:val="center"/>
          </w:tcPr>
          <w:p w14:paraId="6647A599" w14:textId="77777777" w:rsidR="0015317F" w:rsidRPr="000F45FB" w:rsidRDefault="0015317F" w:rsidP="007154D4">
            <w:pPr>
              <w:jc w:val="right"/>
              <w:rPr>
                <w:rFonts w:asciiTheme="minorHAnsi" w:hAnsiTheme="minorHAnsi" w:cstheme="minorHAnsi"/>
              </w:rPr>
            </w:pPr>
            <w:r>
              <w:rPr>
                <w:rFonts w:asciiTheme="minorHAnsi" w:hAnsiTheme="minorHAnsi" w:cstheme="minorHAnsi"/>
              </w:rPr>
              <w:t>70</w:t>
            </w:r>
            <w:r w:rsidRPr="000F45FB">
              <w:rPr>
                <w:rFonts w:asciiTheme="minorHAnsi" w:hAnsiTheme="minorHAnsi" w:cstheme="minorHAnsi"/>
              </w:rPr>
              <w:t xml:space="preserve"> %</w:t>
            </w:r>
          </w:p>
        </w:tc>
      </w:tr>
      <w:tr w:rsidR="0015317F" w:rsidRPr="000F45FB" w14:paraId="7768217C" w14:textId="77777777" w:rsidTr="00AE6D10">
        <w:trPr>
          <w:trHeight w:val="814"/>
        </w:trPr>
        <w:tc>
          <w:tcPr>
            <w:tcW w:w="4813" w:type="dxa"/>
            <w:vAlign w:val="center"/>
          </w:tcPr>
          <w:p w14:paraId="1641A731" w14:textId="77777777" w:rsidR="0015317F" w:rsidRPr="000F45FB" w:rsidRDefault="0015317F" w:rsidP="007154D4">
            <w:pPr>
              <w:jc w:val="left"/>
              <w:rPr>
                <w:rFonts w:asciiTheme="minorHAnsi" w:hAnsiTheme="minorHAnsi" w:cstheme="minorHAnsi"/>
              </w:rPr>
            </w:pPr>
            <w:r w:rsidRPr="000F45FB">
              <w:rPr>
                <w:rFonts w:asciiTheme="minorHAnsi" w:hAnsiTheme="minorHAnsi" w:cstheme="minorHAnsi"/>
              </w:rPr>
              <w:t>procentuální podíl ESCO na úspoře dosažené nad garantovanou úsporu</w:t>
            </w:r>
          </w:p>
        </w:tc>
        <w:tc>
          <w:tcPr>
            <w:tcW w:w="4476" w:type="dxa"/>
            <w:vAlign w:val="center"/>
          </w:tcPr>
          <w:p w14:paraId="6FB7C0B0" w14:textId="77777777" w:rsidR="0015317F" w:rsidRPr="000F45FB" w:rsidRDefault="0015317F" w:rsidP="007154D4">
            <w:pPr>
              <w:jc w:val="right"/>
              <w:rPr>
                <w:rFonts w:asciiTheme="minorHAnsi" w:hAnsiTheme="minorHAnsi" w:cstheme="minorHAnsi"/>
              </w:rPr>
            </w:pPr>
            <w:r>
              <w:rPr>
                <w:rFonts w:asciiTheme="minorHAnsi" w:hAnsiTheme="minorHAnsi" w:cstheme="minorHAnsi"/>
              </w:rPr>
              <w:t>3</w:t>
            </w:r>
            <w:r w:rsidRPr="000F45FB">
              <w:rPr>
                <w:rFonts w:asciiTheme="minorHAnsi" w:hAnsiTheme="minorHAnsi" w:cstheme="minorHAnsi"/>
              </w:rPr>
              <w:t>0 %</w:t>
            </w:r>
          </w:p>
        </w:tc>
      </w:tr>
    </w:tbl>
    <w:p w14:paraId="407C5A56" w14:textId="77777777" w:rsidR="0015317F" w:rsidRDefault="0015317F" w:rsidP="007154D4">
      <w:pPr>
        <w:rPr>
          <w:lang w:eastAsia="cs-CZ"/>
        </w:rPr>
      </w:pPr>
    </w:p>
    <w:p w14:paraId="481432B0" w14:textId="1394FBEA" w:rsidR="00AC0307" w:rsidRDefault="001A1AC4" w:rsidP="00BD36FC">
      <w:pPr>
        <w:pStyle w:val="Heading1"/>
      </w:pPr>
      <w:bookmarkStart w:id="23" w:name="_Toc100673910"/>
      <w:r>
        <w:lastRenderedPageBreak/>
        <w:t>Příloha č. 6: Vyhodnocování dosažených úspor</w:t>
      </w:r>
      <w:bookmarkEnd w:id="23"/>
      <w:r>
        <w:t xml:space="preserve"> </w:t>
      </w:r>
    </w:p>
    <w:p w14:paraId="2E85FB24" w14:textId="7E8276BE" w:rsidR="00324A3C" w:rsidRPr="001D46B4" w:rsidRDefault="00324A3C" w:rsidP="00FE2739">
      <w:pPr>
        <w:pStyle w:val="ListParagraph"/>
        <w:numPr>
          <w:ilvl w:val="0"/>
          <w:numId w:val="29"/>
        </w:numPr>
        <w:spacing w:before="240" w:line="264" w:lineRule="auto"/>
        <w:ind w:hanging="720"/>
        <w:contextualSpacing w:val="0"/>
        <w:rPr>
          <w:b/>
          <w:bCs/>
          <w:sz w:val="26"/>
          <w:szCs w:val="26"/>
        </w:rPr>
      </w:pPr>
      <w:r w:rsidRPr="001D46B4">
        <w:rPr>
          <w:b/>
          <w:bCs/>
          <w:sz w:val="26"/>
          <w:szCs w:val="26"/>
        </w:rPr>
        <w:t>Průběžná zpráva o vyhodnocení úspor energie a nákladů</w:t>
      </w:r>
    </w:p>
    <w:p w14:paraId="65005EA1" w14:textId="77777777" w:rsidR="00324A3C" w:rsidRPr="001D46B4" w:rsidRDefault="00324A3C" w:rsidP="00324A3C">
      <w:r w:rsidRPr="001D46B4">
        <w:t>Jak je uvedeno v Článku 15 Smlouvy, ESCO bude ročně předkládat průběžnou zprávu hodnotící uplynulé zúčtovací období (zpráva se předkládá do 60 dnů po ukončení zúčtovacího období).</w:t>
      </w:r>
    </w:p>
    <w:p w14:paraId="5A3B3C6D" w14:textId="77777777" w:rsidR="00324A3C" w:rsidRPr="001D46B4" w:rsidRDefault="00324A3C" w:rsidP="00324A3C">
      <w:pPr>
        <w:rPr>
          <w:lang w:eastAsia="cs-CZ"/>
        </w:rPr>
      </w:pPr>
      <w:r w:rsidRPr="001D46B4">
        <w:rPr>
          <w:lang w:eastAsia="cs-CZ"/>
        </w:rPr>
        <w:t xml:space="preserve">Průběžné zprávy o </w:t>
      </w:r>
      <w:r w:rsidRPr="001D46B4">
        <w:rPr>
          <w:b/>
          <w:lang w:eastAsia="cs-CZ"/>
        </w:rPr>
        <w:t>vyhodnocení úspor energie a nákladů</w:t>
      </w:r>
      <w:r w:rsidRPr="001D46B4">
        <w:rPr>
          <w:lang w:eastAsia="cs-CZ"/>
        </w:rPr>
        <w:t xml:space="preserve"> budou připravovány a předkládány způsobem, definovaným v plánu M&amp;V (viz IPMVP), a proto budou zahrnovat alespoň:</w:t>
      </w:r>
    </w:p>
    <w:p w14:paraId="2D89F7B1" w14:textId="77777777" w:rsidR="00324A3C" w:rsidRPr="001D46B4" w:rsidRDefault="00324A3C" w:rsidP="00FE2739">
      <w:pPr>
        <w:pStyle w:val="Odstavecseseznamem1"/>
        <w:numPr>
          <w:ilvl w:val="0"/>
          <w:numId w:val="2"/>
        </w:numPr>
        <w:ind w:left="425" w:hanging="425"/>
        <w:contextualSpacing w:val="0"/>
        <w:rPr>
          <w:lang w:eastAsia="cs-CZ"/>
        </w:rPr>
      </w:pPr>
      <w:r w:rsidRPr="001D46B4">
        <w:t>Popis provozu energetického systému během zúčtovacího období; včetně popisu odchylek od standardního provozu energetického systému během zúčtovacího období.</w:t>
      </w:r>
    </w:p>
    <w:p w14:paraId="20F00FD4" w14:textId="77777777" w:rsidR="00324A3C" w:rsidRPr="001D46B4" w:rsidRDefault="00324A3C" w:rsidP="00FE2739">
      <w:pPr>
        <w:pStyle w:val="Odstavecseseznamem1"/>
        <w:numPr>
          <w:ilvl w:val="0"/>
          <w:numId w:val="2"/>
        </w:numPr>
        <w:ind w:left="425" w:hanging="425"/>
        <w:contextualSpacing w:val="0"/>
        <w:rPr>
          <w:lang w:eastAsia="cs-CZ"/>
        </w:rPr>
      </w:pPr>
      <w:r w:rsidRPr="001D46B4">
        <w:rPr>
          <w:lang w:eastAsia="cs-CZ"/>
        </w:rPr>
        <w:t>Popis všech změn v areálu / objektu, opravňujících k úpravám výchozího stavu, a výpočet potřebné úpravy sledovaných dat.</w:t>
      </w:r>
    </w:p>
    <w:p w14:paraId="349BF947" w14:textId="77777777" w:rsidR="00324A3C" w:rsidRPr="001D46B4" w:rsidRDefault="00324A3C" w:rsidP="00FE2739">
      <w:pPr>
        <w:pStyle w:val="Odstavecseseznamem1"/>
        <w:numPr>
          <w:ilvl w:val="0"/>
          <w:numId w:val="2"/>
        </w:numPr>
        <w:ind w:left="425" w:hanging="425"/>
        <w:contextualSpacing w:val="0"/>
        <w:rPr>
          <w:lang w:eastAsia="cs-CZ"/>
        </w:rPr>
      </w:pPr>
      <w:r w:rsidRPr="001D46B4">
        <w:rPr>
          <w:lang w:eastAsia="cs-CZ"/>
        </w:rPr>
        <w:t>Surová – primární data za vykazované období (energie a nezávislé proměnné), tj. sledovaná data z vykazovaného období, časové údaje o začátku a konci období, kdy se provádělo měření, energetická data a hodnoty nezávislých proměnných.</w:t>
      </w:r>
    </w:p>
    <w:p w14:paraId="5EB6FAA6"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Použité ceny energie nebo cenových tarifů.</w:t>
      </w:r>
    </w:p>
    <w:p w14:paraId="2CBA94B0"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U varianty A odsouhlasené odhadnuté hodnoty.</w:t>
      </w:r>
    </w:p>
    <w:p w14:paraId="0CE6EA60"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Všechny podrobnosti provedených nestandardních úprav výchozího stavu. Podrobnosti by měly zahrnovat vysvětlení změny podmínek od výchozího období, všechny sledované skutečnosti a předpoklady a technické výpočty vedoucí k úpravě.</w:t>
      </w:r>
    </w:p>
    <w:p w14:paraId="11BA0E77" w14:textId="77777777" w:rsidR="00324A3C" w:rsidRPr="001D46B4" w:rsidRDefault="00324A3C" w:rsidP="00FE2739">
      <w:pPr>
        <w:pStyle w:val="Odstavecseseznamem1"/>
        <w:numPr>
          <w:ilvl w:val="0"/>
          <w:numId w:val="3"/>
        </w:numPr>
        <w:ind w:left="425" w:hanging="425"/>
        <w:contextualSpacing w:val="0"/>
      </w:pPr>
      <w:r w:rsidRPr="001D46B4">
        <w:t>Specifikaci provedených dodatečných opatření, která mají vliv na dosahovanou úsporu.</w:t>
      </w:r>
    </w:p>
    <w:p w14:paraId="29C99771" w14:textId="77777777" w:rsidR="00324A3C" w:rsidRPr="001D46B4" w:rsidRDefault="00324A3C" w:rsidP="00FE2739">
      <w:pPr>
        <w:pStyle w:val="Odstavecseseznamem1"/>
        <w:numPr>
          <w:ilvl w:val="0"/>
          <w:numId w:val="3"/>
        </w:numPr>
        <w:ind w:left="425" w:hanging="425"/>
        <w:contextualSpacing w:val="0"/>
        <w:rPr>
          <w:lang w:eastAsia="cs-CZ"/>
        </w:rPr>
      </w:pPr>
      <w:r w:rsidRPr="001D46B4">
        <w:t>Výši dosažených úspor paliv vody a energie v technických jednotkách – po jednotlivých areálech.</w:t>
      </w:r>
    </w:p>
    <w:p w14:paraId="35C383F9" w14:textId="77777777" w:rsidR="00324A3C" w:rsidRPr="001D46B4" w:rsidRDefault="00324A3C" w:rsidP="00FE2739">
      <w:pPr>
        <w:pStyle w:val="Odstavecseseznamem1"/>
        <w:numPr>
          <w:ilvl w:val="0"/>
          <w:numId w:val="3"/>
        </w:numPr>
        <w:ind w:left="425" w:hanging="425"/>
        <w:contextualSpacing w:val="0"/>
      </w:pPr>
      <w:r w:rsidRPr="001D46B4">
        <w:t>Výši dosažených úspor nákladů po jednotlivých areálech.</w:t>
      </w:r>
    </w:p>
    <w:p w14:paraId="28AAAA98"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Porovnání dosažené a garantované úspory.</w:t>
      </w:r>
    </w:p>
    <w:p w14:paraId="365F5978" w14:textId="77777777" w:rsidR="00324A3C" w:rsidRPr="001D46B4" w:rsidRDefault="00324A3C" w:rsidP="00FE2739">
      <w:pPr>
        <w:pStyle w:val="Odstavecseseznamem1"/>
        <w:numPr>
          <w:ilvl w:val="0"/>
          <w:numId w:val="3"/>
        </w:numPr>
        <w:ind w:left="425" w:hanging="425"/>
        <w:contextualSpacing w:val="0"/>
      </w:pPr>
      <w:r w:rsidRPr="001D46B4">
        <w:t>Závěr, zda garantované úspory bylo dosaženo či ne, příp. zda Klientovi vzniklo právo na sankci nebo ESCO vzniklo právo na prémii.</w:t>
      </w:r>
    </w:p>
    <w:p w14:paraId="02F818AE"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Jméno zpracovatele průběžné zprávy a kontakty na něho.</w:t>
      </w:r>
    </w:p>
    <w:p w14:paraId="02D774A6" w14:textId="77777777" w:rsidR="00324A3C" w:rsidRPr="001D46B4" w:rsidRDefault="00324A3C" w:rsidP="00FE2739">
      <w:pPr>
        <w:pStyle w:val="Odstavecseseznamem1"/>
        <w:numPr>
          <w:ilvl w:val="0"/>
          <w:numId w:val="3"/>
        </w:numPr>
        <w:ind w:left="425" w:hanging="425"/>
        <w:contextualSpacing w:val="0"/>
        <w:rPr>
          <w:lang w:eastAsia="cs-CZ"/>
        </w:rPr>
      </w:pPr>
      <w:r w:rsidRPr="001D46B4">
        <w:rPr>
          <w:lang w:eastAsia="cs-CZ"/>
        </w:rPr>
        <w:t>Podpis oprávněné osoby.</w:t>
      </w:r>
    </w:p>
    <w:p w14:paraId="2FC76310" w14:textId="7B768B44" w:rsidR="00324A3C" w:rsidRDefault="00324A3C" w:rsidP="00324A3C">
      <w:r w:rsidRPr="001D46B4">
        <w:t xml:space="preserve">Schválená průběžná zpráva s vyhodnocením dosažených úspor za příslušné zúčtovací období, zahrnující případně připomínky Klienta k ní, je podkladem pro schválení </w:t>
      </w:r>
      <w:r w:rsidRPr="001D46B4">
        <w:rPr>
          <w:b/>
        </w:rPr>
        <w:t>protokolu za příslušné zúčtovací období</w:t>
      </w:r>
      <w:r w:rsidRPr="001D46B4">
        <w:t xml:space="preserve"> a je jeho povinnou přílohou spolu s dalšími informacemi, vyplývajícími z Článku 15.</w:t>
      </w:r>
    </w:p>
    <w:p w14:paraId="0DC9B1C8" w14:textId="0DB605B9" w:rsidR="007F6156" w:rsidRDefault="007F6156" w:rsidP="00324A3C"/>
    <w:p w14:paraId="1B06494D" w14:textId="7B0FA02B" w:rsidR="007F6156" w:rsidRPr="00324A3C" w:rsidRDefault="007F6156" w:rsidP="00324A3C">
      <w:r>
        <w:rPr>
          <w:b/>
          <w:sz w:val="28"/>
          <w:szCs w:val="28"/>
          <w:u w:val="single"/>
        </w:rPr>
        <w:t xml:space="preserve">Zadavatel v souladu s § 3 odst. 2, písm. b zákona č. 340/2015 Sb. nezveřejňuje další obsah přílohy č. </w:t>
      </w:r>
      <w:r>
        <w:rPr>
          <w:b/>
          <w:sz w:val="28"/>
          <w:szCs w:val="28"/>
          <w:u w:val="single"/>
        </w:rPr>
        <w:t>6</w:t>
      </w:r>
    </w:p>
    <w:p w14:paraId="48143308" w14:textId="77777777" w:rsidR="00AC0307" w:rsidRDefault="001A1AC4" w:rsidP="00BD36FC">
      <w:pPr>
        <w:pStyle w:val="Heading1"/>
      </w:pPr>
      <w:bookmarkStart w:id="24" w:name="_Toc100673911"/>
      <w:r>
        <w:lastRenderedPageBreak/>
        <w:t>Příloha č. 7: Energetický management</w:t>
      </w:r>
      <w:bookmarkEnd w:id="24"/>
    </w:p>
    <w:p w14:paraId="48143309" w14:textId="77777777" w:rsidR="00AC0307" w:rsidRDefault="001A1AC4" w:rsidP="00BD36FC">
      <w:r>
        <w:t xml:space="preserve">Energetický management je nedílnou součástí služeb poskytovaných ESCO v rámci této smlouvy, je nezbytný pro dosažení garantované úspory, pro její prokázání a pro její vyhodnocení. Zahrnuje i doporučování dalších možností, jak zlepšit hospodaření s energií. </w:t>
      </w:r>
    </w:p>
    <w:p w14:paraId="3F087185" w14:textId="77777777" w:rsidR="0046058D" w:rsidRPr="001732D3" w:rsidRDefault="0046058D" w:rsidP="00BD36FC">
      <w:pPr>
        <w:rPr>
          <w:rFonts w:asciiTheme="minorHAnsi" w:hAnsiTheme="minorHAnsi" w:cstheme="minorHAnsi"/>
        </w:rPr>
      </w:pPr>
      <w:r w:rsidRPr="001732D3">
        <w:rPr>
          <w:rFonts w:asciiTheme="minorHAnsi" w:hAnsiTheme="minorHAnsi" w:cstheme="minorHAnsi"/>
        </w:rPr>
        <w:t>Cílem energetického managementu je minimalizovat provozní náklady při zachování požadovaných parametrů vnitřního prostředí, zejména tepelné pohody v objektech.</w:t>
      </w:r>
    </w:p>
    <w:p w14:paraId="41F7C439" w14:textId="4DCF541A" w:rsidR="0046058D" w:rsidRPr="001732D3" w:rsidRDefault="0046058D" w:rsidP="00BD36FC">
      <w:pPr>
        <w:rPr>
          <w:rFonts w:asciiTheme="minorHAnsi" w:hAnsiTheme="minorHAnsi" w:cstheme="minorHAnsi"/>
        </w:rPr>
      </w:pPr>
      <w:r w:rsidRPr="001732D3">
        <w:rPr>
          <w:rFonts w:asciiTheme="minorHAnsi" w:hAnsiTheme="minorHAnsi" w:cstheme="minorHAnsi"/>
        </w:rPr>
        <w:t>Zavedení a provádění energetického managementu bude v souladu s „Metodickým návodem pro splnění požadavku na zavedení energetického managementu“ uveřejněným v podkladech OPŽP (</w:t>
      </w:r>
      <w:hyperlink r:id="rId92" w:history="1">
        <w:r w:rsidRPr="001732D3">
          <w:rPr>
            <w:rStyle w:val="Hyperlink"/>
            <w:rFonts w:asciiTheme="minorHAnsi" w:hAnsiTheme="minorHAnsi" w:cstheme="minorHAnsi"/>
          </w:rPr>
          <w:t>www.opzp.cz</w:t>
        </w:r>
      </w:hyperlink>
      <w:r w:rsidRPr="001732D3">
        <w:rPr>
          <w:rFonts w:asciiTheme="minorHAnsi" w:hAnsiTheme="minorHAnsi" w:cstheme="minorHAnsi"/>
        </w:rPr>
        <w:t>) spolu s příslušnou výzvou programu</w:t>
      </w:r>
      <w:r>
        <w:rPr>
          <w:rFonts w:asciiTheme="minorHAnsi" w:hAnsiTheme="minorHAnsi" w:cstheme="minorHAnsi"/>
        </w:rPr>
        <w:t xml:space="preserve"> a v příloze č. 2 zadávací dokumentace</w:t>
      </w:r>
      <w:r w:rsidRPr="001732D3">
        <w:rPr>
          <w:rFonts w:asciiTheme="minorHAnsi" w:hAnsiTheme="minorHAnsi" w:cstheme="minorHAnsi"/>
        </w:rPr>
        <w:t xml:space="preserve">. Tento plný soulad bude dodržen minimálně po dobu udržitelnosti projektu vyžadované OPŽP, tj. 5 let. </w:t>
      </w:r>
    </w:p>
    <w:p w14:paraId="37D751D6" w14:textId="77777777" w:rsidR="0046058D" w:rsidRPr="001732D3" w:rsidRDefault="0046058D"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1732D3">
        <w:rPr>
          <w:rFonts w:asciiTheme="minorHAnsi" w:hAnsiTheme="minorHAnsi" w:cstheme="minorHAnsi"/>
          <w:b/>
          <w:bCs/>
          <w:sz w:val="28"/>
          <w:szCs w:val="28"/>
        </w:rPr>
        <w:t>Energetický management – povinnosti Klienta</w:t>
      </w:r>
    </w:p>
    <w:p w14:paraId="5A6B415A" w14:textId="77777777" w:rsidR="0046058D" w:rsidRPr="0046058D" w:rsidRDefault="0046058D" w:rsidP="00BD36FC">
      <w:pPr>
        <w:spacing w:before="200"/>
        <w:rPr>
          <w:rFonts w:asciiTheme="minorHAnsi" w:hAnsiTheme="minorHAnsi" w:cstheme="minorHAnsi"/>
        </w:rPr>
      </w:pPr>
      <w:r w:rsidRPr="0046058D">
        <w:rPr>
          <w:rFonts w:asciiTheme="minorHAnsi" w:hAnsiTheme="minorHAnsi" w:cstheme="minorHAnsi"/>
        </w:rPr>
        <w:t>Klient umožní ESCO plnohodnotný vzdálený přístup na řídicí dispečink energetických systémů v řešeném objektu a umožní sledovat a ovládat energetické hospodářství vzdáleně z centrálního dispečinku ESCO. Tento vzdálený přístup bude sloužit pro monitoring energetických systémů a pro účely vykonávání energetického managementu.</w:t>
      </w:r>
    </w:p>
    <w:p w14:paraId="5FB705E4" w14:textId="5BA7546A" w:rsidR="0046058D" w:rsidRPr="0046058D" w:rsidRDefault="0046058D" w:rsidP="00BD36FC">
      <w:pPr>
        <w:rPr>
          <w:rFonts w:asciiTheme="minorHAnsi" w:hAnsiTheme="minorHAnsi" w:cstheme="minorHAnsi"/>
        </w:rPr>
      </w:pPr>
      <w:r w:rsidRPr="0046058D">
        <w:rPr>
          <w:rFonts w:asciiTheme="minorHAnsi" w:hAnsiTheme="minorHAnsi" w:cstheme="minorHAnsi"/>
        </w:rPr>
        <w:t>Klient dále umožní ESCO přístup na internetové portály dodavatelů energií pro řešené objekty, kde jsou k dispozici podrobné (čtvrthodinové, hodinové či denní) informace o spotřebě příslušné energie na fakturačním měřiči, a to v takových případech, kde je tato služba dostupná.</w:t>
      </w:r>
    </w:p>
    <w:p w14:paraId="0B69E0C3" w14:textId="77777777" w:rsidR="0046058D" w:rsidRPr="0046058D" w:rsidRDefault="0046058D" w:rsidP="00BD36FC">
      <w:pPr>
        <w:rPr>
          <w:rFonts w:asciiTheme="minorHAnsi" w:hAnsiTheme="minorHAnsi" w:cstheme="minorHAnsi"/>
        </w:rPr>
      </w:pPr>
      <w:r w:rsidRPr="0046058D">
        <w:rPr>
          <w:rFonts w:asciiTheme="minorHAnsi" w:hAnsiTheme="minorHAnsi" w:cstheme="minorHAnsi"/>
        </w:rPr>
        <w:t>Klient bude pravidelně měsíčně zasílat na e-mailovou adresu oprávněné osoby ESCO uvedenou v příloze č. 8 následující údaje:</w:t>
      </w:r>
    </w:p>
    <w:p w14:paraId="77E03FA6" w14:textId="23F6871D" w:rsidR="0046058D" w:rsidRPr="0046058D" w:rsidRDefault="0046058D" w:rsidP="00FE2739">
      <w:pPr>
        <w:numPr>
          <w:ilvl w:val="0"/>
          <w:numId w:val="8"/>
        </w:numPr>
        <w:ind w:left="426" w:hanging="426"/>
        <w:rPr>
          <w:rFonts w:asciiTheme="minorHAnsi" w:hAnsiTheme="minorHAnsi" w:cstheme="minorHAnsi"/>
        </w:rPr>
      </w:pPr>
      <w:r w:rsidRPr="0046058D">
        <w:rPr>
          <w:rFonts w:asciiTheme="minorHAnsi" w:hAnsiTheme="minorHAnsi" w:cstheme="minorHAnsi"/>
        </w:rPr>
        <w:t>kopie veškerých faktur za dodávku zemního plynu pro objekty, ve kterých jsou vyhodnocovány úspory zemního plynu, a to nejpozději do 7 dnů po vystavení této faktury dodavatelem zemního plynu;</w:t>
      </w:r>
    </w:p>
    <w:p w14:paraId="70F6C6F3" w14:textId="2AF79309" w:rsidR="0046058D" w:rsidRPr="0026743E" w:rsidRDefault="0046058D" w:rsidP="00FE2739">
      <w:pPr>
        <w:numPr>
          <w:ilvl w:val="0"/>
          <w:numId w:val="8"/>
        </w:numPr>
        <w:ind w:left="426" w:hanging="426"/>
        <w:rPr>
          <w:rFonts w:asciiTheme="minorHAnsi" w:hAnsiTheme="minorHAnsi" w:cstheme="minorHAnsi"/>
        </w:rPr>
      </w:pPr>
      <w:r w:rsidRPr="0026743E">
        <w:rPr>
          <w:rFonts w:asciiTheme="minorHAnsi" w:hAnsiTheme="minorHAnsi" w:cstheme="minorHAnsi"/>
        </w:rPr>
        <w:t xml:space="preserve">odečet stavu fakturačních a vybraných podružných měřičů </w:t>
      </w:r>
      <w:r w:rsidR="0026743E" w:rsidRPr="0026743E">
        <w:rPr>
          <w:rFonts w:asciiTheme="minorHAnsi" w:hAnsiTheme="minorHAnsi" w:cstheme="minorHAnsi"/>
        </w:rPr>
        <w:t>zemního plynu</w:t>
      </w:r>
      <w:r w:rsidRPr="0026743E">
        <w:rPr>
          <w:rFonts w:asciiTheme="minorHAnsi" w:hAnsiTheme="minorHAnsi" w:cstheme="minorHAnsi"/>
        </w:rPr>
        <w:t>, a to nejpozději do 7 dne v měsíci;</w:t>
      </w:r>
    </w:p>
    <w:p w14:paraId="463B5E06" w14:textId="77777777" w:rsidR="0046058D" w:rsidRPr="0026743E" w:rsidRDefault="0046058D" w:rsidP="00FE2739">
      <w:pPr>
        <w:numPr>
          <w:ilvl w:val="0"/>
          <w:numId w:val="8"/>
        </w:numPr>
        <w:ind w:left="426" w:hanging="426"/>
        <w:rPr>
          <w:rFonts w:asciiTheme="minorHAnsi" w:hAnsiTheme="minorHAnsi" w:cstheme="minorHAnsi"/>
        </w:rPr>
      </w:pPr>
      <w:r w:rsidRPr="0026743E">
        <w:rPr>
          <w:rFonts w:asciiTheme="minorHAnsi" w:hAnsiTheme="minorHAnsi" w:cstheme="minorHAnsi"/>
        </w:rPr>
        <w:t>klient bude na výše uvedenou e-mailovou adresu zasílat rovněž kopie faktur za dodávku elektrické energie a vody pro daný objekt, a to nejpozději do 7 dnů po vystavení této faktury.</w:t>
      </w:r>
    </w:p>
    <w:p w14:paraId="6E92EEDC" w14:textId="4B44DE46"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informace o veškerých plánovaných změnách v objekt</w:t>
      </w:r>
      <w:r w:rsidR="00FD7B2B" w:rsidRPr="00FD7B2B">
        <w:rPr>
          <w:rFonts w:asciiTheme="minorHAnsi" w:hAnsiTheme="minorHAnsi" w:cstheme="minorHAnsi"/>
        </w:rPr>
        <w:t>ech</w:t>
      </w:r>
      <w:r w:rsidRPr="00FD7B2B">
        <w:rPr>
          <w:rFonts w:asciiTheme="minorHAnsi" w:hAnsiTheme="minorHAnsi" w:cstheme="minorHAnsi"/>
        </w:rPr>
        <w:t>, které mohou mít za následek nárůst spotřeby energie či vody, a to nejpozději 30 dnů před dlouhodobě plánovanými významnými změnami (např. přístavba nové části objektu, instalace nové VZT jednotky, nebo jiného významného spotřebiče energie či vody, celkové změny ve využití objektu, významné rozšíření odběru teplé užitkové vody apod.) a nejpozději 7 dnů před plánovanými změnami malého rozsahu (např. posílení topných ploch, změna ve využití místností apod.);</w:t>
      </w:r>
    </w:p>
    <w:p w14:paraId="15E2503B"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informace o veškerých mimořádných stavech, které mohou mít za následek nárůst spotřeby energie či vody, a to neprodleně po zjištění tohoto mimořádného stavu.</w:t>
      </w:r>
    </w:p>
    <w:p w14:paraId="262CA6E6" w14:textId="77777777" w:rsidR="0046058D" w:rsidRPr="00FD7B2B" w:rsidRDefault="0046058D" w:rsidP="00BD36FC">
      <w:pPr>
        <w:spacing w:before="0" w:after="160" w:line="259" w:lineRule="auto"/>
        <w:jc w:val="left"/>
        <w:rPr>
          <w:rFonts w:asciiTheme="minorHAnsi" w:hAnsiTheme="minorHAnsi" w:cstheme="minorHAnsi"/>
          <w:b/>
          <w:u w:val="single"/>
        </w:rPr>
      </w:pPr>
      <w:r w:rsidRPr="00FD7B2B">
        <w:rPr>
          <w:rFonts w:asciiTheme="minorHAnsi" w:hAnsiTheme="minorHAnsi" w:cstheme="minorHAnsi"/>
          <w:b/>
          <w:u w:val="single"/>
        </w:rPr>
        <w:br w:type="page"/>
      </w:r>
    </w:p>
    <w:p w14:paraId="1A0B99A0" w14:textId="77777777" w:rsidR="0046058D" w:rsidRPr="00FD7B2B" w:rsidRDefault="0046058D" w:rsidP="00BD36FC">
      <w:pPr>
        <w:spacing w:before="240"/>
        <w:rPr>
          <w:rFonts w:asciiTheme="minorHAnsi" w:hAnsiTheme="minorHAnsi" w:cstheme="minorHAnsi"/>
          <w:b/>
          <w:u w:val="single"/>
        </w:rPr>
      </w:pPr>
      <w:r w:rsidRPr="00FD7B2B">
        <w:rPr>
          <w:rFonts w:asciiTheme="minorHAnsi" w:hAnsiTheme="minorHAnsi" w:cstheme="minorHAnsi"/>
          <w:b/>
          <w:u w:val="single"/>
        </w:rPr>
        <w:lastRenderedPageBreak/>
        <w:t>Další úkoly a povinnosti Klienta/ provozovatele:</w:t>
      </w:r>
    </w:p>
    <w:p w14:paraId="4A116152"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Klient se zavazuje na základě proškolení využívat energetická zařízení k účelnému provozu, na základě výzvy ctít základní pravidla pro optimální využití instalovaných zařízení a dlouhodobě společně s ESCO usilovat o maximalizaci energetických úspor v rámci podmínek kladených na užívání daných prostor a zařízení v souladu s platnou legislativou. ESCO poskytne veškerou potřebnou součinnost k zaškolení osob;</w:t>
      </w:r>
    </w:p>
    <w:p w14:paraId="17CF6A99"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včas zaznamenávat změny, které by mohly vést k úniku či ztrátě energetických a jiných médií v provozovaném hospodářství, zajistit nápravná opatření;</w:t>
      </w:r>
    </w:p>
    <w:p w14:paraId="0B3920F7"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nepřetápět prostory – udržovat teplotu v daných prostorech na přiměřené úrovni (zvýšení teploty v prostorech, znamená zvýšení nákladů na vytápění). U dlouhodobě nevyužívaných prostor nastavit tlumené vytápění, tzv. temperování prostor na minimální teplotu;</w:t>
      </w:r>
    </w:p>
    <w:p w14:paraId="29B24BBE"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uváženě hospodařit s teplou a studenou vodou;</w:t>
      </w:r>
    </w:p>
    <w:p w14:paraId="381091B7"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dodržovat základní pravidla úsporného provozu při osvětlení vnitřních prostor, klást důraz na úsporu v této oblasti elektrické spotřeby;</w:t>
      </w:r>
    </w:p>
    <w:p w14:paraId="6EB2DD37"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vyvarovat se nadměrného a nekontrolovatelného větrání okny (trvale otevřená nebo nedovřená okna, jsou považována za nadměrné a nekontrolované větrání z důvodu velkého úniku tepla); v zimním období se doporučuje větrat krátce a intenzivně několikrát denně; zavírat dveře oddělující vytápěné místnosti od nevytápěných;</w:t>
      </w:r>
    </w:p>
    <w:p w14:paraId="5EDD689C"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pravidelně působit na uživatele a snižovat energetickou náročnost organizačními opatřeními;</w:t>
      </w:r>
    </w:p>
    <w:p w14:paraId="6F031C95" w14:textId="77777777" w:rsidR="0046058D" w:rsidRPr="00FD7B2B" w:rsidRDefault="0046058D" w:rsidP="00FE2739">
      <w:pPr>
        <w:numPr>
          <w:ilvl w:val="0"/>
          <w:numId w:val="8"/>
        </w:numPr>
        <w:ind w:left="426" w:hanging="426"/>
        <w:rPr>
          <w:rFonts w:asciiTheme="minorHAnsi" w:hAnsiTheme="minorHAnsi" w:cstheme="minorHAnsi"/>
        </w:rPr>
      </w:pPr>
      <w:r w:rsidRPr="00FD7B2B">
        <w:rPr>
          <w:rFonts w:asciiTheme="minorHAnsi" w:hAnsiTheme="minorHAnsi" w:cstheme="minorHAnsi"/>
        </w:rPr>
        <w:t>dbát na úsporné nakládání s prostředky svěřenými na provoz energetického hospodářství, provoz z hlediska těchto nákladů optimalizovat;</w:t>
      </w:r>
    </w:p>
    <w:p w14:paraId="656C8041" w14:textId="77777777" w:rsidR="0046058D" w:rsidRPr="00930881" w:rsidRDefault="0046058D" w:rsidP="00FE2739">
      <w:pPr>
        <w:numPr>
          <w:ilvl w:val="0"/>
          <w:numId w:val="8"/>
        </w:numPr>
        <w:ind w:left="426" w:hanging="426"/>
        <w:rPr>
          <w:rFonts w:asciiTheme="minorHAnsi" w:hAnsiTheme="minorHAnsi" w:cstheme="minorHAnsi"/>
        </w:rPr>
      </w:pPr>
      <w:r w:rsidRPr="00930881">
        <w:rPr>
          <w:rFonts w:asciiTheme="minorHAnsi" w:hAnsiTheme="minorHAnsi" w:cstheme="minorHAnsi"/>
        </w:rPr>
        <w:t>Klient bude nadále zajišťovat řádný servis a údržbu související s provozem nově vzniklého energetického systému a finančně plnit ostatní náklady související s provozem, mimo náklady samostatně specifikované v povinnostech poskytovatele, jež jsou součástí finančních nákladů poskytovatele služby a na nichž je klient povinen provozně spolupracovat;</w:t>
      </w:r>
    </w:p>
    <w:p w14:paraId="0E812ED5" w14:textId="4078B470" w:rsidR="0046058D" w:rsidRPr="00930881" w:rsidRDefault="0046058D" w:rsidP="00FE2739">
      <w:pPr>
        <w:numPr>
          <w:ilvl w:val="0"/>
          <w:numId w:val="8"/>
        </w:numPr>
        <w:ind w:left="426" w:hanging="426"/>
        <w:rPr>
          <w:rFonts w:asciiTheme="minorHAnsi" w:hAnsiTheme="minorHAnsi" w:cstheme="minorHAnsi"/>
        </w:rPr>
      </w:pPr>
      <w:r w:rsidRPr="00930881">
        <w:rPr>
          <w:rFonts w:asciiTheme="minorHAnsi" w:hAnsiTheme="minorHAnsi" w:cstheme="minorHAnsi"/>
        </w:rPr>
        <w:t>mezi ostatní budoucí provozní náklady související s provozem patří zejména mzdové náklady na osoby zajišťující výhradně provoz energetického systému, oprav</w:t>
      </w:r>
      <w:r w:rsidR="00930881" w:rsidRPr="00930881">
        <w:rPr>
          <w:rFonts w:asciiTheme="minorHAnsi" w:hAnsiTheme="minorHAnsi" w:cstheme="minorHAnsi"/>
        </w:rPr>
        <w:t>y</w:t>
      </w:r>
      <w:r w:rsidRPr="00930881">
        <w:rPr>
          <w:rFonts w:asciiTheme="minorHAnsi" w:hAnsiTheme="minorHAnsi" w:cstheme="minorHAnsi"/>
        </w:rPr>
        <w:t>, měření a pravidelné kontroly technologických zařízení zdrojů, rozvodů energetických médií, akčních členů systému měření a regulace (</w:t>
      </w:r>
      <w:proofErr w:type="spellStart"/>
      <w:r w:rsidRPr="00930881">
        <w:rPr>
          <w:rFonts w:asciiTheme="minorHAnsi" w:hAnsiTheme="minorHAnsi" w:cstheme="minorHAnsi"/>
        </w:rPr>
        <w:t>MaR</w:t>
      </w:r>
      <w:proofErr w:type="spellEnd"/>
      <w:r w:rsidRPr="00930881">
        <w:rPr>
          <w:rFonts w:asciiTheme="minorHAnsi" w:hAnsiTheme="minorHAnsi" w:cstheme="minorHAnsi"/>
        </w:rPr>
        <w:t>), předávacích stanic a rozvoden, míst spotřeby a užití energie;</w:t>
      </w:r>
    </w:p>
    <w:p w14:paraId="30DDA8D7" w14:textId="77777777" w:rsidR="0046058D" w:rsidRPr="00930881" w:rsidRDefault="0046058D" w:rsidP="00FE2739">
      <w:pPr>
        <w:numPr>
          <w:ilvl w:val="0"/>
          <w:numId w:val="8"/>
        </w:numPr>
        <w:ind w:left="426" w:hanging="426"/>
        <w:rPr>
          <w:rFonts w:asciiTheme="minorHAnsi" w:hAnsiTheme="minorHAnsi" w:cstheme="minorHAnsi"/>
        </w:rPr>
      </w:pPr>
      <w:r w:rsidRPr="00930881">
        <w:rPr>
          <w:rFonts w:asciiTheme="minorHAnsi" w:hAnsiTheme="minorHAnsi" w:cstheme="minorHAnsi"/>
        </w:rPr>
        <w:t>Klient je povinen obsluhovat zařízení, prvky a systémy dodané a instalované v rámci opatření a řídit se provozními předpisy/postupy předanými ESCO při předání.</w:t>
      </w:r>
    </w:p>
    <w:p w14:paraId="065733C8" w14:textId="6C56D2DF" w:rsidR="00285B3C" w:rsidRDefault="00285B3C" w:rsidP="00BD36FC">
      <w:pPr>
        <w:spacing w:before="0"/>
        <w:jc w:val="left"/>
      </w:pPr>
      <w:r>
        <w:br w:type="page"/>
      </w:r>
    </w:p>
    <w:p w14:paraId="32097EC5" w14:textId="77777777" w:rsidR="00285B3C" w:rsidRPr="001732D3" w:rsidRDefault="00285B3C"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1732D3">
        <w:rPr>
          <w:rFonts w:asciiTheme="minorHAnsi" w:hAnsiTheme="minorHAnsi" w:cstheme="minorHAnsi"/>
          <w:b/>
          <w:bCs/>
          <w:sz w:val="28"/>
          <w:szCs w:val="28"/>
        </w:rPr>
        <w:lastRenderedPageBreak/>
        <w:t>Energetický management – činnosti a povinnosti ESCO</w:t>
      </w:r>
    </w:p>
    <w:p w14:paraId="31510EDA" w14:textId="2AB5358A" w:rsidR="00285B3C" w:rsidRPr="00285B3C" w:rsidRDefault="00285B3C" w:rsidP="00BD36FC">
      <w:pPr>
        <w:rPr>
          <w:rFonts w:asciiTheme="minorHAnsi" w:hAnsiTheme="minorHAnsi" w:cstheme="minorHAnsi"/>
        </w:rPr>
      </w:pPr>
      <w:r w:rsidRPr="00285B3C">
        <w:rPr>
          <w:rFonts w:asciiTheme="minorHAnsi" w:hAnsiTheme="minorHAnsi" w:cstheme="minorHAnsi"/>
        </w:rPr>
        <w:t>ESCO bude uplatňovat principy energetického managementu v objektu uvedeném v příloze č. 1. Cílem energetického managementu je minimalizovat provozní náklady při zachování požadovaných parametrů vnitřního prostředí, zejména tepelné pohody v objektů. Energetický management zahrnuje následující činnosti ESCO:</w:t>
      </w:r>
    </w:p>
    <w:p w14:paraId="0DB39F62" w14:textId="0A8F4096"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evidence spotřeby zemního plynu na fakturačním měřícím zařízení (ve spolupráci s odpovědnými pracovníky Klienta) a archivace dat;</w:t>
      </w:r>
    </w:p>
    <w:p w14:paraId="3EF63271" w14:textId="741C3039"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kontrola a sledování spotřeby plynu;</w:t>
      </w:r>
    </w:p>
    <w:p w14:paraId="05F9E99A" w14:textId="63AD0A92"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porovnávání naměřených údajů s historickými spotřebami plynu;</w:t>
      </w:r>
    </w:p>
    <w:p w14:paraId="5F837689" w14:textId="2BDCB3A6"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porovnávání naměřených údajů s historickými spotřebami plynu se zohledněním rozdílných teplotních podmínek a změn ve využití areálu a objektů;</w:t>
      </w:r>
    </w:p>
    <w:p w14:paraId="51674B72" w14:textId="24D6D581"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vyhodnocení vývoje spotřeby plynu a porovnání s očekávanou spotřebou;</w:t>
      </w:r>
    </w:p>
    <w:p w14:paraId="02C640EA" w14:textId="77777777"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měsíční vyhodnocení odchylek od očekávaných spotřeb a s tím související identifikace nadměrných spotřeb vyvolaných nehospodárným využitím energie nebo poruchou systému regulace nebo jiného zařízení majícího vliv na spotřebu energie;</w:t>
      </w:r>
    </w:p>
    <w:p w14:paraId="0AB50516" w14:textId="77777777"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identifikace důvodů vedoucích ke spotřebám vyšším než očekávaná případně průměrná úroveň spotřeby;</w:t>
      </w:r>
    </w:p>
    <w:p w14:paraId="5D90D9AF" w14:textId="52A21779"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spolupráce s oprávněnými osobami dle Přílohy č. 8 na odstranění důvodů vedoucích ke spotřebám vyšším než očekávaná, případně průměrná úroveň spotřeby, tj. optimalizace hospodaření s plynem;</w:t>
      </w:r>
    </w:p>
    <w:p w14:paraId="18FC045B" w14:textId="45BC6CF6"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spolupráce s oprávněnými osobami dle Přílohy č. 8 na optimalizaci nastavení systému vytápění a systému IRC s ohledem na aktuální potřebu objektů;</w:t>
      </w:r>
    </w:p>
    <w:p w14:paraId="173FCFEF" w14:textId="77777777"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kontrola správné funkčnosti instalovaných opatření v případě odchylek ve sledovaných spotřebách;</w:t>
      </w:r>
    </w:p>
    <w:p w14:paraId="0618B222" w14:textId="4FA6F216"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vyhledávání dalšího potenciálu pro snížení energetické náročnosti objektů;</w:t>
      </w:r>
    </w:p>
    <w:p w14:paraId="7C767F91" w14:textId="77777777" w:rsidR="00285B3C" w:rsidRPr="00285B3C"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optimalizace odběrových sazeb či tarifů;</w:t>
      </w:r>
    </w:p>
    <w:p w14:paraId="6908C6DF" w14:textId="5CE6C7C0" w:rsidR="00285B3C" w:rsidRPr="00B52731" w:rsidRDefault="00285B3C" w:rsidP="00FE2739">
      <w:pPr>
        <w:numPr>
          <w:ilvl w:val="0"/>
          <w:numId w:val="8"/>
        </w:numPr>
        <w:ind w:left="426" w:hanging="426"/>
        <w:rPr>
          <w:rFonts w:asciiTheme="minorHAnsi" w:hAnsiTheme="minorHAnsi" w:cstheme="minorHAnsi"/>
        </w:rPr>
      </w:pPr>
      <w:r w:rsidRPr="00285B3C">
        <w:rPr>
          <w:rFonts w:asciiTheme="minorHAnsi" w:hAnsiTheme="minorHAnsi" w:cstheme="minorHAnsi"/>
        </w:rPr>
        <w:t xml:space="preserve">součástí energetického managementu bude i sledování a porovnávání fakturovaných spotřeb a nákladů za elektrickou energii a vodu. </w:t>
      </w:r>
      <w:r w:rsidRPr="002E64A5">
        <w:rPr>
          <w:rFonts w:asciiTheme="minorHAnsi" w:hAnsiTheme="minorHAnsi" w:cstheme="minorHAnsi"/>
        </w:rPr>
        <w:t>Pokud faktury za elektrickou energii a vodu nebudou vystavovány měsíčně, bude nezbytné v případě měsíčního sledování poskytnout kromě faktur i náměry fakturačních elektroměrů a vodoměrů vždy koncem (začátkem) měsíce.</w:t>
      </w:r>
    </w:p>
    <w:p w14:paraId="1C89F395" w14:textId="52CEC144" w:rsidR="00B52731" w:rsidRPr="00B52731" w:rsidRDefault="00B52731" w:rsidP="00FE2739">
      <w:pPr>
        <w:numPr>
          <w:ilvl w:val="0"/>
          <w:numId w:val="8"/>
        </w:numPr>
        <w:ind w:left="426" w:hanging="426"/>
        <w:rPr>
          <w:rFonts w:asciiTheme="minorHAnsi" w:hAnsiTheme="minorHAnsi" w:cstheme="minorHAnsi"/>
        </w:rPr>
      </w:pPr>
      <w:r w:rsidRPr="002E64A5">
        <w:rPr>
          <w:rFonts w:asciiTheme="minorHAnsi" w:hAnsiTheme="minorHAnsi" w:cstheme="minorHAnsi"/>
        </w:rPr>
        <w:t>součástí energetického managementu bude poskytování záručního a pozáručního servisu v </w:t>
      </w:r>
      <w:r w:rsidR="00117854" w:rsidRPr="002E64A5">
        <w:rPr>
          <w:rFonts w:asciiTheme="minorHAnsi" w:hAnsiTheme="minorHAnsi" w:cstheme="minorHAnsi"/>
        </w:rPr>
        <w:t>rozsahu dle přílohy č. 10 a v cenách definovaných dle přílohy č. 3.</w:t>
      </w:r>
    </w:p>
    <w:p w14:paraId="0682EC25" w14:textId="4FBFF073" w:rsidR="00117854" w:rsidRPr="001732D3" w:rsidRDefault="00117854"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1732D3">
        <w:rPr>
          <w:rFonts w:asciiTheme="minorHAnsi" w:hAnsiTheme="minorHAnsi" w:cstheme="minorHAnsi"/>
          <w:b/>
          <w:bCs/>
          <w:sz w:val="28"/>
          <w:szCs w:val="28"/>
        </w:rPr>
        <w:t>Energetický management</w:t>
      </w:r>
      <w:r>
        <w:rPr>
          <w:rFonts w:asciiTheme="minorHAnsi" w:hAnsiTheme="minorHAnsi" w:cstheme="minorHAnsi"/>
          <w:b/>
          <w:bCs/>
          <w:sz w:val="28"/>
          <w:szCs w:val="28"/>
        </w:rPr>
        <w:t xml:space="preserve"> (servisní činnosti)</w:t>
      </w:r>
      <w:r w:rsidRPr="001732D3">
        <w:rPr>
          <w:rFonts w:asciiTheme="minorHAnsi" w:hAnsiTheme="minorHAnsi" w:cstheme="minorHAnsi"/>
          <w:b/>
          <w:bCs/>
          <w:sz w:val="28"/>
          <w:szCs w:val="28"/>
        </w:rPr>
        <w:t xml:space="preserve"> – povinnosti Klienta</w:t>
      </w:r>
    </w:p>
    <w:p w14:paraId="3E8B8428" w14:textId="77777777" w:rsidR="00324A3C" w:rsidRPr="0046058D" w:rsidRDefault="00117854" w:rsidP="00324A3C">
      <w:pPr>
        <w:spacing w:before="200"/>
        <w:rPr>
          <w:rFonts w:asciiTheme="minorHAnsi" w:hAnsiTheme="minorHAnsi" w:cstheme="minorHAnsi"/>
        </w:rPr>
      </w:pPr>
      <w:r>
        <w:rPr>
          <w:rFonts w:asciiTheme="minorHAnsi" w:hAnsiTheme="minorHAnsi" w:cstheme="minorHAnsi"/>
        </w:rPr>
        <w:t>Obsluha zajišťuje běžné činnosti dle návodů k údržbě a obsluze</w:t>
      </w:r>
      <w:r w:rsidRPr="0046058D">
        <w:rPr>
          <w:rFonts w:asciiTheme="minorHAnsi" w:hAnsiTheme="minorHAnsi" w:cstheme="minorHAnsi"/>
        </w:rPr>
        <w:t>.</w:t>
      </w:r>
      <w:r w:rsidR="00324A3C">
        <w:rPr>
          <w:rFonts w:asciiTheme="minorHAnsi" w:hAnsiTheme="minorHAnsi" w:cstheme="minorHAnsi"/>
        </w:rPr>
        <w:t xml:space="preserve"> Další povinnosti Klienta jsou uvedeny v příloze č. 10 – Návrh rámcové smlouvy o poskytování servisních služeb.</w:t>
      </w:r>
    </w:p>
    <w:p w14:paraId="10C25A1E" w14:textId="1B1648CB" w:rsidR="00117854" w:rsidRDefault="00285B3C" w:rsidP="00BD36FC">
      <w:pPr>
        <w:spacing w:before="0"/>
        <w:jc w:val="left"/>
        <w:rPr>
          <w:rFonts w:asciiTheme="minorHAnsi" w:hAnsiTheme="minorHAnsi" w:cstheme="minorHAnsi"/>
          <w:highlight w:val="green"/>
        </w:rPr>
      </w:pPr>
      <w:r w:rsidRPr="00285B3C">
        <w:rPr>
          <w:rFonts w:asciiTheme="minorHAnsi" w:hAnsiTheme="minorHAnsi" w:cstheme="minorHAnsi"/>
          <w:highlight w:val="green"/>
        </w:rPr>
        <w:br w:type="page"/>
      </w:r>
    </w:p>
    <w:p w14:paraId="57CA3116" w14:textId="60FDA183" w:rsidR="00117854" w:rsidRPr="001732D3" w:rsidRDefault="00117854"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1732D3">
        <w:rPr>
          <w:rFonts w:asciiTheme="minorHAnsi" w:hAnsiTheme="minorHAnsi" w:cstheme="minorHAnsi"/>
          <w:b/>
          <w:bCs/>
          <w:sz w:val="28"/>
          <w:szCs w:val="28"/>
        </w:rPr>
        <w:lastRenderedPageBreak/>
        <w:t>Energetický management</w:t>
      </w:r>
      <w:r>
        <w:rPr>
          <w:rFonts w:asciiTheme="minorHAnsi" w:hAnsiTheme="minorHAnsi" w:cstheme="minorHAnsi"/>
          <w:b/>
          <w:bCs/>
          <w:sz w:val="28"/>
          <w:szCs w:val="28"/>
        </w:rPr>
        <w:t xml:space="preserve"> (servisní činnosti)</w:t>
      </w:r>
      <w:r w:rsidRPr="001732D3">
        <w:rPr>
          <w:rFonts w:asciiTheme="minorHAnsi" w:hAnsiTheme="minorHAnsi" w:cstheme="minorHAnsi"/>
          <w:b/>
          <w:bCs/>
          <w:sz w:val="28"/>
          <w:szCs w:val="28"/>
        </w:rPr>
        <w:t xml:space="preserve"> – povinnosti </w:t>
      </w:r>
      <w:r>
        <w:rPr>
          <w:rFonts w:asciiTheme="minorHAnsi" w:hAnsiTheme="minorHAnsi" w:cstheme="minorHAnsi"/>
          <w:b/>
          <w:bCs/>
          <w:sz w:val="28"/>
          <w:szCs w:val="28"/>
        </w:rPr>
        <w:t>ESCO</w:t>
      </w:r>
    </w:p>
    <w:p w14:paraId="6E0D65FC" w14:textId="22662CBE" w:rsidR="00324A3C" w:rsidRDefault="00324A3C" w:rsidP="00324A3C">
      <w:pPr>
        <w:spacing w:before="200"/>
        <w:rPr>
          <w:rFonts w:asciiTheme="minorHAnsi" w:hAnsiTheme="minorHAnsi" w:cstheme="minorHAnsi"/>
        </w:rPr>
      </w:pPr>
      <w:r w:rsidRPr="00324A3C">
        <w:rPr>
          <w:rFonts w:asciiTheme="minorHAnsi" w:hAnsiTheme="minorHAnsi" w:cstheme="minorHAnsi"/>
        </w:rPr>
        <w:t>Povinnosti ESCO jsou uvedeny v příloze č. 10 – Návrh rámcové smlouvy o poskytování servisních služeb.</w:t>
      </w:r>
    </w:p>
    <w:p w14:paraId="0B07E31B" w14:textId="77777777" w:rsidR="00285B3C" w:rsidRPr="00DC2462" w:rsidRDefault="00285B3C"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DC2462">
        <w:rPr>
          <w:rFonts w:asciiTheme="minorHAnsi" w:hAnsiTheme="minorHAnsi" w:cstheme="minorHAnsi"/>
          <w:b/>
          <w:bCs/>
          <w:sz w:val="28"/>
          <w:szCs w:val="28"/>
        </w:rPr>
        <w:t>Standardní provozní podmínky</w:t>
      </w:r>
    </w:p>
    <w:p w14:paraId="48A02ABF" w14:textId="77777777" w:rsidR="00285B3C" w:rsidRPr="00B52731" w:rsidRDefault="00285B3C" w:rsidP="00BD36FC">
      <w:pPr>
        <w:rPr>
          <w:rFonts w:asciiTheme="minorHAnsi" w:hAnsiTheme="minorHAnsi" w:cstheme="minorHAnsi"/>
        </w:rPr>
      </w:pPr>
      <w:r w:rsidRPr="00B52731">
        <w:rPr>
          <w:rFonts w:asciiTheme="minorHAnsi" w:hAnsiTheme="minorHAnsi" w:cstheme="minorHAnsi"/>
        </w:rPr>
        <w:t xml:space="preserve">Energetické systémy budou nastaveny tak, aby byla v jednotlivých typech místností dodržována pravidla pro vytápění dle ČSN EN 12831 a dle vyhlášky č.194/2007 Sb. Příloha č.1. Požadované teploty vnitřních prostor jsou uvedeny v Tab.7.1. V mimoprovozních hodinách budou realizovány teplotní útlumy (snížení vnitřní teploty o </w:t>
      </w:r>
      <w:proofErr w:type="gramStart"/>
      <w:r w:rsidRPr="00B52731">
        <w:rPr>
          <w:rFonts w:asciiTheme="minorHAnsi" w:hAnsiTheme="minorHAnsi" w:cstheme="minorHAnsi"/>
        </w:rPr>
        <w:t>3°C</w:t>
      </w:r>
      <w:proofErr w:type="gramEnd"/>
      <w:r w:rsidRPr="00B52731">
        <w:rPr>
          <w:rFonts w:asciiTheme="minorHAnsi" w:hAnsiTheme="minorHAnsi" w:cstheme="minorHAnsi"/>
        </w:rPr>
        <w:t xml:space="preserve"> až 5°C – viz Tab.7.1). Mimoprovozní útlumové režimy budou průběžně aktualizovány na základě aktuálního využití objektů.</w:t>
      </w:r>
    </w:p>
    <w:p w14:paraId="4394B41C" w14:textId="77777777" w:rsidR="00285B3C" w:rsidRPr="00B52731" w:rsidRDefault="00285B3C" w:rsidP="00BD36FC">
      <w:pPr>
        <w:spacing w:before="360"/>
        <w:rPr>
          <w:rFonts w:asciiTheme="minorHAnsi" w:hAnsiTheme="minorHAnsi" w:cstheme="minorHAnsi"/>
        </w:rPr>
      </w:pPr>
      <w:r w:rsidRPr="00B52731">
        <w:rPr>
          <w:rFonts w:asciiTheme="minorHAnsi" w:hAnsiTheme="minorHAnsi" w:cstheme="minorHAnsi"/>
        </w:rPr>
        <w:t>Tab.7.1 – Výchozí nastavení teplot v místnostech</w:t>
      </w:r>
    </w:p>
    <w:p w14:paraId="3ACE5E07" w14:textId="2B29055E" w:rsidR="00285B3C" w:rsidRPr="00285B3C" w:rsidRDefault="004F1E24" w:rsidP="00BD36FC">
      <w:pPr>
        <w:jc w:val="center"/>
        <w:rPr>
          <w:rFonts w:asciiTheme="minorHAnsi" w:hAnsiTheme="minorHAnsi" w:cstheme="minorHAnsi"/>
          <w:highlight w:val="green"/>
        </w:rPr>
      </w:pPr>
      <w:r w:rsidRPr="004F1E24">
        <w:rPr>
          <w:noProof/>
        </w:rPr>
        <w:drawing>
          <wp:inline distT="0" distB="0" distL="0" distR="0" wp14:anchorId="6BFF15F5" wp14:editId="745CE779">
            <wp:extent cx="5581650" cy="4724400"/>
            <wp:effectExtent l="0" t="0" r="0" b="0"/>
            <wp:docPr id="2266" name="Obrázek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1650" cy="4724400"/>
                    </a:xfrm>
                    <a:prstGeom prst="rect">
                      <a:avLst/>
                    </a:prstGeom>
                    <a:noFill/>
                    <a:ln>
                      <a:noFill/>
                    </a:ln>
                  </pic:spPr>
                </pic:pic>
              </a:graphicData>
            </a:graphic>
          </wp:inline>
        </w:drawing>
      </w:r>
    </w:p>
    <w:p w14:paraId="19FA13CD" w14:textId="35D60D19" w:rsidR="00285B3C" w:rsidRPr="00B52731" w:rsidRDefault="00285B3C" w:rsidP="00BD36FC">
      <w:pPr>
        <w:spacing w:before="360"/>
        <w:rPr>
          <w:rFonts w:asciiTheme="minorHAnsi" w:hAnsiTheme="minorHAnsi" w:cstheme="minorHAnsi"/>
          <w:b/>
          <w:bCs/>
          <w:u w:val="single"/>
        </w:rPr>
      </w:pPr>
      <w:r w:rsidRPr="00B52731">
        <w:rPr>
          <w:rFonts w:asciiTheme="minorHAnsi" w:hAnsiTheme="minorHAnsi" w:cstheme="minorHAnsi"/>
          <w:b/>
          <w:bCs/>
          <w:u w:val="single"/>
        </w:rPr>
        <w:t>Základní provozní doba objekt</w:t>
      </w:r>
      <w:r w:rsidR="00DC2462" w:rsidRPr="00B52731">
        <w:rPr>
          <w:rFonts w:asciiTheme="minorHAnsi" w:hAnsiTheme="minorHAnsi" w:cstheme="minorHAnsi"/>
          <w:b/>
          <w:bCs/>
          <w:u w:val="single"/>
        </w:rPr>
        <w:t>ů</w:t>
      </w:r>
      <w:r w:rsidRPr="00B52731">
        <w:rPr>
          <w:rFonts w:asciiTheme="minorHAnsi" w:hAnsiTheme="minorHAnsi" w:cstheme="minorHAnsi"/>
          <w:b/>
          <w:bCs/>
          <w:u w:val="single"/>
        </w:rPr>
        <w:t>:</w:t>
      </w:r>
    </w:p>
    <w:p w14:paraId="48A3F66F" w14:textId="577944AD" w:rsidR="00DC2462" w:rsidRPr="00DC2462" w:rsidRDefault="00DC2462" w:rsidP="00BD36FC">
      <w:pPr>
        <w:rPr>
          <w:rFonts w:asciiTheme="minorHAnsi" w:hAnsiTheme="minorHAnsi" w:cstheme="minorHAnsi"/>
          <w:color w:val="000000"/>
        </w:rPr>
      </w:pPr>
      <w:r w:rsidRPr="00B52731">
        <w:rPr>
          <w:rFonts w:asciiTheme="minorHAnsi" w:hAnsiTheme="minorHAnsi" w:cstheme="minorHAnsi"/>
          <w:b/>
          <w:bCs/>
          <w:color w:val="000000"/>
        </w:rPr>
        <w:t>Hlavní areál nemocnice</w:t>
      </w:r>
      <w:r w:rsidRPr="00DC2462">
        <w:rPr>
          <w:rFonts w:asciiTheme="minorHAnsi" w:hAnsiTheme="minorHAnsi" w:cstheme="minorHAnsi"/>
          <w:color w:val="000000"/>
        </w:rPr>
        <w:t>: celoroční nepřetržitá provozní doba</w:t>
      </w:r>
    </w:p>
    <w:p w14:paraId="481C19E2" w14:textId="77777777" w:rsidR="00117854" w:rsidRDefault="00285B3C" w:rsidP="00BD36FC">
      <w:pPr>
        <w:rPr>
          <w:rFonts w:asciiTheme="minorHAnsi" w:hAnsiTheme="minorHAnsi" w:cstheme="minorHAnsi"/>
        </w:rPr>
      </w:pPr>
      <w:r w:rsidRPr="00DC2462">
        <w:rPr>
          <w:rFonts w:asciiTheme="minorHAnsi" w:hAnsiTheme="minorHAnsi" w:cstheme="minorHAnsi"/>
        </w:rPr>
        <w:t>Nastavení útlumových režimů pro jednotlivé místnosti provede ESCO po konzultaci s provozním personálem objekt</w:t>
      </w:r>
      <w:r w:rsidR="00DC2462">
        <w:rPr>
          <w:rFonts w:asciiTheme="minorHAnsi" w:hAnsiTheme="minorHAnsi" w:cstheme="minorHAnsi"/>
        </w:rPr>
        <w:t>ů</w:t>
      </w:r>
      <w:r w:rsidRPr="00DC2462">
        <w:rPr>
          <w:rFonts w:asciiTheme="minorHAnsi" w:hAnsiTheme="minorHAnsi" w:cstheme="minorHAnsi"/>
        </w:rPr>
        <w:t>. Mimoprovozní útlumové režimy budou průběžně aktualizovány na základě aktuálního využití objekt</w:t>
      </w:r>
      <w:r w:rsidR="00DC2462">
        <w:rPr>
          <w:rFonts w:asciiTheme="minorHAnsi" w:hAnsiTheme="minorHAnsi" w:cstheme="minorHAnsi"/>
        </w:rPr>
        <w:t>ů</w:t>
      </w:r>
      <w:r w:rsidRPr="00DC2462">
        <w:rPr>
          <w:rFonts w:asciiTheme="minorHAnsi" w:hAnsiTheme="minorHAnsi" w:cstheme="minorHAnsi"/>
        </w:rPr>
        <w:t>.</w:t>
      </w:r>
    </w:p>
    <w:p w14:paraId="745C4231" w14:textId="77777777" w:rsidR="00407AB2" w:rsidRDefault="00407AB2">
      <w:pPr>
        <w:spacing w:before="0"/>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57194378" w14:textId="36BFBA56" w:rsidR="00285B3C" w:rsidRPr="00B52731" w:rsidRDefault="00285B3C" w:rsidP="00FE2739">
      <w:pPr>
        <w:pStyle w:val="ListParagraph"/>
        <w:numPr>
          <w:ilvl w:val="0"/>
          <w:numId w:val="9"/>
        </w:numPr>
        <w:spacing w:before="360"/>
        <w:ind w:left="0" w:firstLine="0"/>
        <w:contextualSpacing w:val="0"/>
        <w:rPr>
          <w:rFonts w:asciiTheme="minorHAnsi" w:hAnsiTheme="minorHAnsi" w:cstheme="minorHAnsi"/>
          <w:b/>
          <w:bCs/>
          <w:sz w:val="28"/>
          <w:szCs w:val="28"/>
        </w:rPr>
      </w:pPr>
      <w:r w:rsidRPr="00B52731">
        <w:rPr>
          <w:rFonts w:asciiTheme="minorHAnsi" w:hAnsiTheme="minorHAnsi" w:cstheme="minorHAnsi"/>
          <w:b/>
          <w:bCs/>
          <w:sz w:val="28"/>
          <w:szCs w:val="28"/>
        </w:rPr>
        <w:lastRenderedPageBreak/>
        <w:t>Energetický management – ovládání dispečinku a komunikace</w:t>
      </w:r>
    </w:p>
    <w:p w14:paraId="7F3E2D2E" w14:textId="7B27E4B6" w:rsidR="00285B3C" w:rsidRPr="00EA434B" w:rsidRDefault="00285B3C" w:rsidP="00BD36FC">
      <w:pPr>
        <w:pStyle w:val="ListParagraph"/>
        <w:spacing w:before="240"/>
        <w:ind w:left="0"/>
        <w:contextualSpacing w:val="0"/>
        <w:rPr>
          <w:rFonts w:asciiTheme="minorHAnsi" w:hAnsiTheme="minorHAnsi" w:cstheme="minorHAnsi"/>
          <w:bCs/>
          <w:lang w:bidi="cs-CZ"/>
        </w:rPr>
      </w:pPr>
      <w:r w:rsidRPr="00EA434B">
        <w:rPr>
          <w:rFonts w:asciiTheme="minorHAnsi" w:hAnsiTheme="minorHAnsi" w:cstheme="minorHAnsi"/>
          <w:bCs/>
          <w:lang w:bidi="cs-CZ"/>
        </w:rPr>
        <w:t>Součástí projektu je napojení energetického dispečinku pro řízení energetických systémů v</w:t>
      </w:r>
      <w:r w:rsidR="00EA434B" w:rsidRPr="00EA434B">
        <w:rPr>
          <w:rFonts w:asciiTheme="minorHAnsi" w:hAnsiTheme="minorHAnsi" w:cstheme="minorHAnsi"/>
          <w:bCs/>
          <w:lang w:bidi="cs-CZ"/>
        </w:rPr>
        <w:t> řešených objektech</w:t>
      </w:r>
      <w:r w:rsidRPr="00EA434B">
        <w:rPr>
          <w:rFonts w:asciiTheme="minorHAnsi" w:hAnsiTheme="minorHAnsi" w:cstheme="minorHAnsi"/>
          <w:bCs/>
          <w:lang w:bidi="cs-CZ"/>
        </w:rPr>
        <w:t xml:space="preserve"> na centrální dispečink ESCO</w:t>
      </w:r>
      <w:r w:rsidR="007266E8">
        <w:rPr>
          <w:rFonts w:asciiTheme="minorHAnsi" w:hAnsiTheme="minorHAnsi" w:cstheme="minorHAnsi"/>
          <w:bCs/>
          <w:lang w:bidi="cs-CZ"/>
        </w:rPr>
        <w:t xml:space="preserve"> s využitím současného systému </w:t>
      </w:r>
      <w:proofErr w:type="spellStart"/>
      <w:r w:rsidR="007266E8">
        <w:rPr>
          <w:rFonts w:asciiTheme="minorHAnsi" w:hAnsiTheme="minorHAnsi" w:cstheme="minorHAnsi"/>
          <w:bCs/>
          <w:lang w:bidi="cs-CZ"/>
        </w:rPr>
        <w:t>Reliance</w:t>
      </w:r>
      <w:proofErr w:type="spellEnd"/>
      <w:r w:rsidRPr="00EA434B">
        <w:rPr>
          <w:rFonts w:asciiTheme="minorHAnsi" w:hAnsiTheme="minorHAnsi" w:cstheme="minorHAnsi"/>
          <w:bCs/>
          <w:lang w:bidi="cs-CZ"/>
        </w:rPr>
        <w:t xml:space="preserve">. Napojení dispečinku na centrální dispečink ESCO umožní zavedení efektivního energetického managementu, kdy ESCO bude mít k dispozici jak okamžité informace o stavu systémů regulace dodávky energií na zdroji a topných větvích, tak i archivovaná data průběhů jednotlivých sledovaných veličin (teploty, spotřeby, stavy akčních prvků atd.), na </w:t>
      </w:r>
      <w:r w:rsidR="00EA434B">
        <w:rPr>
          <w:rFonts w:asciiTheme="minorHAnsi" w:hAnsiTheme="minorHAnsi" w:cstheme="minorHAnsi"/>
          <w:bCs/>
          <w:lang w:bidi="cs-CZ"/>
        </w:rPr>
        <w:t xml:space="preserve">jejichž </w:t>
      </w:r>
      <w:r w:rsidRPr="00EA434B">
        <w:rPr>
          <w:rFonts w:asciiTheme="minorHAnsi" w:hAnsiTheme="minorHAnsi" w:cstheme="minorHAnsi"/>
          <w:bCs/>
          <w:lang w:bidi="cs-CZ"/>
        </w:rPr>
        <w:t xml:space="preserve">základě bude provádět další optimalizaci nastavení systémů </w:t>
      </w:r>
      <w:proofErr w:type="spellStart"/>
      <w:r w:rsidRPr="00EA434B">
        <w:rPr>
          <w:rFonts w:asciiTheme="minorHAnsi" w:hAnsiTheme="minorHAnsi" w:cstheme="minorHAnsi"/>
          <w:bCs/>
          <w:lang w:bidi="cs-CZ"/>
        </w:rPr>
        <w:t>MaR</w:t>
      </w:r>
      <w:proofErr w:type="spellEnd"/>
      <w:r w:rsidRPr="00EA434B">
        <w:rPr>
          <w:rFonts w:asciiTheme="minorHAnsi" w:hAnsiTheme="minorHAnsi" w:cstheme="minorHAnsi"/>
          <w:bCs/>
          <w:lang w:bidi="cs-CZ"/>
        </w:rPr>
        <w:t>.</w:t>
      </w:r>
    </w:p>
    <w:p w14:paraId="0F582EB5" w14:textId="77777777" w:rsidR="00285B3C" w:rsidRPr="00EA434B" w:rsidRDefault="00285B3C" w:rsidP="00BD36FC">
      <w:pPr>
        <w:pStyle w:val="ListParagraph"/>
        <w:ind w:left="0"/>
        <w:contextualSpacing w:val="0"/>
        <w:rPr>
          <w:rFonts w:asciiTheme="minorHAnsi" w:hAnsiTheme="minorHAnsi" w:cstheme="minorHAnsi"/>
          <w:bCs/>
          <w:lang w:bidi="cs-CZ"/>
        </w:rPr>
      </w:pPr>
      <w:r w:rsidRPr="00EA434B">
        <w:rPr>
          <w:rFonts w:asciiTheme="minorHAnsi" w:hAnsiTheme="minorHAnsi" w:cstheme="minorHAnsi"/>
          <w:bCs/>
          <w:lang w:bidi="cs-CZ"/>
        </w:rPr>
        <w:t>Komunikace mezi ESCO a Klientem bude jednak formou pravidelných porad v souladu s čl.15 Smlouvy a dále bude probíhat dle potřeby smluvních stran i v průběhu příslušného zúčtovacího období. ESCO bude vyhodnocovat dosažené úspory pravidelně měsíčně a výsledky bude průběžně poskytovat Klientovi s příslušným komentářem.</w:t>
      </w:r>
    </w:p>
    <w:p w14:paraId="450485EF" w14:textId="77777777" w:rsidR="00285B3C" w:rsidRPr="007266E8" w:rsidRDefault="00285B3C" w:rsidP="00BD36FC">
      <w:pPr>
        <w:pStyle w:val="ListParagraph"/>
        <w:ind w:left="0"/>
        <w:contextualSpacing w:val="0"/>
        <w:rPr>
          <w:rFonts w:asciiTheme="minorHAnsi" w:hAnsiTheme="minorHAnsi" w:cstheme="minorHAnsi"/>
          <w:bCs/>
          <w:lang w:bidi="cs-CZ"/>
        </w:rPr>
      </w:pPr>
      <w:r w:rsidRPr="007266E8">
        <w:rPr>
          <w:rFonts w:asciiTheme="minorHAnsi" w:hAnsiTheme="minorHAnsi" w:cstheme="minorHAnsi"/>
          <w:bCs/>
          <w:lang w:bidi="cs-CZ"/>
        </w:rPr>
        <w:t xml:space="preserve">Z hlediska přestavování provozních režimů v průběhu trvání Smlouvy bude zaveden systém vzájemné komunikace mezi oprávněnými osobami Klienta a ESCO. Oprávněné osoby Klienta mohou provádět dle potřeby změny v nastavení časových a teplotních režimů jednotlivých regulačních uzlů. V případě, že se jedná o změny, které mohou zvýšit spotřebu energie, bude o této změně Klient neprodleně informovat ESCO jako garanta za dosažené přínosy projektu. ESCO bude v rámci energetického managementu sledovat energetické systémy a analyzovat archivovaná data ze systému </w:t>
      </w:r>
      <w:proofErr w:type="spellStart"/>
      <w:r w:rsidRPr="007266E8">
        <w:rPr>
          <w:rFonts w:asciiTheme="minorHAnsi" w:hAnsiTheme="minorHAnsi" w:cstheme="minorHAnsi"/>
          <w:bCs/>
          <w:lang w:bidi="cs-CZ"/>
        </w:rPr>
        <w:t>MaR</w:t>
      </w:r>
      <w:proofErr w:type="spellEnd"/>
      <w:r w:rsidRPr="007266E8">
        <w:rPr>
          <w:rFonts w:asciiTheme="minorHAnsi" w:hAnsiTheme="minorHAnsi" w:cstheme="minorHAnsi"/>
          <w:bCs/>
          <w:lang w:bidi="cs-CZ"/>
        </w:rPr>
        <w:t xml:space="preserve"> a na základě toho navrhovat další optimalizace nastavení systému </w:t>
      </w:r>
      <w:proofErr w:type="spellStart"/>
      <w:r w:rsidRPr="007266E8">
        <w:rPr>
          <w:rFonts w:asciiTheme="minorHAnsi" w:hAnsiTheme="minorHAnsi" w:cstheme="minorHAnsi"/>
          <w:bCs/>
          <w:lang w:bidi="cs-CZ"/>
        </w:rPr>
        <w:t>MaR</w:t>
      </w:r>
      <w:proofErr w:type="spellEnd"/>
      <w:r w:rsidRPr="007266E8">
        <w:rPr>
          <w:rFonts w:asciiTheme="minorHAnsi" w:hAnsiTheme="minorHAnsi" w:cstheme="minorHAnsi"/>
          <w:bCs/>
          <w:lang w:bidi="cs-CZ"/>
        </w:rPr>
        <w:t xml:space="preserve">, či jeho částí za účelem efektivnějšího hospodaření s energií. Případné optimalizace nastavení systému </w:t>
      </w:r>
      <w:proofErr w:type="spellStart"/>
      <w:r w:rsidRPr="007266E8">
        <w:rPr>
          <w:rFonts w:asciiTheme="minorHAnsi" w:hAnsiTheme="minorHAnsi" w:cstheme="minorHAnsi"/>
          <w:bCs/>
          <w:lang w:bidi="cs-CZ"/>
        </w:rPr>
        <w:t>MaR</w:t>
      </w:r>
      <w:proofErr w:type="spellEnd"/>
      <w:r w:rsidRPr="007266E8">
        <w:rPr>
          <w:rFonts w:asciiTheme="minorHAnsi" w:hAnsiTheme="minorHAnsi" w:cstheme="minorHAnsi"/>
          <w:bCs/>
          <w:lang w:bidi="cs-CZ"/>
        </w:rPr>
        <w:t xml:space="preserve"> ze strany ESCO budou vždy předem předjednány s Klientem.</w:t>
      </w:r>
    </w:p>
    <w:p w14:paraId="5992F3CB" w14:textId="77777777" w:rsidR="00285B3C" w:rsidRPr="007266E8" w:rsidRDefault="00285B3C" w:rsidP="00BD36FC">
      <w:pPr>
        <w:pStyle w:val="ListParagraph"/>
        <w:ind w:left="0"/>
        <w:contextualSpacing w:val="0"/>
        <w:rPr>
          <w:rFonts w:asciiTheme="minorHAnsi" w:hAnsiTheme="minorHAnsi" w:cstheme="minorHAnsi"/>
          <w:bCs/>
          <w:lang w:bidi="cs-CZ"/>
        </w:rPr>
      </w:pPr>
      <w:r w:rsidRPr="007266E8">
        <w:rPr>
          <w:rFonts w:asciiTheme="minorHAnsi" w:hAnsiTheme="minorHAnsi" w:cstheme="minorHAnsi"/>
          <w:bCs/>
          <w:lang w:bidi="cs-CZ"/>
        </w:rPr>
        <w:t>Systémy regulace budou fungovat v plně automatickém režimu se zadanými týdenními provozními režimy. Úpravy těchto režimů jsou vhodné při provozních změnách v objektech, nebo jejich částech.</w:t>
      </w:r>
    </w:p>
    <w:p w14:paraId="759FA802" w14:textId="7D9F025F" w:rsidR="00285B3C" w:rsidRPr="007266E8" w:rsidRDefault="00285B3C" w:rsidP="00BD36FC">
      <w:pPr>
        <w:pStyle w:val="ListParagraph"/>
        <w:ind w:left="0"/>
        <w:contextualSpacing w:val="0"/>
        <w:rPr>
          <w:rFonts w:asciiTheme="minorHAnsi" w:hAnsiTheme="minorHAnsi" w:cstheme="minorHAnsi"/>
          <w:bCs/>
          <w:lang w:bidi="cs-CZ"/>
        </w:rPr>
      </w:pPr>
      <w:r w:rsidRPr="007266E8">
        <w:rPr>
          <w:rFonts w:asciiTheme="minorHAnsi" w:hAnsiTheme="minorHAnsi" w:cstheme="minorHAnsi"/>
          <w:bCs/>
          <w:lang w:bidi="cs-CZ"/>
        </w:rPr>
        <w:t>Vzájemnou komunikaci mezi Klientem a ESCO lze tedy považovat za permanentní dle potřeby jednotlivých stran a dle potřeb vyplývajících z prováděného energetického managementu a z toho plynoucích optimalizací nastavení systémů regulace energetického hospodářství řešen</w:t>
      </w:r>
      <w:r w:rsidR="007266E8" w:rsidRPr="007266E8">
        <w:rPr>
          <w:rFonts w:asciiTheme="minorHAnsi" w:hAnsiTheme="minorHAnsi" w:cstheme="minorHAnsi"/>
          <w:bCs/>
          <w:lang w:bidi="cs-CZ"/>
        </w:rPr>
        <w:t>ých</w:t>
      </w:r>
      <w:r w:rsidRPr="007266E8">
        <w:rPr>
          <w:rFonts w:asciiTheme="minorHAnsi" w:hAnsiTheme="minorHAnsi" w:cstheme="minorHAnsi"/>
          <w:bCs/>
          <w:lang w:bidi="cs-CZ"/>
        </w:rPr>
        <w:t xml:space="preserve"> objekt</w:t>
      </w:r>
      <w:r w:rsidR="007266E8" w:rsidRPr="007266E8">
        <w:rPr>
          <w:rFonts w:asciiTheme="minorHAnsi" w:hAnsiTheme="minorHAnsi" w:cstheme="minorHAnsi"/>
          <w:bCs/>
          <w:lang w:bidi="cs-CZ"/>
        </w:rPr>
        <w:t>ů</w:t>
      </w:r>
      <w:r w:rsidRPr="007266E8">
        <w:rPr>
          <w:rFonts w:asciiTheme="minorHAnsi" w:hAnsiTheme="minorHAnsi" w:cstheme="minorHAnsi"/>
          <w:bCs/>
          <w:lang w:bidi="cs-CZ"/>
        </w:rPr>
        <w:t>.</w:t>
      </w:r>
    </w:p>
    <w:p w14:paraId="08FD38D6" w14:textId="77777777" w:rsidR="00285B3C" w:rsidRPr="00324A3C" w:rsidRDefault="00285B3C" w:rsidP="00BD36FC">
      <w:pPr>
        <w:pStyle w:val="ListParagraph"/>
        <w:ind w:left="0"/>
        <w:contextualSpacing w:val="0"/>
        <w:rPr>
          <w:rFonts w:asciiTheme="minorHAnsi" w:hAnsiTheme="minorHAnsi" w:cstheme="minorHAnsi"/>
          <w:bCs/>
          <w:lang w:bidi="cs-CZ"/>
        </w:rPr>
      </w:pPr>
      <w:r w:rsidRPr="00324A3C">
        <w:rPr>
          <w:rFonts w:asciiTheme="minorHAnsi" w:hAnsiTheme="minorHAnsi" w:cstheme="minorHAnsi"/>
          <w:bCs/>
          <w:lang w:bidi="cs-CZ"/>
        </w:rPr>
        <w:t>Regulace energetických zdrojů a patní regulace na topných větvích bude umožněna na následujících úrovních:</w:t>
      </w:r>
    </w:p>
    <w:p w14:paraId="757A10A1" w14:textId="6036E2EF" w:rsidR="00285B3C" w:rsidRPr="00324A3C" w:rsidRDefault="00285B3C" w:rsidP="00FE2739">
      <w:pPr>
        <w:pStyle w:val="ListParagraph"/>
        <w:numPr>
          <w:ilvl w:val="0"/>
          <w:numId w:val="10"/>
        </w:numPr>
        <w:ind w:left="0" w:hanging="284"/>
        <w:contextualSpacing w:val="0"/>
        <w:rPr>
          <w:rFonts w:asciiTheme="minorHAnsi" w:hAnsiTheme="minorHAnsi" w:cstheme="minorHAnsi"/>
          <w:bCs/>
          <w:lang w:bidi="cs-CZ"/>
        </w:rPr>
      </w:pPr>
      <w:r w:rsidRPr="00324A3C">
        <w:rPr>
          <w:rFonts w:asciiTheme="minorHAnsi" w:hAnsiTheme="minorHAnsi" w:cstheme="minorHAnsi"/>
          <w:bCs/>
          <w:u w:val="single"/>
          <w:lang w:bidi="cs-CZ"/>
        </w:rPr>
        <w:t xml:space="preserve">řídicí energetický dispečink </w:t>
      </w:r>
      <w:r w:rsidR="007266E8" w:rsidRPr="00324A3C">
        <w:rPr>
          <w:rFonts w:asciiTheme="minorHAnsi" w:hAnsiTheme="minorHAnsi" w:cstheme="minorHAnsi"/>
          <w:bCs/>
          <w:u w:val="single"/>
          <w:lang w:bidi="cs-CZ"/>
        </w:rPr>
        <w:t>pro celý areál (všechny řešené objekty)</w:t>
      </w:r>
      <w:r w:rsidRPr="00324A3C">
        <w:rPr>
          <w:rFonts w:asciiTheme="minorHAnsi" w:hAnsiTheme="minorHAnsi" w:cstheme="minorHAnsi"/>
          <w:bCs/>
          <w:lang w:bidi="cs-CZ"/>
        </w:rPr>
        <w:t xml:space="preserve"> – z tohoto dispečinku bude moci provozní personál v objektu nastavovat regulaci tepelného hospodářství (zdroje tepla, topných větví) dle svého aktuálního požadavku a potřeby. K tomu bude mít k dispozici veškeré nezbytné vybavení včetně vizualizací regulovaných částí energetického hospodářství</w:t>
      </w:r>
      <w:r w:rsidR="007266E8" w:rsidRPr="00324A3C">
        <w:rPr>
          <w:rFonts w:asciiTheme="minorHAnsi" w:hAnsiTheme="minorHAnsi" w:cstheme="minorHAnsi"/>
          <w:bCs/>
          <w:lang w:bidi="cs-CZ"/>
        </w:rPr>
        <w:t xml:space="preserve"> v souladu se současným systémem </w:t>
      </w:r>
      <w:proofErr w:type="spellStart"/>
      <w:r w:rsidR="007266E8" w:rsidRPr="00324A3C">
        <w:rPr>
          <w:rFonts w:asciiTheme="minorHAnsi" w:hAnsiTheme="minorHAnsi" w:cstheme="minorHAnsi"/>
          <w:bCs/>
          <w:lang w:bidi="cs-CZ"/>
        </w:rPr>
        <w:t>Reliance</w:t>
      </w:r>
      <w:proofErr w:type="spellEnd"/>
      <w:r w:rsidR="007266E8" w:rsidRPr="00324A3C">
        <w:rPr>
          <w:rFonts w:asciiTheme="minorHAnsi" w:hAnsiTheme="minorHAnsi" w:cstheme="minorHAnsi"/>
          <w:bCs/>
          <w:lang w:bidi="cs-CZ"/>
        </w:rPr>
        <w:t>.</w:t>
      </w:r>
      <w:r w:rsidRPr="00324A3C">
        <w:rPr>
          <w:rFonts w:asciiTheme="minorHAnsi" w:hAnsiTheme="minorHAnsi" w:cstheme="minorHAnsi"/>
          <w:bCs/>
          <w:lang w:bidi="cs-CZ"/>
        </w:rPr>
        <w:t xml:space="preserve"> Na vyžádání je možno zajistit pověřenému pracovníkovi vzdálený přístup na dispečink.</w:t>
      </w:r>
    </w:p>
    <w:p w14:paraId="66DCD4BE" w14:textId="71B7E732" w:rsidR="00285B3C" w:rsidRPr="00324A3C" w:rsidRDefault="00285B3C" w:rsidP="00FE2739">
      <w:pPr>
        <w:pStyle w:val="ListParagraph"/>
        <w:numPr>
          <w:ilvl w:val="0"/>
          <w:numId w:val="10"/>
        </w:numPr>
        <w:ind w:left="0" w:hanging="284"/>
        <w:contextualSpacing w:val="0"/>
        <w:rPr>
          <w:rFonts w:asciiTheme="minorHAnsi" w:hAnsiTheme="minorHAnsi" w:cstheme="minorHAnsi"/>
          <w:bCs/>
          <w:lang w:bidi="cs-CZ"/>
        </w:rPr>
      </w:pPr>
      <w:r w:rsidRPr="00324A3C">
        <w:rPr>
          <w:rFonts w:asciiTheme="minorHAnsi" w:hAnsiTheme="minorHAnsi" w:cstheme="minorHAnsi"/>
          <w:bCs/>
          <w:u w:val="single"/>
          <w:lang w:bidi="cs-CZ"/>
        </w:rPr>
        <w:t>centrální dispečink ENESA</w:t>
      </w:r>
      <w:r w:rsidRPr="00324A3C">
        <w:rPr>
          <w:rFonts w:asciiTheme="minorHAnsi" w:hAnsiTheme="minorHAnsi" w:cstheme="minorHAnsi"/>
          <w:bCs/>
          <w:lang w:bidi="cs-CZ"/>
        </w:rPr>
        <w:t xml:space="preserve"> – z tohoto dispečinku bude ESCO v rámci energetického managementu provádět vzdálený dohled nad energetickými systémy v řešen</w:t>
      </w:r>
      <w:r w:rsidR="007266E8" w:rsidRPr="00324A3C">
        <w:rPr>
          <w:rFonts w:asciiTheme="minorHAnsi" w:hAnsiTheme="minorHAnsi" w:cstheme="minorHAnsi"/>
          <w:bCs/>
          <w:lang w:bidi="cs-CZ"/>
        </w:rPr>
        <w:t>ých</w:t>
      </w:r>
      <w:r w:rsidRPr="00324A3C">
        <w:rPr>
          <w:rFonts w:asciiTheme="minorHAnsi" w:hAnsiTheme="minorHAnsi" w:cstheme="minorHAnsi"/>
          <w:bCs/>
          <w:lang w:bidi="cs-CZ"/>
        </w:rPr>
        <w:t xml:space="preserve"> objekt</w:t>
      </w:r>
      <w:r w:rsidR="007266E8" w:rsidRPr="00324A3C">
        <w:rPr>
          <w:rFonts w:asciiTheme="minorHAnsi" w:hAnsiTheme="minorHAnsi" w:cstheme="minorHAnsi"/>
          <w:bCs/>
          <w:lang w:bidi="cs-CZ"/>
        </w:rPr>
        <w:t>ech</w:t>
      </w:r>
      <w:r w:rsidRPr="00324A3C">
        <w:rPr>
          <w:rFonts w:asciiTheme="minorHAnsi" w:hAnsiTheme="minorHAnsi" w:cstheme="minorHAnsi"/>
          <w:bCs/>
          <w:lang w:bidi="cs-CZ"/>
        </w:rPr>
        <w:t>. Cílem tohoto managementu je v souladu se smlouvou optimalizovat hospodaření s energiemi v objektu a snížit provozní náklady Klienta při dosažení požadovaných parametrů vnitřního prostředí. Zároveň centrální dispečink ESCO slouží k včasné identifikaci případných poruch a k provádění vzdálených zásahů v případě potřeby.</w:t>
      </w:r>
    </w:p>
    <w:p w14:paraId="40DA585C" w14:textId="1372C040" w:rsidR="00285B3C" w:rsidRPr="007266E8" w:rsidRDefault="00285B3C" w:rsidP="00BD36FC">
      <w:pPr>
        <w:pStyle w:val="ListParagraph"/>
        <w:ind w:left="0"/>
        <w:contextualSpacing w:val="0"/>
        <w:rPr>
          <w:rFonts w:asciiTheme="minorHAnsi" w:hAnsiTheme="minorHAnsi" w:cstheme="minorHAnsi"/>
          <w:bCs/>
          <w:lang w:bidi="cs-CZ"/>
        </w:rPr>
      </w:pPr>
      <w:r w:rsidRPr="00324A3C">
        <w:rPr>
          <w:rFonts w:asciiTheme="minorHAnsi" w:hAnsiTheme="minorHAnsi" w:cstheme="minorHAnsi"/>
          <w:bCs/>
          <w:lang w:bidi="cs-CZ"/>
        </w:rPr>
        <w:t>Základní nastavení systémů regulace (tj. časové a teplotní režimy) bude provedeno v rámci realizace díla a provede ho ESCO na základě standardních provozních podmínek uvedených ve Smlouvě a s ohledem na provozní hodiny jednotlivých objektů a jejich částí. Následně bude do konce prosince 2023 probíhat optimalizace nastavení systémů regulace ve vazbě na vnitřní a venkovní teploty. Tuto</w:t>
      </w:r>
      <w:r w:rsidRPr="007266E8">
        <w:rPr>
          <w:rFonts w:asciiTheme="minorHAnsi" w:hAnsiTheme="minorHAnsi" w:cstheme="minorHAnsi"/>
          <w:bCs/>
          <w:lang w:bidi="cs-CZ"/>
        </w:rPr>
        <w:t xml:space="preserve"> optimalizaci nastavení bude provádět ESCO ve spolupráci s provozovatelem objek</w:t>
      </w:r>
      <w:r w:rsidR="007266E8">
        <w:rPr>
          <w:rFonts w:asciiTheme="minorHAnsi" w:hAnsiTheme="minorHAnsi" w:cstheme="minorHAnsi"/>
          <w:bCs/>
          <w:lang w:bidi="cs-CZ"/>
        </w:rPr>
        <w:t>tů</w:t>
      </w:r>
      <w:r w:rsidRPr="007266E8">
        <w:rPr>
          <w:rFonts w:asciiTheme="minorHAnsi" w:hAnsiTheme="minorHAnsi" w:cstheme="minorHAnsi"/>
          <w:bCs/>
          <w:lang w:bidi="cs-CZ"/>
        </w:rPr>
        <w:t>.</w:t>
      </w:r>
    </w:p>
    <w:p w14:paraId="137CAB60" w14:textId="1D5B4BE9" w:rsidR="00285B3C" w:rsidRPr="001732D3" w:rsidRDefault="00285B3C" w:rsidP="00BD36FC">
      <w:pPr>
        <w:rPr>
          <w:rFonts w:asciiTheme="minorHAnsi" w:hAnsiTheme="minorHAnsi" w:cstheme="minorHAnsi"/>
          <w:bCs/>
          <w:lang w:bidi="cs-CZ"/>
        </w:rPr>
      </w:pPr>
      <w:r w:rsidRPr="007266E8">
        <w:rPr>
          <w:rFonts w:asciiTheme="minorHAnsi" w:hAnsiTheme="minorHAnsi" w:cstheme="minorHAnsi"/>
          <w:bCs/>
          <w:lang w:bidi="cs-CZ"/>
        </w:rPr>
        <w:t xml:space="preserve">V rámci úprav systémů </w:t>
      </w:r>
      <w:proofErr w:type="spellStart"/>
      <w:r w:rsidRPr="007266E8">
        <w:rPr>
          <w:rFonts w:asciiTheme="minorHAnsi" w:hAnsiTheme="minorHAnsi" w:cstheme="minorHAnsi"/>
          <w:bCs/>
          <w:lang w:bidi="cs-CZ"/>
        </w:rPr>
        <w:t>MaR</w:t>
      </w:r>
      <w:proofErr w:type="spellEnd"/>
      <w:r w:rsidRPr="007266E8">
        <w:rPr>
          <w:rFonts w:asciiTheme="minorHAnsi" w:hAnsiTheme="minorHAnsi" w:cstheme="minorHAnsi"/>
          <w:bCs/>
          <w:lang w:bidi="cs-CZ"/>
        </w:rPr>
        <w:t xml:space="preserve"> a rekonstrukce energetického dispečinku v řešen</w:t>
      </w:r>
      <w:r w:rsidR="007266E8">
        <w:rPr>
          <w:rFonts w:asciiTheme="minorHAnsi" w:hAnsiTheme="minorHAnsi" w:cstheme="minorHAnsi"/>
          <w:bCs/>
          <w:lang w:bidi="cs-CZ"/>
        </w:rPr>
        <w:t>ých</w:t>
      </w:r>
      <w:r w:rsidRPr="007266E8">
        <w:rPr>
          <w:rFonts w:asciiTheme="minorHAnsi" w:hAnsiTheme="minorHAnsi" w:cstheme="minorHAnsi"/>
          <w:bCs/>
          <w:lang w:bidi="cs-CZ"/>
        </w:rPr>
        <w:t xml:space="preserve"> objekt</w:t>
      </w:r>
      <w:r w:rsidR="007266E8">
        <w:rPr>
          <w:rFonts w:asciiTheme="minorHAnsi" w:hAnsiTheme="minorHAnsi" w:cstheme="minorHAnsi"/>
          <w:bCs/>
          <w:lang w:bidi="cs-CZ"/>
        </w:rPr>
        <w:t>ech</w:t>
      </w:r>
      <w:r w:rsidRPr="007266E8">
        <w:rPr>
          <w:rFonts w:asciiTheme="minorHAnsi" w:hAnsiTheme="minorHAnsi" w:cstheme="minorHAnsi"/>
          <w:bCs/>
          <w:lang w:bidi="cs-CZ"/>
        </w:rPr>
        <w:t xml:space="preserve"> proběhne i zaškolení obsluhy (tj. pověřená osoba bude zaškolena k základním úkonům, jak je možno sledovat a přestavovat časové a teplotní režimy zdrojů a topných větví, či jiných regulovaných uzlů).</w:t>
      </w:r>
    </w:p>
    <w:p w14:paraId="59E49A8A" w14:textId="77777777" w:rsidR="0046058D" w:rsidRDefault="0046058D" w:rsidP="00BD36FC"/>
    <w:p w14:paraId="4814330D" w14:textId="4DE8CEB0" w:rsidR="00AC0307" w:rsidRDefault="001A1AC4" w:rsidP="00BD36FC">
      <w:pPr>
        <w:pStyle w:val="Heading1"/>
      </w:pPr>
      <w:bookmarkStart w:id="25" w:name="_Toc100673912"/>
      <w:r>
        <w:lastRenderedPageBreak/>
        <w:t>Příloha č. 8: Oprávněné osoby</w:t>
      </w:r>
      <w:bookmarkEnd w:id="25"/>
    </w:p>
    <w:p w14:paraId="073368D1" w14:textId="77777777" w:rsidR="00576515" w:rsidRPr="00B93DC5" w:rsidRDefault="00576515" w:rsidP="00BD36FC">
      <w:pPr>
        <w:rPr>
          <w:rFonts w:cs="Arial"/>
        </w:rPr>
      </w:pPr>
      <w:r w:rsidRPr="00B93DC5">
        <w:rPr>
          <w:rFonts w:cs="Arial"/>
        </w:rPr>
        <w:t>Oprávněnými osobami jsou:</w:t>
      </w:r>
    </w:p>
    <w:p w14:paraId="5A48C635" w14:textId="77777777" w:rsidR="00576515" w:rsidRPr="003121D1" w:rsidRDefault="00576515" w:rsidP="00BD36FC">
      <w:pPr>
        <w:spacing w:before="360"/>
        <w:rPr>
          <w:rFonts w:cs="Arial"/>
          <w:b/>
          <w:bCs/>
        </w:rPr>
      </w:pPr>
      <w:r w:rsidRPr="003121D1">
        <w:rPr>
          <w:rFonts w:cs="Arial"/>
          <w:b/>
          <w:bCs/>
        </w:rPr>
        <w:t>za Klienta:</w:t>
      </w:r>
    </w:p>
    <w:p w14:paraId="34E8C682" w14:textId="77777777" w:rsidR="00576515" w:rsidRPr="004371C6" w:rsidRDefault="00576515" w:rsidP="00BD36FC">
      <w:pPr>
        <w:rPr>
          <w:rFonts w:cs="Arial"/>
        </w:rPr>
      </w:pPr>
      <w:r w:rsidRPr="004371C6">
        <w:rPr>
          <w:rFonts w:cs="Arial"/>
        </w:rPr>
        <w:t>Oprávněné osoby v obchodních a smluvních záležitostech:</w:t>
      </w:r>
    </w:p>
    <w:p w14:paraId="5D58A325" w14:textId="219D6C44" w:rsidR="00576515" w:rsidRDefault="004F48BF" w:rsidP="00BD36FC">
      <w:pPr>
        <w:rPr>
          <w:rFonts w:cs="Arial"/>
        </w:rPr>
      </w:pPr>
      <w:r>
        <w:rPr>
          <w:rFonts w:cs="Arial"/>
        </w:rPr>
        <w:t>XXXX</w:t>
      </w:r>
      <w:r w:rsidR="00D23A1C">
        <w:rPr>
          <w:rFonts w:cs="Arial"/>
        </w:rPr>
        <w:t xml:space="preserve">, T: </w:t>
      </w:r>
      <w:r>
        <w:rPr>
          <w:rFonts w:cs="Arial"/>
        </w:rPr>
        <w:t>XXXX</w:t>
      </w:r>
      <w:r w:rsidR="00D23A1C">
        <w:rPr>
          <w:rFonts w:cs="Arial"/>
        </w:rPr>
        <w:t xml:space="preserve">, E: </w:t>
      </w:r>
      <w:hyperlink r:id="rId94" w:history="1">
        <w:r>
          <w:rPr>
            <w:rStyle w:val="Hyperlink"/>
            <w:rFonts w:cs="Arial"/>
          </w:rPr>
          <w:t>XXXX</w:t>
        </w:r>
      </w:hyperlink>
      <w:r w:rsidR="00D23A1C">
        <w:rPr>
          <w:rFonts w:cs="Arial"/>
        </w:rPr>
        <w:t xml:space="preserve"> </w:t>
      </w:r>
    </w:p>
    <w:p w14:paraId="2C77AD5E" w14:textId="77777777" w:rsidR="00576515" w:rsidRPr="004371C6" w:rsidRDefault="00576515" w:rsidP="00BD36FC">
      <w:pPr>
        <w:spacing w:before="240"/>
        <w:rPr>
          <w:rFonts w:cs="Arial"/>
        </w:rPr>
      </w:pPr>
      <w:r w:rsidRPr="004371C6">
        <w:rPr>
          <w:rFonts w:cs="Arial"/>
        </w:rPr>
        <w:t>Oprávněné osoby v technických a provozních záležitostech:</w:t>
      </w:r>
    </w:p>
    <w:p w14:paraId="066D6C3D" w14:textId="60BDD8CA" w:rsidR="00576515" w:rsidRDefault="004F48BF" w:rsidP="00BD36FC">
      <w:pPr>
        <w:rPr>
          <w:rFonts w:cs="Arial"/>
        </w:rPr>
      </w:pPr>
      <w:r>
        <w:rPr>
          <w:rFonts w:cs="Arial"/>
        </w:rPr>
        <w:t>XXXX</w:t>
      </w:r>
      <w:r w:rsidR="00D23A1C">
        <w:rPr>
          <w:rFonts w:cs="Arial"/>
        </w:rPr>
        <w:t xml:space="preserve">, vedoucí odboru provozu, T: </w:t>
      </w:r>
      <w:r>
        <w:rPr>
          <w:rFonts w:cs="Arial"/>
        </w:rPr>
        <w:t>XXXX</w:t>
      </w:r>
      <w:r w:rsidR="00D23A1C">
        <w:rPr>
          <w:rFonts w:cs="Arial"/>
        </w:rPr>
        <w:t xml:space="preserve">, E: </w:t>
      </w:r>
      <w:r>
        <w:t>XXXX</w:t>
      </w:r>
    </w:p>
    <w:p w14:paraId="468DB87A" w14:textId="77777777" w:rsidR="00576515" w:rsidRPr="00672D3A" w:rsidRDefault="00576515" w:rsidP="00BD36FC">
      <w:pPr>
        <w:spacing w:before="240"/>
        <w:rPr>
          <w:rFonts w:cs="Arial"/>
        </w:rPr>
      </w:pPr>
      <w:r w:rsidRPr="00672D3A">
        <w:rPr>
          <w:rFonts w:cs="Arial"/>
        </w:rPr>
        <w:t>Oprávněné osoby ve fakturačních věcech:</w:t>
      </w:r>
    </w:p>
    <w:p w14:paraId="621BAD9C" w14:textId="57B73E29" w:rsidR="00576515" w:rsidRDefault="004F48BF" w:rsidP="00BD36FC">
      <w:pPr>
        <w:spacing w:before="240"/>
        <w:rPr>
          <w:rFonts w:cs="Arial"/>
        </w:rPr>
      </w:pPr>
      <w:r>
        <w:rPr>
          <w:rFonts w:cs="Arial"/>
        </w:rPr>
        <w:t>XXXX</w:t>
      </w:r>
      <w:r w:rsidR="00D23A1C">
        <w:rPr>
          <w:rFonts w:cs="Arial"/>
        </w:rPr>
        <w:t xml:space="preserve">, vedoucí odboru provozu, T: </w:t>
      </w:r>
      <w:r>
        <w:rPr>
          <w:rFonts w:cs="Arial"/>
        </w:rPr>
        <w:t>XXXX</w:t>
      </w:r>
      <w:r w:rsidR="00D23A1C">
        <w:rPr>
          <w:rFonts w:cs="Arial"/>
        </w:rPr>
        <w:t xml:space="preserve">, E: </w:t>
      </w:r>
      <w:hyperlink r:id="rId95" w:history="1">
        <w:r>
          <w:rPr>
            <w:rStyle w:val="Hyperlink"/>
            <w:rFonts w:cs="Arial"/>
          </w:rPr>
          <w:t>XXXX</w:t>
        </w:r>
      </w:hyperlink>
    </w:p>
    <w:p w14:paraId="321ED9D3" w14:textId="64974134" w:rsidR="00D23A1C" w:rsidRDefault="00D23A1C" w:rsidP="00BD36FC">
      <w:pPr>
        <w:spacing w:before="240"/>
        <w:rPr>
          <w:rFonts w:cs="Arial"/>
        </w:rPr>
      </w:pPr>
    </w:p>
    <w:p w14:paraId="5AE01A54" w14:textId="77777777" w:rsidR="00576515" w:rsidRPr="006F43EC" w:rsidRDefault="00576515" w:rsidP="00BD36FC">
      <w:pPr>
        <w:spacing w:before="240"/>
        <w:rPr>
          <w:rFonts w:cs="Arial"/>
          <w:b/>
          <w:bCs/>
        </w:rPr>
      </w:pPr>
      <w:r w:rsidRPr="006F43EC">
        <w:rPr>
          <w:rFonts w:cs="Arial"/>
          <w:b/>
          <w:bCs/>
        </w:rPr>
        <w:t>za ESCO:</w:t>
      </w:r>
    </w:p>
    <w:p w14:paraId="625EEE7E" w14:textId="77777777" w:rsidR="00576515" w:rsidRPr="004371C6" w:rsidRDefault="00576515" w:rsidP="00BD36FC">
      <w:pPr>
        <w:rPr>
          <w:rFonts w:cs="Arial"/>
        </w:rPr>
      </w:pPr>
      <w:r w:rsidRPr="004371C6">
        <w:rPr>
          <w:rFonts w:cs="Arial"/>
        </w:rPr>
        <w:t>Oprávněné osoby v obchodních a smluvních záležitostech:</w:t>
      </w:r>
    </w:p>
    <w:p w14:paraId="6EF039C7" w14:textId="6FDEF39F" w:rsidR="00576515" w:rsidRDefault="004F48BF" w:rsidP="00BD36FC">
      <w:r>
        <w:rPr>
          <w:rFonts w:cs="Arial"/>
        </w:rPr>
        <w:t>XXXX</w:t>
      </w:r>
      <w:r w:rsidR="00A753BF" w:rsidRPr="004371C6">
        <w:rPr>
          <w:rFonts w:cs="Arial"/>
        </w:rPr>
        <w:t xml:space="preserve">, M: </w:t>
      </w:r>
      <w:r>
        <w:rPr>
          <w:rFonts w:cs="Arial"/>
        </w:rPr>
        <w:t>XXXX</w:t>
      </w:r>
      <w:r w:rsidR="00A753BF" w:rsidRPr="004371C6">
        <w:rPr>
          <w:rFonts w:cs="Arial"/>
        </w:rPr>
        <w:t xml:space="preserve">, E: </w:t>
      </w:r>
      <w:hyperlink r:id="rId96" w:history="1">
        <w:r>
          <w:rPr>
            <w:rStyle w:val="Hyperlink"/>
            <w:rFonts w:eastAsiaTheme="majorEastAsia" w:cs="Arial"/>
          </w:rPr>
          <w:t>XXXX</w:t>
        </w:r>
      </w:hyperlink>
    </w:p>
    <w:p w14:paraId="10E5779D" w14:textId="77777777" w:rsidR="00576515" w:rsidRPr="004371C6" w:rsidRDefault="00576515" w:rsidP="00BD36FC">
      <w:pPr>
        <w:spacing w:before="240"/>
        <w:rPr>
          <w:rFonts w:cs="Arial"/>
        </w:rPr>
      </w:pPr>
      <w:r w:rsidRPr="004371C6">
        <w:rPr>
          <w:rFonts w:cs="Arial"/>
        </w:rPr>
        <w:t>Oprávněné osoby v technických a provozních záležitostech:</w:t>
      </w:r>
    </w:p>
    <w:p w14:paraId="4E2A804D" w14:textId="5327D9ED" w:rsidR="00576515" w:rsidRPr="004371C6" w:rsidRDefault="004F48BF" w:rsidP="00BD36FC">
      <w:pPr>
        <w:rPr>
          <w:rFonts w:cs="Arial"/>
        </w:rPr>
      </w:pPr>
      <w:r>
        <w:rPr>
          <w:rFonts w:cs="Arial"/>
        </w:rPr>
        <w:t>XXXX</w:t>
      </w:r>
      <w:r w:rsidR="00576515" w:rsidRPr="00C056D6">
        <w:rPr>
          <w:rFonts w:cs="Arial"/>
        </w:rPr>
        <w:t xml:space="preserve">, M: </w:t>
      </w:r>
      <w:r>
        <w:rPr>
          <w:rFonts w:cs="Arial"/>
        </w:rPr>
        <w:t>XXXX</w:t>
      </w:r>
      <w:r w:rsidR="00576515" w:rsidRPr="00C056D6">
        <w:rPr>
          <w:rFonts w:cs="Arial"/>
        </w:rPr>
        <w:t xml:space="preserve">, E: </w:t>
      </w:r>
      <w:r>
        <w:rPr>
          <w:rStyle w:val="Hyperlink"/>
          <w:rFonts w:eastAsiaTheme="majorEastAsia" w:cs="Arial"/>
        </w:rPr>
        <w:t>XXXX</w:t>
      </w:r>
    </w:p>
    <w:p w14:paraId="4F88E1A3" w14:textId="38D4D852" w:rsidR="00576515" w:rsidRPr="004371C6" w:rsidRDefault="004F48BF" w:rsidP="00BD36FC">
      <w:pPr>
        <w:rPr>
          <w:rFonts w:cs="Arial"/>
        </w:rPr>
      </w:pPr>
      <w:r>
        <w:rPr>
          <w:rFonts w:cs="Arial"/>
        </w:rPr>
        <w:t>XXXX</w:t>
      </w:r>
      <w:r w:rsidR="00576515" w:rsidRPr="004371C6">
        <w:rPr>
          <w:rFonts w:cs="Arial"/>
        </w:rPr>
        <w:t xml:space="preserve">, M: </w:t>
      </w:r>
      <w:r>
        <w:rPr>
          <w:rFonts w:cs="Arial"/>
        </w:rPr>
        <w:t>XXXX</w:t>
      </w:r>
      <w:r w:rsidR="00576515" w:rsidRPr="004371C6">
        <w:rPr>
          <w:rFonts w:cs="Arial"/>
        </w:rPr>
        <w:t xml:space="preserve">, E: </w:t>
      </w:r>
      <w:r>
        <w:t>XXXX</w:t>
      </w:r>
    </w:p>
    <w:p w14:paraId="514517FC" w14:textId="77777777" w:rsidR="00576515" w:rsidRPr="0051447C" w:rsidRDefault="00576515" w:rsidP="00BD36FC">
      <w:pPr>
        <w:spacing w:before="240"/>
        <w:rPr>
          <w:rFonts w:cs="Arial"/>
        </w:rPr>
      </w:pPr>
      <w:r w:rsidRPr="0051447C">
        <w:rPr>
          <w:rFonts w:cs="Arial"/>
        </w:rPr>
        <w:t>Oprávněné osoby ve fakturačních věcech:</w:t>
      </w:r>
    </w:p>
    <w:p w14:paraId="62B5FC5B" w14:textId="39853E87" w:rsidR="00576515" w:rsidRPr="0051447C" w:rsidRDefault="004F48BF" w:rsidP="00BD36FC">
      <w:pPr>
        <w:rPr>
          <w:rFonts w:cs="Arial"/>
        </w:rPr>
      </w:pPr>
      <w:r>
        <w:rPr>
          <w:rFonts w:cs="Arial"/>
        </w:rPr>
        <w:t>XXXX</w:t>
      </w:r>
      <w:r w:rsidR="00576515" w:rsidRPr="0051447C">
        <w:rPr>
          <w:rFonts w:cs="Arial"/>
        </w:rPr>
        <w:t>, M:</w:t>
      </w:r>
      <w:r w:rsidR="00576515" w:rsidRPr="0051447C">
        <w:t xml:space="preserve"> </w:t>
      </w:r>
      <w:r>
        <w:rPr>
          <w:rFonts w:cs="Arial"/>
        </w:rPr>
        <w:t>XXXX</w:t>
      </w:r>
      <w:r w:rsidR="00576515" w:rsidRPr="0051447C">
        <w:rPr>
          <w:rFonts w:cs="Arial"/>
        </w:rPr>
        <w:t xml:space="preserve">, E: </w:t>
      </w:r>
      <w:r>
        <w:rPr>
          <w:rStyle w:val="Hyperlink"/>
          <w:rFonts w:eastAsiaTheme="majorEastAsia"/>
        </w:rPr>
        <w:t>XXXX</w:t>
      </w:r>
    </w:p>
    <w:p w14:paraId="7A9F18C7" w14:textId="5B69A601" w:rsidR="00576515" w:rsidRPr="004371C6" w:rsidRDefault="00576515" w:rsidP="00BD36FC">
      <w:pPr>
        <w:spacing w:before="240"/>
        <w:rPr>
          <w:rFonts w:cs="Arial"/>
        </w:rPr>
      </w:pPr>
      <w:r w:rsidRPr="004371C6">
        <w:rPr>
          <w:rFonts w:cs="Arial"/>
        </w:rPr>
        <w:t xml:space="preserve">e-mailová adresa pro zasílání údajů </w:t>
      </w:r>
      <w:r w:rsidR="00B855F8">
        <w:rPr>
          <w:rFonts w:cs="Arial"/>
        </w:rPr>
        <w:t xml:space="preserve">požadovaných dle Přílohy </w:t>
      </w:r>
      <w:r w:rsidRPr="004371C6">
        <w:rPr>
          <w:rFonts w:cs="Arial"/>
        </w:rPr>
        <w:t>č.</w:t>
      </w:r>
      <w:r>
        <w:rPr>
          <w:rFonts w:cs="Arial"/>
        </w:rPr>
        <w:t>7</w:t>
      </w:r>
      <w:r w:rsidRPr="004371C6">
        <w:rPr>
          <w:rFonts w:cs="Arial"/>
        </w:rPr>
        <w:t>:</w:t>
      </w:r>
    </w:p>
    <w:p w14:paraId="448695CF" w14:textId="5805C2A8" w:rsidR="00576515" w:rsidRPr="004371C6" w:rsidRDefault="00000000" w:rsidP="00BD36FC">
      <w:pPr>
        <w:rPr>
          <w:rFonts w:cs="Arial"/>
        </w:rPr>
      </w:pPr>
      <w:hyperlink r:id="rId97" w:history="1">
        <w:r w:rsidR="004F48BF">
          <w:rPr>
            <w:rStyle w:val="Hyperlink"/>
            <w:rFonts w:eastAsiaTheme="majorEastAsia" w:cs="Arial"/>
          </w:rPr>
          <w:t>XXXX</w:t>
        </w:r>
      </w:hyperlink>
    </w:p>
    <w:p w14:paraId="7A2E086D" w14:textId="77777777" w:rsidR="00576515" w:rsidRPr="004371C6" w:rsidRDefault="00576515" w:rsidP="00BD36FC">
      <w:pPr>
        <w:rPr>
          <w:rFonts w:cs="Arial"/>
        </w:rPr>
      </w:pPr>
      <w:r w:rsidRPr="004371C6">
        <w:rPr>
          <w:rFonts w:cs="Arial"/>
        </w:rPr>
        <w:t>kontakt na dispečink:</w:t>
      </w:r>
    </w:p>
    <w:p w14:paraId="530642D2" w14:textId="1C579715" w:rsidR="00576515" w:rsidRDefault="00000000" w:rsidP="00BD36FC">
      <w:pPr>
        <w:rPr>
          <w:rFonts w:cs="Arial"/>
        </w:rPr>
      </w:pPr>
      <w:hyperlink r:id="rId98" w:history="1">
        <w:r w:rsidR="004F48BF">
          <w:rPr>
            <w:rStyle w:val="Hyperlink"/>
            <w:rFonts w:eastAsiaTheme="majorEastAsia" w:cs="Arial"/>
          </w:rPr>
          <w:t>XXXX</w:t>
        </w:r>
        <w:r w:rsidR="00576515" w:rsidRPr="004371C6">
          <w:rPr>
            <w:rStyle w:val="Hyperlink"/>
            <w:rFonts w:eastAsiaTheme="majorEastAsia" w:cs="Arial"/>
          </w:rPr>
          <w:t>,</w:t>
        </w:r>
      </w:hyperlink>
      <w:r w:rsidR="00576515" w:rsidRPr="004371C6">
        <w:rPr>
          <w:rFonts w:cs="Arial"/>
        </w:rPr>
        <w:t xml:space="preserve"> </w:t>
      </w:r>
      <w:r w:rsidR="00576515">
        <w:rPr>
          <w:rFonts w:cs="Arial"/>
        </w:rPr>
        <w:t>T</w:t>
      </w:r>
      <w:r w:rsidR="00576515" w:rsidRPr="004371C6">
        <w:rPr>
          <w:rFonts w:cs="Arial"/>
        </w:rPr>
        <w:t xml:space="preserve">: </w:t>
      </w:r>
      <w:r w:rsidR="004F48BF">
        <w:rPr>
          <w:rFonts w:cs="Arial"/>
        </w:rPr>
        <w:t>XXXX</w:t>
      </w:r>
    </w:p>
    <w:p w14:paraId="323E4AA1" w14:textId="77777777" w:rsidR="00576515" w:rsidRDefault="00576515" w:rsidP="00BD36FC">
      <w:pPr>
        <w:rPr>
          <w:rFonts w:cs="Arial"/>
        </w:rPr>
      </w:pPr>
    </w:p>
    <w:p w14:paraId="1AC1E240" w14:textId="77777777" w:rsidR="00576515" w:rsidRDefault="00576515" w:rsidP="00BD36FC">
      <w:pPr>
        <w:spacing w:before="0"/>
        <w:jc w:val="left"/>
        <w:rPr>
          <w:rFonts w:cs="Arial"/>
        </w:rPr>
      </w:pPr>
      <w:r>
        <w:rPr>
          <w:rFonts w:cs="Arial"/>
        </w:rPr>
        <w:br w:type="page"/>
      </w:r>
    </w:p>
    <w:p w14:paraId="1B1169F9" w14:textId="77777777" w:rsidR="00576515" w:rsidRDefault="00576515" w:rsidP="00BD36FC">
      <w:pPr>
        <w:spacing w:before="240"/>
        <w:rPr>
          <w:rFonts w:cs="Arial"/>
        </w:rPr>
      </w:pPr>
      <w:r>
        <w:rPr>
          <w:rFonts w:cs="Arial"/>
        </w:rPr>
        <w:lastRenderedPageBreak/>
        <w:t>Kontaktní list pracovníků ESCO:</w:t>
      </w:r>
    </w:p>
    <w:p w14:paraId="061B3C31" w14:textId="77777777" w:rsidR="00576515" w:rsidRPr="00BF253C" w:rsidRDefault="00576515" w:rsidP="00BD36FC">
      <w:pPr>
        <w:keepNext/>
        <w:spacing w:before="240" w:after="60"/>
        <w:jc w:val="left"/>
        <w:outlineLvl w:val="0"/>
        <w:rPr>
          <w:rFonts w:cs="Arial"/>
          <w:iCs/>
        </w:rPr>
      </w:pPr>
      <w:bookmarkStart w:id="26" w:name="_Toc506899304"/>
      <w:r w:rsidRPr="00BF253C">
        <w:rPr>
          <w:rFonts w:cs="Arial"/>
          <w:iCs/>
        </w:rPr>
        <w:t>Obchodní tým</w:t>
      </w:r>
      <w:bookmarkEnd w:id="26"/>
    </w:p>
    <w:tbl>
      <w:tblPr>
        <w:tblStyle w:val="Tabulkasmkou4zvraznn11"/>
        <w:tblW w:w="9389" w:type="dxa"/>
        <w:tblInd w:w="108" w:type="dxa"/>
        <w:tblCellMar>
          <w:left w:w="57" w:type="dxa"/>
          <w:right w:w="57" w:type="dxa"/>
        </w:tblCellMar>
        <w:tblLook w:val="0460" w:firstRow="1" w:lastRow="1" w:firstColumn="0" w:lastColumn="0" w:noHBand="0" w:noVBand="1"/>
      </w:tblPr>
      <w:tblGrid>
        <w:gridCol w:w="952"/>
        <w:gridCol w:w="1037"/>
        <w:gridCol w:w="3710"/>
        <w:gridCol w:w="1134"/>
        <w:gridCol w:w="2556"/>
      </w:tblGrid>
      <w:tr w:rsidR="00576515" w:rsidRPr="00BF253C" w14:paraId="1DBC1F49" w14:textId="77777777" w:rsidTr="00A753BF">
        <w:trPr>
          <w:cnfStyle w:val="100000000000" w:firstRow="1" w:lastRow="0" w:firstColumn="0" w:lastColumn="0" w:oddVBand="0" w:evenVBand="0" w:oddHBand="0" w:evenHBand="0" w:firstRowFirstColumn="0" w:firstRowLastColumn="0" w:lastRowFirstColumn="0" w:lastRowLastColumn="0"/>
          <w:trHeight w:val="199"/>
        </w:trPr>
        <w:tc>
          <w:tcPr>
            <w:tcW w:w="952" w:type="dxa"/>
            <w:vAlign w:val="center"/>
          </w:tcPr>
          <w:p w14:paraId="5DE0E942" w14:textId="77777777" w:rsidR="00576515" w:rsidRPr="00BF253C" w:rsidRDefault="00576515" w:rsidP="00BD36FC">
            <w:pPr>
              <w:spacing w:before="60" w:after="60"/>
              <w:jc w:val="center"/>
              <w:rPr>
                <w:rFonts w:cs="Arial"/>
                <w:sz w:val="18"/>
                <w:szCs w:val="18"/>
              </w:rPr>
            </w:pPr>
            <w:r w:rsidRPr="00BF253C">
              <w:rPr>
                <w:rFonts w:cs="Arial"/>
                <w:sz w:val="18"/>
                <w:szCs w:val="18"/>
              </w:rPr>
              <w:t>Jméno</w:t>
            </w:r>
          </w:p>
        </w:tc>
        <w:tc>
          <w:tcPr>
            <w:tcW w:w="1037" w:type="dxa"/>
            <w:vAlign w:val="center"/>
          </w:tcPr>
          <w:p w14:paraId="1861716E" w14:textId="77777777" w:rsidR="00576515" w:rsidRPr="00BF253C" w:rsidRDefault="00576515" w:rsidP="00BD36FC">
            <w:pPr>
              <w:spacing w:before="60" w:after="60"/>
              <w:jc w:val="center"/>
              <w:rPr>
                <w:rFonts w:cs="Arial"/>
                <w:sz w:val="18"/>
                <w:szCs w:val="18"/>
              </w:rPr>
            </w:pPr>
            <w:r w:rsidRPr="00BF253C">
              <w:rPr>
                <w:rFonts w:cs="Arial"/>
                <w:sz w:val="18"/>
                <w:szCs w:val="18"/>
              </w:rPr>
              <w:t>Příjmení</w:t>
            </w:r>
          </w:p>
        </w:tc>
        <w:tc>
          <w:tcPr>
            <w:tcW w:w="3710" w:type="dxa"/>
            <w:vAlign w:val="center"/>
          </w:tcPr>
          <w:p w14:paraId="6D494460" w14:textId="77777777" w:rsidR="00576515" w:rsidRPr="00BF253C" w:rsidRDefault="00576515" w:rsidP="00BD36FC">
            <w:pPr>
              <w:spacing w:before="60" w:after="60"/>
              <w:jc w:val="center"/>
              <w:rPr>
                <w:rFonts w:cs="Arial"/>
                <w:sz w:val="18"/>
                <w:szCs w:val="18"/>
              </w:rPr>
            </w:pPr>
            <w:r w:rsidRPr="00BF253C">
              <w:rPr>
                <w:rFonts w:cs="Arial"/>
                <w:sz w:val="18"/>
                <w:szCs w:val="18"/>
              </w:rPr>
              <w:t>Funkce</w:t>
            </w:r>
          </w:p>
        </w:tc>
        <w:tc>
          <w:tcPr>
            <w:tcW w:w="1134" w:type="dxa"/>
            <w:vAlign w:val="center"/>
          </w:tcPr>
          <w:p w14:paraId="2ED118A7" w14:textId="77777777" w:rsidR="00576515" w:rsidRPr="00BF253C" w:rsidRDefault="00576515" w:rsidP="00BD36FC">
            <w:pPr>
              <w:spacing w:before="60" w:after="60"/>
              <w:jc w:val="center"/>
              <w:rPr>
                <w:rFonts w:cs="Arial"/>
                <w:sz w:val="18"/>
                <w:szCs w:val="18"/>
              </w:rPr>
            </w:pPr>
            <w:r w:rsidRPr="00BF253C">
              <w:rPr>
                <w:rFonts w:cs="Arial"/>
                <w:sz w:val="18"/>
                <w:szCs w:val="18"/>
              </w:rPr>
              <w:t>Telefon</w:t>
            </w:r>
          </w:p>
        </w:tc>
        <w:tc>
          <w:tcPr>
            <w:tcW w:w="2556" w:type="dxa"/>
            <w:vAlign w:val="center"/>
          </w:tcPr>
          <w:p w14:paraId="26AB8939" w14:textId="77777777" w:rsidR="00576515" w:rsidRPr="00BF253C" w:rsidRDefault="00576515" w:rsidP="00BD36FC">
            <w:pPr>
              <w:spacing w:before="60" w:after="60"/>
              <w:jc w:val="center"/>
              <w:rPr>
                <w:rFonts w:cs="Arial"/>
                <w:sz w:val="18"/>
                <w:szCs w:val="18"/>
              </w:rPr>
            </w:pPr>
            <w:r w:rsidRPr="00BF253C">
              <w:rPr>
                <w:rFonts w:cs="Arial"/>
                <w:sz w:val="18"/>
                <w:szCs w:val="18"/>
              </w:rPr>
              <w:t>E-mail</w:t>
            </w:r>
          </w:p>
        </w:tc>
      </w:tr>
      <w:tr w:rsidR="00576515" w:rsidRPr="00BF253C" w14:paraId="3E5B1335" w14:textId="77777777" w:rsidTr="00A753BF">
        <w:trPr>
          <w:cnfStyle w:val="000000100000" w:firstRow="0" w:lastRow="0" w:firstColumn="0" w:lastColumn="0" w:oddVBand="0" w:evenVBand="0" w:oddHBand="1" w:evenHBand="0" w:firstRowFirstColumn="0" w:firstRowLastColumn="0" w:lastRowFirstColumn="0" w:lastRowLastColumn="0"/>
          <w:trHeight w:val="66"/>
        </w:trPr>
        <w:tc>
          <w:tcPr>
            <w:tcW w:w="952" w:type="dxa"/>
            <w:vAlign w:val="center"/>
          </w:tcPr>
          <w:p w14:paraId="5508E33F" w14:textId="25322B02" w:rsidR="00576515" w:rsidRPr="00BF253C" w:rsidRDefault="004F48BF" w:rsidP="00BD36FC">
            <w:pPr>
              <w:spacing w:before="60" w:after="60"/>
              <w:rPr>
                <w:rFonts w:cs="Arial"/>
                <w:color w:val="2D3136"/>
                <w:sz w:val="18"/>
                <w:szCs w:val="18"/>
              </w:rPr>
            </w:pPr>
            <w:r>
              <w:rPr>
                <w:rFonts w:cs="Arial"/>
                <w:color w:val="2D3136"/>
                <w:sz w:val="18"/>
                <w:szCs w:val="18"/>
              </w:rPr>
              <w:t>XXXX</w:t>
            </w:r>
          </w:p>
        </w:tc>
        <w:tc>
          <w:tcPr>
            <w:tcW w:w="1037" w:type="dxa"/>
            <w:vAlign w:val="center"/>
          </w:tcPr>
          <w:p w14:paraId="5102DCC6" w14:textId="3B1585D6" w:rsidR="00576515" w:rsidRPr="00BF253C" w:rsidRDefault="004F48BF" w:rsidP="00BD36FC">
            <w:pPr>
              <w:spacing w:before="60" w:after="60"/>
              <w:rPr>
                <w:rFonts w:cs="Arial"/>
                <w:color w:val="2D3136"/>
                <w:sz w:val="18"/>
                <w:szCs w:val="18"/>
              </w:rPr>
            </w:pPr>
            <w:r>
              <w:rPr>
                <w:rFonts w:cs="Arial"/>
                <w:color w:val="2D3136"/>
                <w:sz w:val="18"/>
                <w:szCs w:val="18"/>
              </w:rPr>
              <w:t>XXXX</w:t>
            </w:r>
          </w:p>
        </w:tc>
        <w:tc>
          <w:tcPr>
            <w:tcW w:w="3710" w:type="dxa"/>
            <w:vAlign w:val="center"/>
          </w:tcPr>
          <w:p w14:paraId="27164C72" w14:textId="31140989" w:rsidR="00576515" w:rsidRPr="00BF253C" w:rsidRDefault="00576515" w:rsidP="00BD36FC">
            <w:pPr>
              <w:autoSpaceDE w:val="0"/>
              <w:autoSpaceDN w:val="0"/>
              <w:adjustRightInd w:val="0"/>
              <w:spacing w:before="60" w:after="60"/>
              <w:jc w:val="left"/>
              <w:rPr>
                <w:rFonts w:cs="Arial"/>
                <w:sz w:val="18"/>
                <w:szCs w:val="18"/>
              </w:rPr>
            </w:pPr>
            <w:r>
              <w:rPr>
                <w:rFonts w:cs="Arial"/>
                <w:sz w:val="18"/>
                <w:szCs w:val="18"/>
              </w:rPr>
              <w:t>Obchodní ředitel</w:t>
            </w:r>
          </w:p>
        </w:tc>
        <w:tc>
          <w:tcPr>
            <w:tcW w:w="1134" w:type="dxa"/>
            <w:vAlign w:val="center"/>
          </w:tcPr>
          <w:p w14:paraId="1D7F6D95" w14:textId="77D944BD"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c>
          <w:tcPr>
            <w:tcW w:w="2556" w:type="dxa"/>
            <w:vAlign w:val="center"/>
          </w:tcPr>
          <w:p w14:paraId="3C9BC180" w14:textId="218E0362"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r>
      <w:tr w:rsidR="00576515" w:rsidRPr="00BF253C" w14:paraId="31A8984F" w14:textId="77777777" w:rsidTr="00A753BF">
        <w:trPr>
          <w:trHeight w:val="25"/>
        </w:trPr>
        <w:tc>
          <w:tcPr>
            <w:tcW w:w="952" w:type="dxa"/>
            <w:vAlign w:val="center"/>
          </w:tcPr>
          <w:p w14:paraId="46FCAB93" w14:textId="6E2EF222" w:rsidR="00576515" w:rsidRPr="00BF253C" w:rsidRDefault="004F48BF" w:rsidP="00BD36FC">
            <w:pPr>
              <w:spacing w:before="60" w:after="60"/>
              <w:rPr>
                <w:rFonts w:cs="Arial"/>
                <w:color w:val="2D3136"/>
                <w:sz w:val="18"/>
                <w:szCs w:val="18"/>
              </w:rPr>
            </w:pPr>
            <w:r>
              <w:rPr>
                <w:rFonts w:cs="Arial"/>
                <w:color w:val="2D3136"/>
                <w:sz w:val="18"/>
                <w:szCs w:val="18"/>
              </w:rPr>
              <w:t>XXXX</w:t>
            </w:r>
          </w:p>
        </w:tc>
        <w:tc>
          <w:tcPr>
            <w:tcW w:w="1037" w:type="dxa"/>
            <w:vAlign w:val="center"/>
          </w:tcPr>
          <w:p w14:paraId="664EFFA4" w14:textId="11A0272F" w:rsidR="00576515" w:rsidRPr="00BF253C" w:rsidRDefault="004F48BF" w:rsidP="00BD36FC">
            <w:pPr>
              <w:spacing w:before="60" w:after="60"/>
              <w:rPr>
                <w:rFonts w:cs="Arial"/>
                <w:color w:val="2D3136"/>
                <w:sz w:val="18"/>
                <w:szCs w:val="18"/>
              </w:rPr>
            </w:pPr>
            <w:bookmarkStart w:id="27" w:name="OLE_LINK23"/>
            <w:bookmarkStart w:id="28" w:name="OLE_LINK24"/>
            <w:r>
              <w:rPr>
                <w:rFonts w:cs="Arial"/>
                <w:color w:val="2D3136"/>
                <w:sz w:val="18"/>
                <w:szCs w:val="18"/>
              </w:rPr>
              <w:t>XXXX</w:t>
            </w:r>
            <w:bookmarkEnd w:id="27"/>
            <w:bookmarkEnd w:id="28"/>
          </w:p>
        </w:tc>
        <w:tc>
          <w:tcPr>
            <w:tcW w:w="3710" w:type="dxa"/>
            <w:vAlign w:val="center"/>
          </w:tcPr>
          <w:p w14:paraId="7FB21D3A" w14:textId="321BEFF2" w:rsidR="00576515" w:rsidRPr="00BF253C" w:rsidRDefault="00576515" w:rsidP="00BD36FC">
            <w:pPr>
              <w:autoSpaceDE w:val="0"/>
              <w:autoSpaceDN w:val="0"/>
              <w:adjustRightInd w:val="0"/>
              <w:spacing w:before="60" w:after="60"/>
              <w:jc w:val="left"/>
              <w:rPr>
                <w:rFonts w:cs="Arial"/>
                <w:sz w:val="18"/>
                <w:szCs w:val="18"/>
              </w:rPr>
            </w:pPr>
            <w:r>
              <w:rPr>
                <w:rFonts w:cs="Arial"/>
                <w:sz w:val="18"/>
                <w:szCs w:val="18"/>
              </w:rPr>
              <w:t>Obchodně technický manažer</w:t>
            </w:r>
            <w:r w:rsidRPr="00BF253C">
              <w:rPr>
                <w:rFonts w:cs="Arial"/>
                <w:sz w:val="18"/>
                <w:szCs w:val="18"/>
              </w:rPr>
              <w:t xml:space="preserve"> EPC a D&amp;B</w:t>
            </w:r>
          </w:p>
        </w:tc>
        <w:tc>
          <w:tcPr>
            <w:tcW w:w="1134" w:type="dxa"/>
            <w:vAlign w:val="center"/>
          </w:tcPr>
          <w:p w14:paraId="6F18346D" w14:textId="2EE0EB53" w:rsidR="00576515" w:rsidRPr="00BF253C" w:rsidRDefault="004F48BF" w:rsidP="00BD36FC">
            <w:pPr>
              <w:autoSpaceDE w:val="0"/>
              <w:autoSpaceDN w:val="0"/>
              <w:adjustRightInd w:val="0"/>
              <w:spacing w:before="60" w:after="60"/>
              <w:jc w:val="center"/>
              <w:rPr>
                <w:rFonts w:cs="Arial"/>
                <w:sz w:val="18"/>
                <w:szCs w:val="18"/>
              </w:rPr>
            </w:pPr>
            <w:r>
              <w:rPr>
                <w:rFonts w:cs="Arial"/>
                <w:color w:val="2D3136"/>
                <w:sz w:val="18"/>
                <w:szCs w:val="18"/>
              </w:rPr>
              <w:t>XXXX</w:t>
            </w:r>
          </w:p>
        </w:tc>
        <w:tc>
          <w:tcPr>
            <w:tcW w:w="2556" w:type="dxa"/>
            <w:vAlign w:val="center"/>
          </w:tcPr>
          <w:p w14:paraId="0EA02B44" w14:textId="28DB03B9"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r>
      <w:tr w:rsidR="00576515" w:rsidRPr="00BF253C" w14:paraId="6140A777" w14:textId="77777777" w:rsidTr="00A753BF">
        <w:trPr>
          <w:cnfStyle w:val="000000100000" w:firstRow="0" w:lastRow="0" w:firstColumn="0" w:lastColumn="0" w:oddVBand="0" w:evenVBand="0" w:oddHBand="1" w:evenHBand="0" w:firstRowFirstColumn="0" w:firstRowLastColumn="0" w:lastRowFirstColumn="0" w:lastRowLastColumn="0"/>
          <w:trHeight w:val="25"/>
        </w:trPr>
        <w:tc>
          <w:tcPr>
            <w:tcW w:w="952" w:type="dxa"/>
            <w:vAlign w:val="center"/>
          </w:tcPr>
          <w:p w14:paraId="60EAC32B" w14:textId="2694F0DE" w:rsidR="00576515" w:rsidRPr="00BF253C" w:rsidRDefault="004F48BF" w:rsidP="00BD36FC">
            <w:pPr>
              <w:spacing w:before="60" w:after="60"/>
              <w:rPr>
                <w:rFonts w:cs="Arial"/>
                <w:color w:val="2D3136"/>
                <w:sz w:val="18"/>
                <w:szCs w:val="18"/>
              </w:rPr>
            </w:pPr>
            <w:bookmarkStart w:id="29" w:name="OLE_LINK27"/>
            <w:bookmarkStart w:id="30" w:name="OLE_LINK28"/>
            <w:bookmarkStart w:id="31" w:name="OLE_LINK31"/>
            <w:r>
              <w:rPr>
                <w:rFonts w:cs="Arial"/>
                <w:color w:val="2D3136"/>
                <w:sz w:val="18"/>
                <w:szCs w:val="18"/>
              </w:rPr>
              <w:t>XXXX</w:t>
            </w:r>
            <w:bookmarkEnd w:id="29"/>
            <w:bookmarkEnd w:id="30"/>
            <w:bookmarkEnd w:id="31"/>
          </w:p>
        </w:tc>
        <w:tc>
          <w:tcPr>
            <w:tcW w:w="1037" w:type="dxa"/>
            <w:vAlign w:val="center"/>
          </w:tcPr>
          <w:p w14:paraId="294E3F62" w14:textId="040CC88D" w:rsidR="00576515" w:rsidRPr="00BF253C" w:rsidRDefault="004F48BF" w:rsidP="00BD36FC">
            <w:pPr>
              <w:spacing w:before="60" w:after="60"/>
              <w:rPr>
                <w:rFonts w:cs="Arial"/>
                <w:color w:val="2D3136"/>
                <w:sz w:val="18"/>
                <w:szCs w:val="18"/>
              </w:rPr>
            </w:pPr>
            <w:r>
              <w:rPr>
                <w:rFonts w:cs="Arial"/>
                <w:color w:val="2D3136"/>
                <w:sz w:val="18"/>
                <w:szCs w:val="18"/>
              </w:rPr>
              <w:t>XXXX</w:t>
            </w:r>
          </w:p>
        </w:tc>
        <w:tc>
          <w:tcPr>
            <w:tcW w:w="3710" w:type="dxa"/>
            <w:vAlign w:val="center"/>
          </w:tcPr>
          <w:p w14:paraId="22E7C8EE" w14:textId="77777777" w:rsidR="00A753BF" w:rsidRDefault="00576515" w:rsidP="00BD36FC">
            <w:pPr>
              <w:autoSpaceDE w:val="0"/>
              <w:autoSpaceDN w:val="0"/>
              <w:adjustRightInd w:val="0"/>
              <w:spacing w:before="60" w:after="60"/>
              <w:jc w:val="left"/>
              <w:rPr>
                <w:rFonts w:cs="Arial"/>
                <w:sz w:val="18"/>
                <w:szCs w:val="18"/>
              </w:rPr>
            </w:pPr>
            <w:r>
              <w:rPr>
                <w:rFonts w:cs="Arial"/>
                <w:sz w:val="18"/>
                <w:szCs w:val="18"/>
              </w:rPr>
              <w:t>Obchodně technický manažer</w:t>
            </w:r>
            <w:r w:rsidRPr="00BF253C">
              <w:rPr>
                <w:rFonts w:cs="Arial"/>
                <w:sz w:val="18"/>
                <w:szCs w:val="18"/>
              </w:rPr>
              <w:t xml:space="preserve"> EPC a D&amp;B</w:t>
            </w:r>
            <w:r w:rsidR="00A753BF" w:rsidRPr="00BF253C">
              <w:rPr>
                <w:rFonts w:cs="Arial"/>
                <w:sz w:val="18"/>
                <w:szCs w:val="18"/>
              </w:rPr>
              <w:t xml:space="preserve"> </w:t>
            </w:r>
          </w:p>
          <w:p w14:paraId="39E2689F" w14:textId="59FB909D" w:rsidR="00576515" w:rsidRPr="00BF253C" w:rsidRDefault="00A753BF" w:rsidP="00BD36FC">
            <w:pPr>
              <w:autoSpaceDE w:val="0"/>
              <w:autoSpaceDN w:val="0"/>
              <w:adjustRightInd w:val="0"/>
              <w:spacing w:before="60" w:after="60"/>
              <w:jc w:val="left"/>
              <w:rPr>
                <w:rFonts w:cs="Arial"/>
                <w:sz w:val="18"/>
                <w:szCs w:val="18"/>
              </w:rPr>
            </w:pPr>
            <w:r w:rsidRPr="00BF253C">
              <w:rPr>
                <w:rFonts w:cs="Arial"/>
                <w:sz w:val="18"/>
                <w:szCs w:val="18"/>
              </w:rPr>
              <w:t>Oprávněná osoba ve věcech obchodních a smluvních</w:t>
            </w:r>
          </w:p>
        </w:tc>
        <w:tc>
          <w:tcPr>
            <w:tcW w:w="1134" w:type="dxa"/>
            <w:vAlign w:val="center"/>
          </w:tcPr>
          <w:p w14:paraId="3DD46352" w14:textId="5CE64708" w:rsidR="00576515" w:rsidRPr="00BF253C" w:rsidRDefault="004F48BF" w:rsidP="00BD36FC">
            <w:pPr>
              <w:autoSpaceDE w:val="0"/>
              <w:autoSpaceDN w:val="0"/>
              <w:adjustRightInd w:val="0"/>
              <w:spacing w:before="60" w:after="60"/>
              <w:jc w:val="center"/>
              <w:rPr>
                <w:rFonts w:cs="Arial"/>
                <w:sz w:val="18"/>
                <w:szCs w:val="18"/>
              </w:rPr>
            </w:pPr>
            <w:r>
              <w:rPr>
                <w:rFonts w:cs="Arial"/>
                <w:color w:val="2D3136"/>
                <w:sz w:val="18"/>
                <w:szCs w:val="18"/>
              </w:rPr>
              <w:t>XXXX</w:t>
            </w:r>
          </w:p>
        </w:tc>
        <w:tc>
          <w:tcPr>
            <w:tcW w:w="2556" w:type="dxa"/>
            <w:vAlign w:val="center"/>
          </w:tcPr>
          <w:p w14:paraId="17F3062D" w14:textId="1B740F91"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r>
      <w:tr w:rsidR="00576515" w:rsidRPr="00BF253C" w14:paraId="63E1A39B" w14:textId="77777777" w:rsidTr="00A753BF">
        <w:trPr>
          <w:cnfStyle w:val="010000000000" w:firstRow="0" w:lastRow="1" w:firstColumn="0" w:lastColumn="0" w:oddVBand="0" w:evenVBand="0" w:oddHBand="0" w:evenHBand="0" w:firstRowFirstColumn="0" w:firstRowLastColumn="0" w:lastRowFirstColumn="0" w:lastRowLastColumn="0"/>
          <w:trHeight w:val="25"/>
        </w:trPr>
        <w:tc>
          <w:tcPr>
            <w:tcW w:w="952" w:type="dxa"/>
            <w:vAlign w:val="center"/>
          </w:tcPr>
          <w:p w14:paraId="08656623" w14:textId="77777777" w:rsidR="00576515" w:rsidRPr="00BF253C" w:rsidRDefault="00576515" w:rsidP="00BD36FC">
            <w:pPr>
              <w:spacing w:before="60" w:after="60"/>
              <w:rPr>
                <w:rFonts w:cs="Arial"/>
                <w:color w:val="2D3136"/>
                <w:sz w:val="18"/>
                <w:szCs w:val="18"/>
              </w:rPr>
            </w:pPr>
          </w:p>
        </w:tc>
        <w:tc>
          <w:tcPr>
            <w:tcW w:w="1037" w:type="dxa"/>
            <w:vAlign w:val="center"/>
          </w:tcPr>
          <w:p w14:paraId="350C0164" w14:textId="77777777" w:rsidR="00576515" w:rsidRPr="00BF253C" w:rsidRDefault="00576515" w:rsidP="00BD36FC">
            <w:pPr>
              <w:spacing w:before="60" w:after="60"/>
              <w:rPr>
                <w:rFonts w:cs="Arial"/>
                <w:color w:val="2D3136"/>
                <w:sz w:val="18"/>
                <w:szCs w:val="18"/>
              </w:rPr>
            </w:pPr>
          </w:p>
        </w:tc>
        <w:tc>
          <w:tcPr>
            <w:tcW w:w="3710" w:type="dxa"/>
            <w:vAlign w:val="center"/>
          </w:tcPr>
          <w:p w14:paraId="289E2768" w14:textId="77777777" w:rsidR="00576515" w:rsidRPr="00BF253C" w:rsidRDefault="00576515" w:rsidP="00BD36FC">
            <w:pPr>
              <w:autoSpaceDE w:val="0"/>
              <w:autoSpaceDN w:val="0"/>
              <w:adjustRightInd w:val="0"/>
              <w:spacing w:before="60" w:after="60"/>
              <w:jc w:val="left"/>
              <w:rPr>
                <w:rFonts w:cs="Arial"/>
                <w:sz w:val="18"/>
                <w:szCs w:val="18"/>
              </w:rPr>
            </w:pPr>
            <w:r w:rsidRPr="00BF253C">
              <w:rPr>
                <w:rFonts w:cs="Arial"/>
                <w:sz w:val="18"/>
                <w:szCs w:val="18"/>
              </w:rPr>
              <w:t>Kontaktní e-mail EPC</w:t>
            </w:r>
          </w:p>
        </w:tc>
        <w:tc>
          <w:tcPr>
            <w:tcW w:w="1134" w:type="dxa"/>
            <w:vAlign w:val="center"/>
          </w:tcPr>
          <w:p w14:paraId="565A7E99" w14:textId="77777777" w:rsidR="00576515" w:rsidRPr="00BF253C" w:rsidRDefault="00576515" w:rsidP="00BD36FC">
            <w:pPr>
              <w:spacing w:before="60" w:after="60"/>
              <w:jc w:val="center"/>
              <w:rPr>
                <w:rFonts w:cs="Arial"/>
                <w:color w:val="2D3136"/>
                <w:sz w:val="18"/>
                <w:szCs w:val="18"/>
              </w:rPr>
            </w:pPr>
          </w:p>
        </w:tc>
        <w:tc>
          <w:tcPr>
            <w:tcW w:w="2556" w:type="dxa"/>
            <w:vAlign w:val="center"/>
          </w:tcPr>
          <w:p w14:paraId="68B787CD" w14:textId="789161FD"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r>
    </w:tbl>
    <w:p w14:paraId="624E4CDF" w14:textId="77777777" w:rsidR="00576515" w:rsidRPr="00BF253C" w:rsidRDefault="00576515" w:rsidP="00BD36FC">
      <w:pPr>
        <w:keepNext/>
        <w:spacing w:before="240" w:after="60"/>
        <w:jc w:val="left"/>
        <w:outlineLvl w:val="0"/>
        <w:rPr>
          <w:rFonts w:cs="Arial"/>
          <w:iCs/>
        </w:rPr>
      </w:pPr>
      <w:bookmarkStart w:id="32" w:name="_Toc442954201"/>
      <w:bookmarkStart w:id="33" w:name="_Toc443039587"/>
      <w:bookmarkStart w:id="34" w:name="_Toc498429469"/>
      <w:bookmarkStart w:id="35" w:name="_Toc506899305"/>
      <w:r w:rsidRPr="00BF253C">
        <w:rPr>
          <w:rFonts w:cs="Arial"/>
          <w:iCs/>
        </w:rPr>
        <w:t>Projekční tým</w:t>
      </w:r>
      <w:bookmarkEnd w:id="32"/>
      <w:bookmarkEnd w:id="33"/>
      <w:bookmarkEnd w:id="34"/>
      <w:bookmarkEnd w:id="35"/>
    </w:p>
    <w:tbl>
      <w:tblPr>
        <w:tblStyle w:val="Tabulkasmkou4zvraznn11"/>
        <w:tblW w:w="9373" w:type="dxa"/>
        <w:tblInd w:w="113" w:type="dxa"/>
        <w:tblLayout w:type="fixed"/>
        <w:tblLook w:val="0420" w:firstRow="1" w:lastRow="0" w:firstColumn="0" w:lastColumn="0" w:noHBand="0" w:noVBand="1"/>
      </w:tblPr>
      <w:tblGrid>
        <w:gridCol w:w="946"/>
        <w:gridCol w:w="1078"/>
        <w:gridCol w:w="3583"/>
        <w:gridCol w:w="1283"/>
        <w:gridCol w:w="2483"/>
      </w:tblGrid>
      <w:tr w:rsidR="00576515" w:rsidRPr="00BF253C" w14:paraId="44284241" w14:textId="77777777" w:rsidTr="00A50464">
        <w:trPr>
          <w:cnfStyle w:val="100000000000" w:firstRow="1" w:lastRow="0" w:firstColumn="0" w:lastColumn="0" w:oddVBand="0" w:evenVBand="0" w:oddHBand="0" w:evenHBand="0" w:firstRowFirstColumn="0" w:firstRowLastColumn="0" w:lastRowFirstColumn="0" w:lastRowLastColumn="0"/>
          <w:trHeight w:val="251"/>
        </w:trPr>
        <w:tc>
          <w:tcPr>
            <w:tcW w:w="946" w:type="dxa"/>
            <w:noWrap/>
            <w:tcMar>
              <w:left w:w="57" w:type="dxa"/>
              <w:right w:w="57" w:type="dxa"/>
            </w:tcMar>
            <w:vAlign w:val="center"/>
            <w:hideMark/>
          </w:tcPr>
          <w:p w14:paraId="70E7DF80" w14:textId="77777777" w:rsidR="00576515" w:rsidRPr="00BF253C" w:rsidRDefault="00576515" w:rsidP="00BD36FC">
            <w:pPr>
              <w:spacing w:before="60" w:after="60"/>
              <w:jc w:val="center"/>
              <w:rPr>
                <w:rFonts w:cs="Arial"/>
                <w:sz w:val="18"/>
                <w:szCs w:val="18"/>
              </w:rPr>
            </w:pPr>
            <w:r w:rsidRPr="00BF253C">
              <w:rPr>
                <w:rFonts w:cs="Arial"/>
                <w:sz w:val="18"/>
                <w:szCs w:val="18"/>
              </w:rPr>
              <w:t>Jméno</w:t>
            </w:r>
          </w:p>
        </w:tc>
        <w:tc>
          <w:tcPr>
            <w:tcW w:w="1078" w:type="dxa"/>
            <w:noWrap/>
            <w:tcMar>
              <w:left w:w="57" w:type="dxa"/>
              <w:right w:w="57" w:type="dxa"/>
            </w:tcMar>
            <w:vAlign w:val="center"/>
            <w:hideMark/>
          </w:tcPr>
          <w:p w14:paraId="0A761F33" w14:textId="77777777" w:rsidR="00576515" w:rsidRPr="00BF253C" w:rsidRDefault="00576515" w:rsidP="00BD36FC">
            <w:pPr>
              <w:spacing w:before="60" w:after="60"/>
              <w:jc w:val="center"/>
              <w:rPr>
                <w:rFonts w:cs="Arial"/>
                <w:sz w:val="18"/>
                <w:szCs w:val="18"/>
              </w:rPr>
            </w:pPr>
            <w:r w:rsidRPr="00BF253C">
              <w:rPr>
                <w:rFonts w:cs="Arial"/>
                <w:sz w:val="18"/>
                <w:szCs w:val="18"/>
              </w:rPr>
              <w:t>Příjmení</w:t>
            </w:r>
          </w:p>
        </w:tc>
        <w:tc>
          <w:tcPr>
            <w:tcW w:w="3583" w:type="dxa"/>
            <w:noWrap/>
            <w:tcMar>
              <w:left w:w="57" w:type="dxa"/>
              <w:right w:w="57" w:type="dxa"/>
            </w:tcMar>
            <w:vAlign w:val="center"/>
            <w:hideMark/>
          </w:tcPr>
          <w:p w14:paraId="70979801" w14:textId="77777777" w:rsidR="00576515" w:rsidRPr="00BF253C" w:rsidRDefault="00576515" w:rsidP="00BD36FC">
            <w:pPr>
              <w:spacing w:before="60" w:after="60"/>
              <w:jc w:val="center"/>
              <w:rPr>
                <w:rFonts w:cs="Arial"/>
                <w:sz w:val="18"/>
                <w:szCs w:val="18"/>
              </w:rPr>
            </w:pPr>
            <w:r w:rsidRPr="00BF253C">
              <w:rPr>
                <w:rFonts w:cs="Arial"/>
                <w:sz w:val="18"/>
                <w:szCs w:val="18"/>
              </w:rPr>
              <w:t>Funkce</w:t>
            </w:r>
          </w:p>
        </w:tc>
        <w:tc>
          <w:tcPr>
            <w:tcW w:w="1283" w:type="dxa"/>
            <w:noWrap/>
            <w:tcMar>
              <w:left w:w="57" w:type="dxa"/>
              <w:right w:w="57" w:type="dxa"/>
            </w:tcMar>
            <w:vAlign w:val="center"/>
            <w:hideMark/>
          </w:tcPr>
          <w:p w14:paraId="02AF4C36" w14:textId="77777777" w:rsidR="00576515" w:rsidRPr="00BF253C" w:rsidRDefault="00576515" w:rsidP="00BD36FC">
            <w:pPr>
              <w:spacing w:before="60" w:after="60"/>
              <w:jc w:val="center"/>
              <w:rPr>
                <w:rFonts w:cs="Arial"/>
                <w:sz w:val="18"/>
                <w:szCs w:val="18"/>
              </w:rPr>
            </w:pPr>
            <w:r w:rsidRPr="00BF253C">
              <w:rPr>
                <w:rFonts w:cs="Arial"/>
                <w:sz w:val="18"/>
                <w:szCs w:val="18"/>
              </w:rPr>
              <w:t>Telefon</w:t>
            </w:r>
          </w:p>
        </w:tc>
        <w:tc>
          <w:tcPr>
            <w:tcW w:w="2483" w:type="dxa"/>
            <w:noWrap/>
            <w:tcMar>
              <w:left w:w="57" w:type="dxa"/>
              <w:right w:w="57" w:type="dxa"/>
            </w:tcMar>
            <w:vAlign w:val="center"/>
            <w:hideMark/>
          </w:tcPr>
          <w:p w14:paraId="1A0B722F" w14:textId="77777777" w:rsidR="00576515" w:rsidRPr="00BF253C" w:rsidRDefault="00576515" w:rsidP="00BD36FC">
            <w:pPr>
              <w:spacing w:before="60" w:after="60"/>
              <w:jc w:val="center"/>
              <w:rPr>
                <w:rFonts w:cs="Arial"/>
                <w:sz w:val="18"/>
                <w:szCs w:val="18"/>
              </w:rPr>
            </w:pPr>
            <w:r w:rsidRPr="00BF253C">
              <w:rPr>
                <w:rFonts w:cs="Arial"/>
                <w:sz w:val="18"/>
                <w:szCs w:val="18"/>
              </w:rPr>
              <w:t>E-mail</w:t>
            </w:r>
          </w:p>
        </w:tc>
      </w:tr>
      <w:tr w:rsidR="004F48BF" w:rsidRPr="00BF253C" w14:paraId="1D623F46" w14:textId="77777777" w:rsidTr="00D4671F">
        <w:trPr>
          <w:cnfStyle w:val="000000100000" w:firstRow="0" w:lastRow="0" w:firstColumn="0" w:lastColumn="0" w:oddVBand="0" w:evenVBand="0" w:oddHBand="1" w:evenHBand="0" w:firstRowFirstColumn="0" w:firstRowLastColumn="0" w:lastRowFirstColumn="0" w:lastRowLastColumn="0"/>
          <w:trHeight w:val="62"/>
        </w:trPr>
        <w:tc>
          <w:tcPr>
            <w:tcW w:w="946" w:type="dxa"/>
            <w:noWrap/>
            <w:tcMar>
              <w:left w:w="57" w:type="dxa"/>
              <w:right w:w="57" w:type="dxa"/>
            </w:tcMar>
            <w:hideMark/>
          </w:tcPr>
          <w:p w14:paraId="5782858A" w14:textId="463AA7F2" w:rsidR="004F48BF" w:rsidRPr="00BF253C" w:rsidRDefault="004F48BF" w:rsidP="004F48BF">
            <w:pPr>
              <w:spacing w:before="60" w:after="60"/>
              <w:jc w:val="left"/>
              <w:rPr>
                <w:rFonts w:cs="Arial"/>
                <w:color w:val="2D3136"/>
                <w:sz w:val="18"/>
                <w:szCs w:val="18"/>
              </w:rPr>
            </w:pPr>
            <w:r w:rsidRPr="00FE2D15">
              <w:rPr>
                <w:rFonts w:cs="Arial"/>
                <w:color w:val="2D3136"/>
                <w:sz w:val="18"/>
                <w:szCs w:val="18"/>
              </w:rPr>
              <w:t>XXXX</w:t>
            </w:r>
          </w:p>
        </w:tc>
        <w:tc>
          <w:tcPr>
            <w:tcW w:w="1078" w:type="dxa"/>
            <w:noWrap/>
            <w:tcMar>
              <w:left w:w="57" w:type="dxa"/>
              <w:right w:w="57" w:type="dxa"/>
            </w:tcMar>
            <w:hideMark/>
          </w:tcPr>
          <w:p w14:paraId="4549D560" w14:textId="532B5FD1" w:rsidR="004F48BF" w:rsidRPr="00BF253C" w:rsidRDefault="004F48BF" w:rsidP="004F48BF">
            <w:pPr>
              <w:spacing w:before="60" w:after="60"/>
              <w:jc w:val="left"/>
              <w:rPr>
                <w:rFonts w:cs="Arial"/>
                <w:color w:val="2D3136"/>
                <w:sz w:val="18"/>
                <w:szCs w:val="18"/>
              </w:rPr>
            </w:pPr>
            <w:r w:rsidRPr="00FE2D15">
              <w:rPr>
                <w:rFonts w:cs="Arial"/>
                <w:color w:val="2D3136"/>
                <w:sz w:val="18"/>
                <w:szCs w:val="18"/>
              </w:rPr>
              <w:t>XXXX</w:t>
            </w:r>
          </w:p>
        </w:tc>
        <w:tc>
          <w:tcPr>
            <w:tcW w:w="3583" w:type="dxa"/>
            <w:tcMar>
              <w:left w:w="57" w:type="dxa"/>
              <w:right w:w="57" w:type="dxa"/>
            </w:tcMar>
            <w:vAlign w:val="center"/>
            <w:hideMark/>
          </w:tcPr>
          <w:p w14:paraId="3C8BA056" w14:textId="77777777" w:rsidR="004F48BF" w:rsidRPr="00BF253C" w:rsidRDefault="004F48BF" w:rsidP="004F48BF">
            <w:pPr>
              <w:spacing w:before="60" w:after="60"/>
              <w:jc w:val="left"/>
              <w:rPr>
                <w:rFonts w:cs="Arial"/>
                <w:color w:val="2D3136"/>
                <w:sz w:val="18"/>
                <w:szCs w:val="18"/>
              </w:rPr>
            </w:pPr>
            <w:r w:rsidRPr="00BF253C">
              <w:rPr>
                <w:rFonts w:cs="Arial"/>
                <w:color w:val="2D3136"/>
                <w:sz w:val="18"/>
                <w:szCs w:val="18"/>
              </w:rPr>
              <w:t>Vedoucí odboru Projekce</w:t>
            </w:r>
          </w:p>
        </w:tc>
        <w:tc>
          <w:tcPr>
            <w:tcW w:w="1283" w:type="dxa"/>
            <w:noWrap/>
            <w:tcMar>
              <w:left w:w="57" w:type="dxa"/>
              <w:right w:w="57" w:type="dxa"/>
            </w:tcMar>
            <w:vAlign w:val="center"/>
            <w:hideMark/>
          </w:tcPr>
          <w:p w14:paraId="5392E2A0" w14:textId="3086630B" w:rsidR="004F48BF" w:rsidRPr="00BF253C" w:rsidRDefault="004F48BF" w:rsidP="004F48BF">
            <w:pPr>
              <w:spacing w:before="60" w:after="60"/>
              <w:jc w:val="center"/>
              <w:rPr>
                <w:rFonts w:cs="Arial"/>
                <w:color w:val="2D3136"/>
                <w:sz w:val="18"/>
                <w:szCs w:val="18"/>
              </w:rPr>
            </w:pPr>
            <w:r>
              <w:rPr>
                <w:rFonts w:cs="Arial"/>
                <w:color w:val="2D3136"/>
                <w:sz w:val="18"/>
                <w:szCs w:val="18"/>
              </w:rPr>
              <w:t>XXXX</w:t>
            </w:r>
          </w:p>
        </w:tc>
        <w:tc>
          <w:tcPr>
            <w:tcW w:w="2483" w:type="dxa"/>
            <w:noWrap/>
            <w:tcMar>
              <w:left w:w="57" w:type="dxa"/>
              <w:right w:w="57" w:type="dxa"/>
            </w:tcMar>
            <w:vAlign w:val="center"/>
            <w:hideMark/>
          </w:tcPr>
          <w:p w14:paraId="450CF6BB" w14:textId="68FA4FF2" w:rsidR="004F48BF" w:rsidRPr="00BF253C" w:rsidRDefault="004F48BF" w:rsidP="004F48BF">
            <w:pPr>
              <w:spacing w:before="60" w:after="60"/>
              <w:jc w:val="center"/>
              <w:rPr>
                <w:rFonts w:cs="Arial"/>
                <w:color w:val="2D3136"/>
                <w:sz w:val="18"/>
                <w:szCs w:val="18"/>
              </w:rPr>
            </w:pPr>
            <w:r>
              <w:rPr>
                <w:rFonts w:cs="Arial"/>
                <w:color w:val="2D3136"/>
                <w:sz w:val="18"/>
                <w:szCs w:val="18"/>
              </w:rPr>
              <w:t>XXXX</w:t>
            </w:r>
          </w:p>
        </w:tc>
      </w:tr>
      <w:tr w:rsidR="00576515" w:rsidRPr="00BF253C" w14:paraId="5D8B6BF7" w14:textId="77777777" w:rsidTr="00A50464">
        <w:trPr>
          <w:trHeight w:val="27"/>
        </w:trPr>
        <w:tc>
          <w:tcPr>
            <w:tcW w:w="946" w:type="dxa"/>
            <w:noWrap/>
            <w:tcMar>
              <w:left w:w="57" w:type="dxa"/>
              <w:right w:w="57" w:type="dxa"/>
            </w:tcMar>
            <w:vAlign w:val="center"/>
            <w:hideMark/>
          </w:tcPr>
          <w:p w14:paraId="5D222403" w14:textId="5DB4B080" w:rsidR="00576515" w:rsidRPr="00BF253C" w:rsidRDefault="004F48BF" w:rsidP="004F48BF">
            <w:pPr>
              <w:spacing w:before="60" w:after="60"/>
              <w:jc w:val="left"/>
              <w:rPr>
                <w:rFonts w:cs="Arial"/>
                <w:color w:val="2D3136"/>
                <w:sz w:val="18"/>
                <w:szCs w:val="18"/>
              </w:rPr>
            </w:pPr>
            <w:r>
              <w:rPr>
                <w:rFonts w:cs="Arial"/>
                <w:color w:val="2D3136"/>
                <w:sz w:val="18"/>
                <w:szCs w:val="18"/>
              </w:rPr>
              <w:t>XXXX</w:t>
            </w:r>
          </w:p>
        </w:tc>
        <w:tc>
          <w:tcPr>
            <w:tcW w:w="1078" w:type="dxa"/>
            <w:noWrap/>
            <w:tcMar>
              <w:left w:w="57" w:type="dxa"/>
              <w:right w:w="57" w:type="dxa"/>
            </w:tcMar>
            <w:vAlign w:val="center"/>
            <w:hideMark/>
          </w:tcPr>
          <w:p w14:paraId="01CC8127" w14:textId="3FBF1939" w:rsidR="00576515" w:rsidRPr="00BF253C" w:rsidRDefault="004F48BF" w:rsidP="00BD36FC">
            <w:pPr>
              <w:spacing w:before="60" w:after="60"/>
              <w:jc w:val="left"/>
              <w:rPr>
                <w:rFonts w:cs="Arial"/>
                <w:color w:val="2D3136"/>
                <w:sz w:val="18"/>
                <w:szCs w:val="18"/>
              </w:rPr>
            </w:pPr>
            <w:r>
              <w:rPr>
                <w:rFonts w:cs="Arial"/>
                <w:color w:val="2D3136"/>
                <w:sz w:val="18"/>
                <w:szCs w:val="18"/>
              </w:rPr>
              <w:t>XXXX</w:t>
            </w:r>
          </w:p>
        </w:tc>
        <w:tc>
          <w:tcPr>
            <w:tcW w:w="3583" w:type="dxa"/>
            <w:noWrap/>
            <w:tcMar>
              <w:left w:w="57" w:type="dxa"/>
              <w:right w:w="57" w:type="dxa"/>
            </w:tcMar>
            <w:vAlign w:val="center"/>
            <w:hideMark/>
          </w:tcPr>
          <w:p w14:paraId="1D836486" w14:textId="77777777" w:rsidR="00576515" w:rsidRPr="00BF253C" w:rsidRDefault="00576515" w:rsidP="00BD36FC">
            <w:pPr>
              <w:spacing w:before="60" w:after="60"/>
              <w:jc w:val="left"/>
              <w:rPr>
                <w:rFonts w:cs="Arial"/>
                <w:color w:val="2D3136"/>
                <w:sz w:val="18"/>
                <w:szCs w:val="18"/>
              </w:rPr>
            </w:pPr>
            <w:r w:rsidRPr="00BF253C">
              <w:rPr>
                <w:rFonts w:cs="Arial"/>
                <w:color w:val="2D3136"/>
                <w:sz w:val="18"/>
                <w:szCs w:val="18"/>
              </w:rPr>
              <w:t>Hlavní inženýr</w:t>
            </w:r>
          </w:p>
        </w:tc>
        <w:tc>
          <w:tcPr>
            <w:tcW w:w="1283" w:type="dxa"/>
            <w:noWrap/>
            <w:tcMar>
              <w:left w:w="57" w:type="dxa"/>
              <w:right w:w="57" w:type="dxa"/>
            </w:tcMar>
            <w:vAlign w:val="center"/>
            <w:hideMark/>
          </w:tcPr>
          <w:p w14:paraId="54B43ABA" w14:textId="4A61B6F4"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c>
          <w:tcPr>
            <w:tcW w:w="2483" w:type="dxa"/>
            <w:noWrap/>
            <w:tcMar>
              <w:left w:w="57" w:type="dxa"/>
              <w:right w:w="57" w:type="dxa"/>
            </w:tcMar>
            <w:vAlign w:val="center"/>
            <w:hideMark/>
          </w:tcPr>
          <w:p w14:paraId="213DDE71" w14:textId="455E3153" w:rsidR="00576515" w:rsidRPr="00BF253C" w:rsidRDefault="004F48BF" w:rsidP="00BD36FC">
            <w:pPr>
              <w:spacing w:before="60" w:after="60"/>
              <w:jc w:val="center"/>
              <w:rPr>
                <w:rFonts w:cs="Arial"/>
                <w:color w:val="2D3136"/>
                <w:sz w:val="18"/>
                <w:szCs w:val="18"/>
              </w:rPr>
            </w:pPr>
            <w:r>
              <w:rPr>
                <w:rFonts w:cs="Arial"/>
                <w:color w:val="2D3136"/>
                <w:sz w:val="18"/>
                <w:szCs w:val="18"/>
              </w:rPr>
              <w:t>XXXX</w:t>
            </w:r>
          </w:p>
        </w:tc>
      </w:tr>
    </w:tbl>
    <w:p w14:paraId="14354A1C" w14:textId="77777777" w:rsidR="00576515" w:rsidRPr="00BF253C" w:rsidRDefault="00576515" w:rsidP="00BD36FC">
      <w:pPr>
        <w:keepNext/>
        <w:spacing w:before="240" w:after="60"/>
        <w:jc w:val="left"/>
        <w:outlineLvl w:val="0"/>
        <w:rPr>
          <w:rFonts w:cs="Arial"/>
          <w:iCs/>
        </w:rPr>
      </w:pPr>
      <w:bookmarkStart w:id="36" w:name="_Toc442954202"/>
      <w:bookmarkStart w:id="37" w:name="_Toc443039588"/>
      <w:bookmarkStart w:id="38" w:name="_Toc498429470"/>
      <w:bookmarkStart w:id="39" w:name="_Toc506899306"/>
      <w:r w:rsidRPr="00BF253C">
        <w:rPr>
          <w:rFonts w:cs="Arial"/>
          <w:iCs/>
        </w:rPr>
        <w:t>Realizační tým</w:t>
      </w:r>
      <w:bookmarkEnd w:id="36"/>
      <w:bookmarkEnd w:id="37"/>
      <w:bookmarkEnd w:id="38"/>
      <w:bookmarkEnd w:id="39"/>
    </w:p>
    <w:tbl>
      <w:tblPr>
        <w:tblStyle w:val="Tabulkasmkou4zvraznn11"/>
        <w:tblW w:w="9387" w:type="dxa"/>
        <w:tblInd w:w="113" w:type="dxa"/>
        <w:tblLayout w:type="fixed"/>
        <w:tblCellMar>
          <w:left w:w="57" w:type="dxa"/>
          <w:right w:w="57" w:type="dxa"/>
        </w:tblCellMar>
        <w:tblLook w:val="0420" w:firstRow="1" w:lastRow="0" w:firstColumn="0" w:lastColumn="0" w:noHBand="0" w:noVBand="1"/>
      </w:tblPr>
      <w:tblGrid>
        <w:gridCol w:w="946"/>
        <w:gridCol w:w="1063"/>
        <w:gridCol w:w="3612"/>
        <w:gridCol w:w="1269"/>
        <w:gridCol w:w="2497"/>
      </w:tblGrid>
      <w:tr w:rsidR="00576515" w:rsidRPr="00BF253C" w14:paraId="110B769A" w14:textId="77777777" w:rsidTr="00A50464">
        <w:trPr>
          <w:cnfStyle w:val="100000000000" w:firstRow="1" w:lastRow="0" w:firstColumn="0" w:lastColumn="0" w:oddVBand="0" w:evenVBand="0" w:oddHBand="0" w:evenHBand="0" w:firstRowFirstColumn="0" w:firstRowLastColumn="0" w:lastRowFirstColumn="0" w:lastRowLastColumn="0"/>
          <w:trHeight w:val="10"/>
        </w:trPr>
        <w:tc>
          <w:tcPr>
            <w:tcW w:w="946" w:type="dxa"/>
            <w:noWrap/>
            <w:vAlign w:val="center"/>
            <w:hideMark/>
          </w:tcPr>
          <w:p w14:paraId="5B68DFB3" w14:textId="77777777" w:rsidR="00576515" w:rsidRPr="00BF253C" w:rsidRDefault="00576515" w:rsidP="00BD36FC">
            <w:pPr>
              <w:spacing w:before="60" w:after="60"/>
              <w:jc w:val="center"/>
              <w:rPr>
                <w:rFonts w:cs="Arial"/>
                <w:sz w:val="18"/>
                <w:szCs w:val="18"/>
              </w:rPr>
            </w:pPr>
            <w:r w:rsidRPr="00BF253C">
              <w:rPr>
                <w:rFonts w:cs="Arial"/>
                <w:sz w:val="18"/>
                <w:szCs w:val="18"/>
              </w:rPr>
              <w:t>Jméno</w:t>
            </w:r>
          </w:p>
        </w:tc>
        <w:tc>
          <w:tcPr>
            <w:tcW w:w="1063" w:type="dxa"/>
            <w:noWrap/>
            <w:vAlign w:val="center"/>
            <w:hideMark/>
          </w:tcPr>
          <w:p w14:paraId="615AB376" w14:textId="77777777" w:rsidR="00576515" w:rsidRPr="00BF253C" w:rsidRDefault="00576515" w:rsidP="00BD36FC">
            <w:pPr>
              <w:spacing w:before="60" w:after="60"/>
              <w:jc w:val="center"/>
              <w:rPr>
                <w:rFonts w:cs="Arial"/>
                <w:sz w:val="18"/>
                <w:szCs w:val="18"/>
              </w:rPr>
            </w:pPr>
            <w:r w:rsidRPr="00BF253C">
              <w:rPr>
                <w:rFonts w:cs="Arial"/>
                <w:sz w:val="18"/>
                <w:szCs w:val="18"/>
              </w:rPr>
              <w:t>Příjmení</w:t>
            </w:r>
          </w:p>
        </w:tc>
        <w:tc>
          <w:tcPr>
            <w:tcW w:w="3612" w:type="dxa"/>
            <w:noWrap/>
            <w:vAlign w:val="center"/>
            <w:hideMark/>
          </w:tcPr>
          <w:p w14:paraId="6FA3A31C" w14:textId="77777777" w:rsidR="00576515" w:rsidRPr="00BF253C" w:rsidRDefault="00576515" w:rsidP="00BD36FC">
            <w:pPr>
              <w:spacing w:before="60" w:after="60"/>
              <w:jc w:val="center"/>
              <w:rPr>
                <w:rFonts w:cs="Arial"/>
                <w:sz w:val="18"/>
                <w:szCs w:val="18"/>
              </w:rPr>
            </w:pPr>
            <w:r w:rsidRPr="00BF253C">
              <w:rPr>
                <w:rFonts w:cs="Arial"/>
                <w:sz w:val="18"/>
                <w:szCs w:val="18"/>
              </w:rPr>
              <w:t>Funkce</w:t>
            </w:r>
          </w:p>
        </w:tc>
        <w:tc>
          <w:tcPr>
            <w:tcW w:w="1269" w:type="dxa"/>
            <w:noWrap/>
            <w:vAlign w:val="center"/>
            <w:hideMark/>
          </w:tcPr>
          <w:p w14:paraId="73B562ED" w14:textId="77777777" w:rsidR="00576515" w:rsidRPr="00BF253C" w:rsidRDefault="00576515" w:rsidP="00BD36FC">
            <w:pPr>
              <w:spacing w:before="60" w:after="60"/>
              <w:jc w:val="center"/>
              <w:rPr>
                <w:rFonts w:cs="Arial"/>
                <w:sz w:val="18"/>
                <w:szCs w:val="18"/>
              </w:rPr>
            </w:pPr>
            <w:r w:rsidRPr="00BF253C">
              <w:rPr>
                <w:rFonts w:cs="Arial"/>
                <w:sz w:val="18"/>
                <w:szCs w:val="18"/>
              </w:rPr>
              <w:t>Telefon</w:t>
            </w:r>
          </w:p>
        </w:tc>
        <w:tc>
          <w:tcPr>
            <w:tcW w:w="2497" w:type="dxa"/>
            <w:noWrap/>
            <w:vAlign w:val="center"/>
            <w:hideMark/>
          </w:tcPr>
          <w:p w14:paraId="10A124BF" w14:textId="77777777" w:rsidR="00576515" w:rsidRPr="00BF253C" w:rsidRDefault="00576515" w:rsidP="00BD36FC">
            <w:pPr>
              <w:spacing w:before="60" w:after="60"/>
              <w:jc w:val="center"/>
              <w:rPr>
                <w:rFonts w:cs="Arial"/>
                <w:sz w:val="18"/>
                <w:szCs w:val="18"/>
              </w:rPr>
            </w:pPr>
            <w:r w:rsidRPr="00BF253C">
              <w:rPr>
                <w:rFonts w:cs="Arial"/>
                <w:sz w:val="18"/>
                <w:szCs w:val="18"/>
              </w:rPr>
              <w:t>E-mail</w:t>
            </w:r>
          </w:p>
        </w:tc>
      </w:tr>
      <w:tr w:rsidR="004F48BF" w:rsidRPr="00BF253C" w14:paraId="0E27558A" w14:textId="77777777" w:rsidTr="000A3A3D">
        <w:trPr>
          <w:cnfStyle w:val="000000100000" w:firstRow="0" w:lastRow="0" w:firstColumn="0" w:lastColumn="0" w:oddVBand="0" w:evenVBand="0" w:oddHBand="1" w:evenHBand="0" w:firstRowFirstColumn="0" w:firstRowLastColumn="0" w:lastRowFirstColumn="0" w:lastRowLastColumn="0"/>
          <w:trHeight w:val="200"/>
        </w:trPr>
        <w:tc>
          <w:tcPr>
            <w:tcW w:w="946" w:type="dxa"/>
            <w:noWrap/>
            <w:hideMark/>
          </w:tcPr>
          <w:p w14:paraId="7FD1A2CC" w14:textId="72A98DA1"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hideMark/>
          </w:tcPr>
          <w:p w14:paraId="285F566F" w14:textId="2D5DA495"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vAlign w:val="center"/>
            <w:hideMark/>
          </w:tcPr>
          <w:p w14:paraId="6C83B092" w14:textId="1F6A3999" w:rsidR="004F48BF" w:rsidRPr="00BF253C" w:rsidRDefault="004F48BF" w:rsidP="004F48BF">
            <w:pPr>
              <w:autoSpaceDE w:val="0"/>
              <w:autoSpaceDN w:val="0"/>
              <w:adjustRightInd w:val="0"/>
              <w:spacing w:before="60" w:after="60"/>
              <w:jc w:val="left"/>
              <w:rPr>
                <w:rFonts w:cs="Arial"/>
                <w:sz w:val="18"/>
                <w:szCs w:val="18"/>
              </w:rPr>
            </w:pPr>
            <w:r>
              <w:rPr>
                <w:rFonts w:cs="Arial"/>
                <w:sz w:val="18"/>
                <w:szCs w:val="18"/>
              </w:rPr>
              <w:t>Technický ředitel</w:t>
            </w:r>
          </w:p>
          <w:p w14:paraId="1319BF7D" w14:textId="0DA84842" w:rsidR="004F48BF" w:rsidRPr="00BF253C" w:rsidRDefault="004F48BF" w:rsidP="004F48BF">
            <w:pPr>
              <w:autoSpaceDE w:val="0"/>
              <w:autoSpaceDN w:val="0"/>
              <w:adjustRightInd w:val="0"/>
              <w:spacing w:before="60" w:after="60"/>
              <w:jc w:val="left"/>
              <w:rPr>
                <w:rFonts w:cs="Arial"/>
                <w:sz w:val="18"/>
                <w:szCs w:val="18"/>
              </w:rPr>
            </w:pPr>
          </w:p>
        </w:tc>
        <w:tc>
          <w:tcPr>
            <w:tcW w:w="1269" w:type="dxa"/>
            <w:noWrap/>
            <w:hideMark/>
          </w:tcPr>
          <w:p w14:paraId="5DD3C7FE" w14:textId="72F909BD"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hideMark/>
          </w:tcPr>
          <w:p w14:paraId="20AC5436" w14:textId="2D552F17" w:rsidR="004F48BF" w:rsidRPr="002E24D3" w:rsidRDefault="004F48BF" w:rsidP="004F48BF">
            <w:pPr>
              <w:spacing w:before="60" w:after="60"/>
              <w:jc w:val="center"/>
              <w:rPr>
                <w:rFonts w:cs="Arial"/>
                <w:color w:val="2D3136"/>
                <w:sz w:val="18"/>
                <w:szCs w:val="18"/>
              </w:rPr>
            </w:pPr>
            <w:r w:rsidRPr="0010339B">
              <w:rPr>
                <w:rFonts w:cs="Arial"/>
                <w:color w:val="2D3136"/>
                <w:sz w:val="18"/>
                <w:szCs w:val="18"/>
              </w:rPr>
              <w:t>XXXX</w:t>
            </w:r>
          </w:p>
        </w:tc>
      </w:tr>
      <w:tr w:rsidR="004F48BF" w:rsidRPr="00BF253C" w14:paraId="42E287AE" w14:textId="77777777" w:rsidTr="000A3A3D">
        <w:trPr>
          <w:trHeight w:val="200"/>
        </w:trPr>
        <w:tc>
          <w:tcPr>
            <w:tcW w:w="946" w:type="dxa"/>
            <w:noWrap/>
          </w:tcPr>
          <w:p w14:paraId="04534AF6" w14:textId="5F946487" w:rsidR="004F48BF"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tcPr>
          <w:p w14:paraId="0A6F6C54" w14:textId="48D46036" w:rsidR="004F48BF"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vAlign w:val="center"/>
          </w:tcPr>
          <w:p w14:paraId="46232AC9" w14:textId="77777777" w:rsidR="004F48BF" w:rsidRDefault="004F48BF" w:rsidP="004F48BF">
            <w:pPr>
              <w:autoSpaceDE w:val="0"/>
              <w:autoSpaceDN w:val="0"/>
              <w:adjustRightInd w:val="0"/>
              <w:spacing w:before="60" w:after="60"/>
              <w:jc w:val="left"/>
              <w:rPr>
                <w:rFonts w:cs="Arial"/>
                <w:sz w:val="18"/>
                <w:szCs w:val="18"/>
              </w:rPr>
            </w:pPr>
            <w:r>
              <w:rPr>
                <w:rFonts w:cs="Arial"/>
                <w:sz w:val="18"/>
                <w:szCs w:val="18"/>
              </w:rPr>
              <w:t>Manažer realizace</w:t>
            </w:r>
            <w:r w:rsidRPr="00BF253C">
              <w:rPr>
                <w:rFonts w:cs="Arial"/>
                <w:sz w:val="18"/>
                <w:szCs w:val="18"/>
              </w:rPr>
              <w:t xml:space="preserve"> </w:t>
            </w:r>
          </w:p>
          <w:p w14:paraId="6F9B8564" w14:textId="08ABE956" w:rsidR="004F48BF" w:rsidRDefault="004F48BF" w:rsidP="004F48BF">
            <w:pPr>
              <w:autoSpaceDE w:val="0"/>
              <w:autoSpaceDN w:val="0"/>
              <w:adjustRightInd w:val="0"/>
              <w:spacing w:before="60" w:after="60"/>
              <w:jc w:val="left"/>
              <w:rPr>
                <w:rFonts w:cs="Arial"/>
                <w:sz w:val="18"/>
                <w:szCs w:val="18"/>
              </w:rPr>
            </w:pPr>
            <w:r w:rsidRPr="00BF253C">
              <w:rPr>
                <w:rFonts w:cs="Arial"/>
                <w:sz w:val="18"/>
                <w:szCs w:val="18"/>
              </w:rPr>
              <w:t>Oprávněná osoba ve věcech technických</w:t>
            </w:r>
          </w:p>
        </w:tc>
        <w:tc>
          <w:tcPr>
            <w:tcW w:w="1269" w:type="dxa"/>
            <w:noWrap/>
          </w:tcPr>
          <w:p w14:paraId="3C5933FB" w14:textId="6F0BFEC2" w:rsidR="004F48BF" w:rsidRPr="002E24D3"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tcPr>
          <w:p w14:paraId="452BF854" w14:textId="6433BCFF" w:rsidR="004F48BF" w:rsidRPr="002E24D3" w:rsidRDefault="004F48BF" w:rsidP="004F48BF">
            <w:pPr>
              <w:spacing w:before="60" w:after="60"/>
              <w:jc w:val="center"/>
              <w:rPr>
                <w:rFonts w:cs="Arial"/>
                <w:color w:val="2D3136"/>
                <w:sz w:val="18"/>
                <w:szCs w:val="18"/>
              </w:rPr>
            </w:pPr>
            <w:r w:rsidRPr="0010339B">
              <w:rPr>
                <w:rFonts w:cs="Arial"/>
                <w:color w:val="2D3136"/>
                <w:sz w:val="18"/>
                <w:szCs w:val="18"/>
              </w:rPr>
              <w:t>XXXX</w:t>
            </w:r>
          </w:p>
        </w:tc>
      </w:tr>
      <w:tr w:rsidR="004F48BF" w:rsidRPr="00BF253C" w14:paraId="6AEAA2A7" w14:textId="77777777" w:rsidTr="000A3A3D">
        <w:trPr>
          <w:cnfStyle w:val="000000100000" w:firstRow="0" w:lastRow="0" w:firstColumn="0" w:lastColumn="0" w:oddVBand="0" w:evenVBand="0" w:oddHBand="1" w:evenHBand="0" w:firstRowFirstColumn="0" w:firstRowLastColumn="0" w:lastRowFirstColumn="0" w:lastRowLastColumn="0"/>
          <w:trHeight w:val="18"/>
        </w:trPr>
        <w:tc>
          <w:tcPr>
            <w:tcW w:w="946" w:type="dxa"/>
            <w:noWrap/>
          </w:tcPr>
          <w:p w14:paraId="16095245" w14:textId="19164303"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tcPr>
          <w:p w14:paraId="7EA5F150" w14:textId="25B51779"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noWrap/>
            <w:vAlign w:val="center"/>
          </w:tcPr>
          <w:p w14:paraId="3F277882" w14:textId="78417FEF" w:rsidR="004F48BF" w:rsidRPr="00BF253C" w:rsidRDefault="004F48BF" w:rsidP="004F48BF">
            <w:pPr>
              <w:autoSpaceDE w:val="0"/>
              <w:autoSpaceDN w:val="0"/>
              <w:adjustRightInd w:val="0"/>
              <w:spacing w:before="60" w:after="60"/>
              <w:jc w:val="left"/>
              <w:rPr>
                <w:rFonts w:cs="Arial"/>
                <w:sz w:val="18"/>
                <w:szCs w:val="18"/>
              </w:rPr>
            </w:pPr>
            <w:r>
              <w:rPr>
                <w:rFonts w:cs="Arial"/>
                <w:sz w:val="18"/>
                <w:szCs w:val="18"/>
              </w:rPr>
              <w:t>Manažer projektového týmu</w:t>
            </w:r>
          </w:p>
        </w:tc>
        <w:tc>
          <w:tcPr>
            <w:tcW w:w="1269" w:type="dxa"/>
            <w:noWrap/>
          </w:tcPr>
          <w:p w14:paraId="6846E32C" w14:textId="45D7F3DA"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tcPr>
          <w:p w14:paraId="028607EC" w14:textId="3382057A"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r>
      <w:tr w:rsidR="004F48BF" w:rsidRPr="00BF253C" w14:paraId="795ACEA8" w14:textId="77777777" w:rsidTr="000A3A3D">
        <w:trPr>
          <w:trHeight w:val="18"/>
        </w:trPr>
        <w:tc>
          <w:tcPr>
            <w:tcW w:w="946" w:type="dxa"/>
            <w:noWrap/>
          </w:tcPr>
          <w:p w14:paraId="4B589460" w14:textId="026AAABF" w:rsidR="004F48BF"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tcPr>
          <w:p w14:paraId="20410177" w14:textId="021B4157" w:rsidR="004F48BF"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noWrap/>
            <w:vAlign w:val="center"/>
          </w:tcPr>
          <w:p w14:paraId="78E1FCDB" w14:textId="08580DDB" w:rsidR="004F48BF" w:rsidRDefault="004F48BF" w:rsidP="004F48BF">
            <w:pPr>
              <w:autoSpaceDE w:val="0"/>
              <w:autoSpaceDN w:val="0"/>
              <w:adjustRightInd w:val="0"/>
              <w:spacing w:before="60" w:after="60"/>
              <w:jc w:val="left"/>
              <w:rPr>
                <w:rFonts w:cs="Arial"/>
                <w:sz w:val="18"/>
                <w:szCs w:val="18"/>
              </w:rPr>
            </w:pPr>
            <w:r>
              <w:rPr>
                <w:rFonts w:cs="Arial"/>
                <w:sz w:val="18"/>
                <w:szCs w:val="18"/>
              </w:rPr>
              <w:t>Projektový manažer</w:t>
            </w:r>
          </w:p>
        </w:tc>
        <w:tc>
          <w:tcPr>
            <w:tcW w:w="1269" w:type="dxa"/>
            <w:noWrap/>
          </w:tcPr>
          <w:p w14:paraId="10AE5A78" w14:textId="4CB4F92D" w:rsidR="004F48BF"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tcPr>
          <w:p w14:paraId="0BD15948" w14:textId="3BAB9ACB" w:rsidR="004F48BF"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r>
      <w:tr w:rsidR="004F48BF" w:rsidRPr="00BF253C" w14:paraId="3E31D474" w14:textId="77777777" w:rsidTr="000A3A3D">
        <w:trPr>
          <w:cnfStyle w:val="000000100000" w:firstRow="0" w:lastRow="0" w:firstColumn="0" w:lastColumn="0" w:oddVBand="0" w:evenVBand="0" w:oddHBand="1" w:evenHBand="0" w:firstRowFirstColumn="0" w:firstRowLastColumn="0" w:lastRowFirstColumn="0" w:lastRowLastColumn="0"/>
          <w:trHeight w:val="18"/>
        </w:trPr>
        <w:tc>
          <w:tcPr>
            <w:tcW w:w="946" w:type="dxa"/>
            <w:noWrap/>
          </w:tcPr>
          <w:p w14:paraId="466ECA2B" w14:textId="51251BC1"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tcPr>
          <w:p w14:paraId="234EBAF3" w14:textId="6AA661B9"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noWrap/>
            <w:vAlign w:val="center"/>
          </w:tcPr>
          <w:p w14:paraId="1E66C243" w14:textId="77777777" w:rsidR="004F48BF" w:rsidRPr="00BF253C" w:rsidRDefault="004F48BF" w:rsidP="004F48BF">
            <w:pPr>
              <w:spacing w:before="60" w:after="60"/>
              <w:jc w:val="left"/>
              <w:rPr>
                <w:rFonts w:cs="Arial"/>
                <w:color w:val="2D3136"/>
                <w:sz w:val="18"/>
                <w:szCs w:val="18"/>
              </w:rPr>
            </w:pPr>
            <w:r w:rsidRPr="00BF253C">
              <w:rPr>
                <w:rFonts w:cs="Arial"/>
                <w:color w:val="2D3136"/>
                <w:sz w:val="18"/>
                <w:szCs w:val="18"/>
              </w:rPr>
              <w:t>Hlavní stavbyvedoucí</w:t>
            </w:r>
          </w:p>
        </w:tc>
        <w:tc>
          <w:tcPr>
            <w:tcW w:w="1269" w:type="dxa"/>
            <w:noWrap/>
          </w:tcPr>
          <w:p w14:paraId="673750D7" w14:textId="55C8125B"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tcPr>
          <w:p w14:paraId="50253367" w14:textId="415E41C7"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r>
      <w:tr w:rsidR="004F48BF" w:rsidRPr="00BF253C" w14:paraId="5FFEDE67" w14:textId="77777777" w:rsidTr="000A3A3D">
        <w:trPr>
          <w:trHeight w:val="18"/>
        </w:trPr>
        <w:tc>
          <w:tcPr>
            <w:tcW w:w="946" w:type="dxa"/>
            <w:noWrap/>
          </w:tcPr>
          <w:p w14:paraId="18B03E69" w14:textId="6F8A3C56"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1063" w:type="dxa"/>
            <w:noWrap/>
          </w:tcPr>
          <w:p w14:paraId="3C56F492" w14:textId="71AC1036" w:rsidR="004F48BF" w:rsidRPr="00BF253C" w:rsidRDefault="004F48BF" w:rsidP="004F48BF">
            <w:pPr>
              <w:autoSpaceDE w:val="0"/>
              <w:autoSpaceDN w:val="0"/>
              <w:adjustRightInd w:val="0"/>
              <w:spacing w:before="60" w:after="60"/>
              <w:jc w:val="left"/>
              <w:rPr>
                <w:rFonts w:cs="Arial"/>
                <w:sz w:val="18"/>
                <w:szCs w:val="18"/>
              </w:rPr>
            </w:pPr>
            <w:r w:rsidRPr="005B3562">
              <w:rPr>
                <w:rFonts w:cs="Arial"/>
                <w:color w:val="2D3136"/>
                <w:sz w:val="18"/>
                <w:szCs w:val="18"/>
              </w:rPr>
              <w:t>XXXX</w:t>
            </w:r>
          </w:p>
        </w:tc>
        <w:tc>
          <w:tcPr>
            <w:tcW w:w="3612" w:type="dxa"/>
            <w:noWrap/>
            <w:vAlign w:val="center"/>
          </w:tcPr>
          <w:p w14:paraId="6EF1683E" w14:textId="77777777" w:rsidR="004F48BF" w:rsidRPr="00BF253C" w:rsidRDefault="004F48BF" w:rsidP="004F48BF">
            <w:pPr>
              <w:spacing w:before="60" w:after="60"/>
              <w:jc w:val="left"/>
              <w:rPr>
                <w:rFonts w:cs="Arial"/>
                <w:color w:val="2D3136"/>
                <w:sz w:val="18"/>
                <w:szCs w:val="18"/>
              </w:rPr>
            </w:pPr>
            <w:r w:rsidRPr="00BF253C">
              <w:rPr>
                <w:rFonts w:cs="Arial"/>
                <w:color w:val="2D3136"/>
                <w:sz w:val="18"/>
                <w:szCs w:val="18"/>
              </w:rPr>
              <w:t>Specialista odboru Realizace EPC a D&amp;B</w:t>
            </w:r>
          </w:p>
          <w:p w14:paraId="3E38FF3F" w14:textId="77777777" w:rsidR="004F48BF" w:rsidRPr="00BF253C" w:rsidRDefault="004F48BF" w:rsidP="004F48BF">
            <w:pPr>
              <w:spacing w:before="60" w:after="60"/>
              <w:jc w:val="left"/>
              <w:rPr>
                <w:rFonts w:cs="Arial"/>
                <w:color w:val="2D3136"/>
                <w:sz w:val="18"/>
                <w:szCs w:val="18"/>
              </w:rPr>
            </w:pPr>
            <w:r w:rsidRPr="00BF253C">
              <w:rPr>
                <w:rFonts w:cs="Arial"/>
                <w:color w:val="2D3136"/>
                <w:sz w:val="18"/>
                <w:szCs w:val="18"/>
              </w:rPr>
              <w:t>Oprávněná osoba ve věcech fakturačních</w:t>
            </w:r>
          </w:p>
        </w:tc>
        <w:tc>
          <w:tcPr>
            <w:tcW w:w="1269" w:type="dxa"/>
            <w:noWrap/>
          </w:tcPr>
          <w:p w14:paraId="2BA4DCF2" w14:textId="616DE204"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c>
          <w:tcPr>
            <w:tcW w:w="2497" w:type="dxa"/>
            <w:noWrap/>
          </w:tcPr>
          <w:p w14:paraId="6EBCE735" w14:textId="342A30C7" w:rsidR="004F48BF" w:rsidRPr="00BF253C" w:rsidRDefault="004F48BF" w:rsidP="004F48BF">
            <w:pPr>
              <w:autoSpaceDE w:val="0"/>
              <w:autoSpaceDN w:val="0"/>
              <w:adjustRightInd w:val="0"/>
              <w:spacing w:before="60" w:after="60"/>
              <w:jc w:val="center"/>
              <w:rPr>
                <w:rFonts w:cs="Arial"/>
                <w:sz w:val="18"/>
                <w:szCs w:val="18"/>
              </w:rPr>
            </w:pPr>
            <w:r w:rsidRPr="0010339B">
              <w:rPr>
                <w:rFonts w:cs="Arial"/>
                <w:color w:val="2D3136"/>
                <w:sz w:val="18"/>
                <w:szCs w:val="18"/>
              </w:rPr>
              <w:t>XXXX</w:t>
            </w:r>
          </w:p>
        </w:tc>
      </w:tr>
    </w:tbl>
    <w:p w14:paraId="4FA702E3" w14:textId="77777777" w:rsidR="00576515" w:rsidRPr="00BF253C" w:rsidRDefault="00576515" w:rsidP="00BD36FC">
      <w:pPr>
        <w:keepNext/>
        <w:spacing w:before="240" w:after="60"/>
        <w:jc w:val="left"/>
        <w:outlineLvl w:val="0"/>
        <w:rPr>
          <w:rFonts w:cs="Arial"/>
          <w:iCs/>
        </w:rPr>
      </w:pPr>
      <w:bookmarkStart w:id="40" w:name="_Toc442954203"/>
      <w:bookmarkStart w:id="41" w:name="_Toc443039589"/>
      <w:bookmarkStart w:id="42" w:name="_Toc498429471"/>
      <w:bookmarkStart w:id="43" w:name="_Toc506899307"/>
      <w:r w:rsidRPr="00BF253C">
        <w:rPr>
          <w:rFonts w:cs="Arial"/>
          <w:iCs/>
        </w:rPr>
        <w:t>Servisní tým</w:t>
      </w:r>
      <w:bookmarkEnd w:id="40"/>
      <w:bookmarkEnd w:id="41"/>
      <w:bookmarkEnd w:id="42"/>
      <w:bookmarkEnd w:id="43"/>
    </w:p>
    <w:tbl>
      <w:tblPr>
        <w:tblStyle w:val="Tabulkasmkou4zvraznn11"/>
        <w:tblW w:w="9384" w:type="dxa"/>
        <w:tblInd w:w="113" w:type="dxa"/>
        <w:tblLayout w:type="fixed"/>
        <w:tblCellMar>
          <w:left w:w="57" w:type="dxa"/>
          <w:right w:w="57" w:type="dxa"/>
        </w:tblCellMar>
        <w:tblLook w:val="0460" w:firstRow="1" w:lastRow="1" w:firstColumn="0" w:lastColumn="0" w:noHBand="0" w:noVBand="1"/>
      </w:tblPr>
      <w:tblGrid>
        <w:gridCol w:w="964"/>
        <w:gridCol w:w="1077"/>
        <w:gridCol w:w="3572"/>
        <w:gridCol w:w="1277"/>
        <w:gridCol w:w="2494"/>
      </w:tblGrid>
      <w:tr w:rsidR="00576515" w:rsidRPr="00BF253C" w14:paraId="720F8E07" w14:textId="77777777" w:rsidTr="00A50464">
        <w:trPr>
          <w:cnfStyle w:val="100000000000" w:firstRow="1" w:lastRow="0" w:firstColumn="0" w:lastColumn="0" w:oddVBand="0" w:evenVBand="0" w:oddHBand="0" w:evenHBand="0" w:firstRowFirstColumn="0" w:firstRowLastColumn="0" w:lastRowFirstColumn="0" w:lastRowLastColumn="0"/>
          <w:trHeight w:val="227"/>
        </w:trPr>
        <w:tc>
          <w:tcPr>
            <w:tcW w:w="964" w:type="dxa"/>
            <w:noWrap/>
            <w:vAlign w:val="center"/>
            <w:hideMark/>
          </w:tcPr>
          <w:p w14:paraId="5526A6C4" w14:textId="77777777" w:rsidR="00576515" w:rsidRPr="00BF253C" w:rsidRDefault="00576515" w:rsidP="00BD36FC">
            <w:pPr>
              <w:spacing w:before="60" w:after="60"/>
              <w:jc w:val="center"/>
              <w:rPr>
                <w:rFonts w:cs="Arial"/>
                <w:sz w:val="18"/>
                <w:szCs w:val="18"/>
              </w:rPr>
            </w:pPr>
            <w:r w:rsidRPr="00BF253C">
              <w:rPr>
                <w:rFonts w:cs="Arial"/>
                <w:sz w:val="18"/>
                <w:szCs w:val="18"/>
              </w:rPr>
              <w:t>Jméno</w:t>
            </w:r>
          </w:p>
        </w:tc>
        <w:tc>
          <w:tcPr>
            <w:tcW w:w="1077" w:type="dxa"/>
            <w:noWrap/>
            <w:vAlign w:val="center"/>
            <w:hideMark/>
          </w:tcPr>
          <w:p w14:paraId="46D8810C" w14:textId="77777777" w:rsidR="00576515" w:rsidRPr="00BF253C" w:rsidRDefault="00576515" w:rsidP="00BD36FC">
            <w:pPr>
              <w:spacing w:before="60" w:after="60"/>
              <w:jc w:val="center"/>
              <w:rPr>
                <w:rFonts w:cs="Arial"/>
                <w:sz w:val="18"/>
                <w:szCs w:val="18"/>
              </w:rPr>
            </w:pPr>
            <w:r w:rsidRPr="00BF253C">
              <w:rPr>
                <w:rFonts w:cs="Arial"/>
                <w:sz w:val="18"/>
                <w:szCs w:val="18"/>
              </w:rPr>
              <w:t>Příjmení</w:t>
            </w:r>
          </w:p>
        </w:tc>
        <w:tc>
          <w:tcPr>
            <w:tcW w:w="3572" w:type="dxa"/>
            <w:noWrap/>
            <w:vAlign w:val="center"/>
            <w:hideMark/>
          </w:tcPr>
          <w:p w14:paraId="7ADB8D03" w14:textId="77777777" w:rsidR="00576515" w:rsidRPr="00BF253C" w:rsidRDefault="00576515" w:rsidP="00BD36FC">
            <w:pPr>
              <w:spacing w:before="60" w:after="60"/>
              <w:jc w:val="center"/>
              <w:rPr>
                <w:rFonts w:cs="Arial"/>
                <w:sz w:val="18"/>
                <w:szCs w:val="18"/>
              </w:rPr>
            </w:pPr>
            <w:r w:rsidRPr="00BF253C">
              <w:rPr>
                <w:rFonts w:cs="Arial"/>
                <w:sz w:val="18"/>
                <w:szCs w:val="18"/>
              </w:rPr>
              <w:t>Funkce</w:t>
            </w:r>
          </w:p>
        </w:tc>
        <w:tc>
          <w:tcPr>
            <w:tcW w:w="1277" w:type="dxa"/>
            <w:noWrap/>
            <w:vAlign w:val="center"/>
            <w:hideMark/>
          </w:tcPr>
          <w:p w14:paraId="53BD9C42" w14:textId="77777777" w:rsidR="00576515" w:rsidRPr="00BF253C" w:rsidRDefault="00576515" w:rsidP="00BD36FC">
            <w:pPr>
              <w:spacing w:before="60" w:after="60"/>
              <w:jc w:val="center"/>
              <w:rPr>
                <w:rFonts w:cs="Arial"/>
                <w:sz w:val="18"/>
                <w:szCs w:val="18"/>
              </w:rPr>
            </w:pPr>
            <w:r w:rsidRPr="00BF253C">
              <w:rPr>
                <w:rFonts w:cs="Arial"/>
                <w:sz w:val="18"/>
                <w:szCs w:val="18"/>
              </w:rPr>
              <w:t>Telefon</w:t>
            </w:r>
          </w:p>
        </w:tc>
        <w:tc>
          <w:tcPr>
            <w:tcW w:w="2494" w:type="dxa"/>
            <w:noWrap/>
            <w:vAlign w:val="center"/>
            <w:hideMark/>
          </w:tcPr>
          <w:p w14:paraId="2C2066AC" w14:textId="77777777" w:rsidR="00576515" w:rsidRPr="00BF253C" w:rsidRDefault="00576515" w:rsidP="00BD36FC">
            <w:pPr>
              <w:spacing w:before="60" w:after="60"/>
              <w:jc w:val="center"/>
              <w:rPr>
                <w:rFonts w:cs="Arial"/>
                <w:sz w:val="18"/>
                <w:szCs w:val="18"/>
              </w:rPr>
            </w:pPr>
            <w:r w:rsidRPr="00BF253C">
              <w:rPr>
                <w:rFonts w:cs="Arial"/>
                <w:sz w:val="18"/>
                <w:szCs w:val="18"/>
              </w:rPr>
              <w:t>E-mail</w:t>
            </w:r>
          </w:p>
        </w:tc>
      </w:tr>
      <w:tr w:rsidR="004F48BF" w:rsidRPr="00BF253C" w14:paraId="701FD8AB" w14:textId="77777777" w:rsidTr="007A6E70">
        <w:trPr>
          <w:cnfStyle w:val="000000100000" w:firstRow="0" w:lastRow="0" w:firstColumn="0" w:lastColumn="0" w:oddVBand="0" w:evenVBand="0" w:oddHBand="1" w:evenHBand="0" w:firstRowFirstColumn="0" w:firstRowLastColumn="0" w:lastRowFirstColumn="0" w:lastRowLastColumn="0"/>
          <w:trHeight w:val="227"/>
        </w:trPr>
        <w:tc>
          <w:tcPr>
            <w:tcW w:w="964" w:type="dxa"/>
            <w:noWrap/>
          </w:tcPr>
          <w:p w14:paraId="59C88F90" w14:textId="7B7CBCEB" w:rsidR="004F48BF" w:rsidRPr="00BF253C" w:rsidRDefault="004F48BF" w:rsidP="004F48BF">
            <w:pPr>
              <w:spacing w:before="60" w:after="60"/>
              <w:jc w:val="left"/>
              <w:rPr>
                <w:rFonts w:cs="Arial"/>
                <w:sz w:val="18"/>
                <w:szCs w:val="18"/>
              </w:rPr>
            </w:pPr>
            <w:r w:rsidRPr="00AE6723">
              <w:rPr>
                <w:rFonts w:cs="Arial"/>
                <w:color w:val="2D3136"/>
                <w:sz w:val="18"/>
                <w:szCs w:val="18"/>
              </w:rPr>
              <w:t>XXXX</w:t>
            </w:r>
          </w:p>
        </w:tc>
        <w:tc>
          <w:tcPr>
            <w:tcW w:w="1077" w:type="dxa"/>
            <w:noWrap/>
          </w:tcPr>
          <w:p w14:paraId="7E386C3D" w14:textId="70AE2CCC" w:rsidR="004F48BF" w:rsidRPr="00BF253C" w:rsidRDefault="004F48BF" w:rsidP="004F48BF">
            <w:pPr>
              <w:spacing w:before="60" w:after="60"/>
              <w:jc w:val="left"/>
              <w:rPr>
                <w:rFonts w:cs="Arial"/>
                <w:sz w:val="18"/>
                <w:szCs w:val="18"/>
              </w:rPr>
            </w:pPr>
            <w:r w:rsidRPr="00AE6723">
              <w:rPr>
                <w:rFonts w:cs="Arial"/>
                <w:color w:val="2D3136"/>
                <w:sz w:val="18"/>
                <w:szCs w:val="18"/>
              </w:rPr>
              <w:t>XXXX</w:t>
            </w:r>
          </w:p>
        </w:tc>
        <w:tc>
          <w:tcPr>
            <w:tcW w:w="3572" w:type="dxa"/>
            <w:noWrap/>
            <w:vAlign w:val="center"/>
          </w:tcPr>
          <w:p w14:paraId="559D53B3" w14:textId="77777777" w:rsidR="004F48BF" w:rsidRPr="00BF253C" w:rsidRDefault="004F48BF" w:rsidP="004F48BF">
            <w:pPr>
              <w:spacing w:before="60" w:after="60"/>
              <w:jc w:val="left"/>
              <w:rPr>
                <w:rFonts w:cs="Arial"/>
                <w:sz w:val="18"/>
                <w:szCs w:val="18"/>
              </w:rPr>
            </w:pPr>
            <w:r w:rsidRPr="00BF253C">
              <w:rPr>
                <w:rFonts w:cs="Arial"/>
                <w:sz w:val="18"/>
                <w:szCs w:val="18"/>
              </w:rPr>
              <w:t>Vedoucí odboru Péče o zákazníka</w:t>
            </w:r>
          </w:p>
          <w:p w14:paraId="0FA0D777" w14:textId="77777777" w:rsidR="004F48BF" w:rsidRPr="00BF253C" w:rsidRDefault="004F48BF" w:rsidP="004F48BF">
            <w:pPr>
              <w:spacing w:before="60" w:after="60"/>
              <w:jc w:val="left"/>
              <w:rPr>
                <w:rFonts w:cs="Arial"/>
                <w:sz w:val="18"/>
                <w:szCs w:val="18"/>
              </w:rPr>
            </w:pPr>
            <w:r w:rsidRPr="00BF253C">
              <w:rPr>
                <w:rFonts w:cs="Arial"/>
                <w:sz w:val="18"/>
                <w:szCs w:val="18"/>
              </w:rPr>
              <w:t>Oprávněná osoba ve věcech provozních</w:t>
            </w:r>
          </w:p>
        </w:tc>
        <w:tc>
          <w:tcPr>
            <w:tcW w:w="1277" w:type="dxa"/>
            <w:noWrap/>
          </w:tcPr>
          <w:p w14:paraId="2876B71D" w14:textId="1E277AD7"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c>
          <w:tcPr>
            <w:tcW w:w="2494" w:type="dxa"/>
            <w:noWrap/>
          </w:tcPr>
          <w:p w14:paraId="6D5BA6EE" w14:textId="12236E45"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r>
      <w:tr w:rsidR="004F48BF" w:rsidRPr="00BF253C" w14:paraId="15DE73F4" w14:textId="77777777" w:rsidTr="007A6E70">
        <w:trPr>
          <w:trHeight w:val="227"/>
        </w:trPr>
        <w:tc>
          <w:tcPr>
            <w:tcW w:w="964" w:type="dxa"/>
            <w:noWrap/>
          </w:tcPr>
          <w:p w14:paraId="7CD347FB" w14:textId="6FDD9A91" w:rsidR="004F48BF" w:rsidRPr="00BF253C" w:rsidRDefault="004F48BF" w:rsidP="004F48BF">
            <w:pPr>
              <w:spacing w:before="60" w:after="60"/>
              <w:jc w:val="left"/>
              <w:rPr>
                <w:rFonts w:cs="Arial"/>
                <w:sz w:val="18"/>
                <w:szCs w:val="18"/>
              </w:rPr>
            </w:pPr>
            <w:r w:rsidRPr="00AE6723">
              <w:rPr>
                <w:rFonts w:cs="Arial"/>
                <w:color w:val="2D3136"/>
                <w:sz w:val="18"/>
                <w:szCs w:val="18"/>
              </w:rPr>
              <w:t>XXXX</w:t>
            </w:r>
          </w:p>
        </w:tc>
        <w:tc>
          <w:tcPr>
            <w:tcW w:w="1077" w:type="dxa"/>
            <w:noWrap/>
          </w:tcPr>
          <w:p w14:paraId="507D5C19" w14:textId="53D59065" w:rsidR="004F48BF" w:rsidRPr="00BF253C" w:rsidRDefault="004F48BF" w:rsidP="004F48BF">
            <w:pPr>
              <w:spacing w:before="60" w:after="60"/>
              <w:jc w:val="left"/>
              <w:rPr>
                <w:rFonts w:cs="Arial"/>
                <w:sz w:val="18"/>
                <w:szCs w:val="18"/>
              </w:rPr>
            </w:pPr>
            <w:r w:rsidRPr="00AE6723">
              <w:rPr>
                <w:rFonts w:cs="Arial"/>
                <w:color w:val="2D3136"/>
                <w:sz w:val="18"/>
                <w:szCs w:val="18"/>
              </w:rPr>
              <w:t>XXXX</w:t>
            </w:r>
          </w:p>
        </w:tc>
        <w:tc>
          <w:tcPr>
            <w:tcW w:w="3572" w:type="dxa"/>
            <w:vAlign w:val="center"/>
          </w:tcPr>
          <w:p w14:paraId="744304EB" w14:textId="77777777" w:rsidR="004F48BF" w:rsidRPr="00BF253C" w:rsidRDefault="004F48BF" w:rsidP="004F48BF">
            <w:pPr>
              <w:spacing w:before="60" w:after="60"/>
              <w:jc w:val="left"/>
              <w:rPr>
                <w:rFonts w:cs="Arial"/>
                <w:sz w:val="18"/>
                <w:szCs w:val="18"/>
              </w:rPr>
            </w:pPr>
            <w:r w:rsidRPr="00BF253C">
              <w:rPr>
                <w:rFonts w:cs="Arial"/>
                <w:sz w:val="18"/>
                <w:szCs w:val="18"/>
              </w:rPr>
              <w:t>Vedoucí skupiny Energetický management</w:t>
            </w:r>
          </w:p>
        </w:tc>
        <w:tc>
          <w:tcPr>
            <w:tcW w:w="1277" w:type="dxa"/>
            <w:noWrap/>
          </w:tcPr>
          <w:p w14:paraId="4A20A368" w14:textId="7F475933"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c>
          <w:tcPr>
            <w:tcW w:w="2494" w:type="dxa"/>
            <w:noWrap/>
          </w:tcPr>
          <w:p w14:paraId="6129A652" w14:textId="5500F1CE"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r>
      <w:tr w:rsidR="004F48BF" w:rsidRPr="00BF253C" w14:paraId="4A79AE0E" w14:textId="77777777" w:rsidTr="007A6E70">
        <w:trPr>
          <w:cnfStyle w:val="000000100000" w:firstRow="0" w:lastRow="0" w:firstColumn="0" w:lastColumn="0" w:oddVBand="0" w:evenVBand="0" w:oddHBand="1" w:evenHBand="0" w:firstRowFirstColumn="0" w:firstRowLastColumn="0" w:lastRowFirstColumn="0" w:lastRowLastColumn="0"/>
          <w:trHeight w:val="227"/>
        </w:trPr>
        <w:tc>
          <w:tcPr>
            <w:tcW w:w="964" w:type="dxa"/>
            <w:noWrap/>
            <w:vAlign w:val="center"/>
          </w:tcPr>
          <w:p w14:paraId="12131B27" w14:textId="77777777" w:rsidR="004F48BF" w:rsidRPr="00BF253C" w:rsidRDefault="004F48BF" w:rsidP="004F48BF">
            <w:pPr>
              <w:autoSpaceDE w:val="0"/>
              <w:autoSpaceDN w:val="0"/>
              <w:adjustRightInd w:val="0"/>
              <w:spacing w:before="60" w:after="60"/>
              <w:jc w:val="left"/>
              <w:rPr>
                <w:rFonts w:cs="Arial"/>
                <w:sz w:val="18"/>
                <w:szCs w:val="18"/>
              </w:rPr>
            </w:pPr>
          </w:p>
        </w:tc>
        <w:tc>
          <w:tcPr>
            <w:tcW w:w="1077" w:type="dxa"/>
            <w:noWrap/>
            <w:vAlign w:val="center"/>
          </w:tcPr>
          <w:p w14:paraId="020573E6" w14:textId="77777777" w:rsidR="004F48BF" w:rsidRPr="00BF253C" w:rsidRDefault="004F48BF" w:rsidP="004F48BF">
            <w:pPr>
              <w:autoSpaceDE w:val="0"/>
              <w:autoSpaceDN w:val="0"/>
              <w:adjustRightInd w:val="0"/>
              <w:spacing w:before="60" w:after="60"/>
              <w:jc w:val="left"/>
              <w:rPr>
                <w:rFonts w:cs="Arial"/>
                <w:sz w:val="18"/>
                <w:szCs w:val="18"/>
              </w:rPr>
            </w:pPr>
          </w:p>
        </w:tc>
        <w:tc>
          <w:tcPr>
            <w:tcW w:w="3572" w:type="dxa"/>
            <w:noWrap/>
            <w:vAlign w:val="center"/>
          </w:tcPr>
          <w:p w14:paraId="263BF208" w14:textId="77777777" w:rsidR="004F48BF" w:rsidRPr="00BF253C" w:rsidRDefault="004F48BF" w:rsidP="004F48BF">
            <w:pPr>
              <w:autoSpaceDE w:val="0"/>
              <w:autoSpaceDN w:val="0"/>
              <w:adjustRightInd w:val="0"/>
              <w:spacing w:before="60" w:after="60"/>
              <w:jc w:val="left"/>
              <w:rPr>
                <w:rFonts w:cs="Arial"/>
                <w:b/>
                <w:bCs/>
                <w:sz w:val="18"/>
                <w:szCs w:val="18"/>
              </w:rPr>
            </w:pPr>
            <w:r w:rsidRPr="00BF253C">
              <w:rPr>
                <w:rFonts w:cs="Arial"/>
                <w:b/>
                <w:bCs/>
                <w:sz w:val="18"/>
                <w:szCs w:val="18"/>
              </w:rPr>
              <w:t>Reklamace</w:t>
            </w:r>
          </w:p>
        </w:tc>
        <w:tc>
          <w:tcPr>
            <w:tcW w:w="1277" w:type="dxa"/>
            <w:noWrap/>
          </w:tcPr>
          <w:p w14:paraId="64C0EE94" w14:textId="6F35FBAD" w:rsidR="004F48BF" w:rsidRPr="00BF253C" w:rsidRDefault="004F48BF" w:rsidP="004F48BF">
            <w:pPr>
              <w:autoSpaceDE w:val="0"/>
              <w:autoSpaceDN w:val="0"/>
              <w:adjustRightInd w:val="0"/>
              <w:spacing w:before="60" w:after="60"/>
              <w:jc w:val="center"/>
              <w:rPr>
                <w:rFonts w:cs="Arial"/>
                <w:sz w:val="18"/>
                <w:szCs w:val="18"/>
              </w:rPr>
            </w:pPr>
            <w:r w:rsidRPr="000108FB">
              <w:rPr>
                <w:rFonts w:cs="Arial"/>
                <w:color w:val="2D3136"/>
                <w:sz w:val="18"/>
                <w:szCs w:val="18"/>
              </w:rPr>
              <w:t>XXXX</w:t>
            </w:r>
          </w:p>
        </w:tc>
        <w:tc>
          <w:tcPr>
            <w:tcW w:w="2494" w:type="dxa"/>
            <w:noWrap/>
          </w:tcPr>
          <w:p w14:paraId="588D9428" w14:textId="39C8A411" w:rsidR="004F48BF" w:rsidRPr="00BF253C" w:rsidRDefault="004F48BF" w:rsidP="004F48BF">
            <w:pPr>
              <w:autoSpaceDE w:val="0"/>
              <w:autoSpaceDN w:val="0"/>
              <w:adjustRightInd w:val="0"/>
              <w:spacing w:before="60" w:after="60"/>
              <w:jc w:val="center"/>
              <w:rPr>
                <w:rFonts w:cs="Arial"/>
                <w:sz w:val="18"/>
                <w:szCs w:val="18"/>
              </w:rPr>
            </w:pPr>
            <w:r w:rsidRPr="000108FB">
              <w:rPr>
                <w:rFonts w:cs="Arial"/>
                <w:color w:val="2D3136"/>
                <w:sz w:val="18"/>
                <w:szCs w:val="18"/>
              </w:rPr>
              <w:t>XXXX</w:t>
            </w:r>
          </w:p>
        </w:tc>
      </w:tr>
      <w:tr w:rsidR="004F48BF" w:rsidRPr="00BF253C" w14:paraId="293CA1FA" w14:textId="77777777" w:rsidTr="007A6E70">
        <w:trPr>
          <w:trHeight w:val="227"/>
        </w:trPr>
        <w:tc>
          <w:tcPr>
            <w:tcW w:w="964" w:type="dxa"/>
            <w:noWrap/>
            <w:vAlign w:val="center"/>
          </w:tcPr>
          <w:p w14:paraId="39171BAA" w14:textId="77777777" w:rsidR="004F48BF" w:rsidRPr="00BF253C" w:rsidRDefault="004F48BF" w:rsidP="004F48BF">
            <w:pPr>
              <w:spacing w:before="60" w:after="60"/>
              <w:jc w:val="left"/>
              <w:rPr>
                <w:rFonts w:cs="Arial"/>
                <w:b/>
                <w:bCs/>
                <w:sz w:val="18"/>
                <w:szCs w:val="18"/>
              </w:rPr>
            </w:pPr>
          </w:p>
        </w:tc>
        <w:tc>
          <w:tcPr>
            <w:tcW w:w="1077" w:type="dxa"/>
            <w:noWrap/>
            <w:vAlign w:val="center"/>
          </w:tcPr>
          <w:p w14:paraId="468D14A9" w14:textId="77777777" w:rsidR="004F48BF" w:rsidRPr="00BF253C" w:rsidRDefault="004F48BF" w:rsidP="004F48BF">
            <w:pPr>
              <w:spacing w:before="60" w:after="60"/>
              <w:jc w:val="left"/>
              <w:rPr>
                <w:rFonts w:cs="Arial"/>
                <w:b/>
                <w:bCs/>
                <w:sz w:val="18"/>
                <w:szCs w:val="18"/>
              </w:rPr>
            </w:pPr>
          </w:p>
        </w:tc>
        <w:tc>
          <w:tcPr>
            <w:tcW w:w="3572" w:type="dxa"/>
            <w:vAlign w:val="center"/>
          </w:tcPr>
          <w:p w14:paraId="2D5E714F" w14:textId="391FFFF0" w:rsidR="004F48BF" w:rsidRPr="00BF253C" w:rsidRDefault="004F48BF" w:rsidP="004F48BF">
            <w:pPr>
              <w:spacing w:before="60" w:after="60"/>
              <w:jc w:val="left"/>
              <w:rPr>
                <w:rFonts w:cs="Arial"/>
                <w:b/>
                <w:bCs/>
                <w:sz w:val="18"/>
                <w:szCs w:val="18"/>
              </w:rPr>
            </w:pPr>
            <w:r w:rsidRPr="00BF253C">
              <w:rPr>
                <w:rFonts w:cs="Arial"/>
                <w:b/>
                <w:bCs/>
                <w:sz w:val="18"/>
                <w:szCs w:val="18"/>
              </w:rPr>
              <w:t xml:space="preserve">Zasílání údajů </w:t>
            </w:r>
            <w:r>
              <w:rPr>
                <w:rFonts w:cs="Arial"/>
                <w:b/>
                <w:bCs/>
                <w:sz w:val="18"/>
                <w:szCs w:val="18"/>
              </w:rPr>
              <w:t xml:space="preserve">požadovaných dle </w:t>
            </w:r>
            <w:r w:rsidRPr="00BF253C">
              <w:rPr>
                <w:rFonts w:cs="Arial"/>
                <w:b/>
                <w:bCs/>
                <w:sz w:val="18"/>
                <w:szCs w:val="18"/>
              </w:rPr>
              <w:t>Přílo</w:t>
            </w:r>
            <w:r>
              <w:rPr>
                <w:rFonts w:cs="Arial"/>
                <w:b/>
                <w:bCs/>
                <w:sz w:val="18"/>
                <w:szCs w:val="18"/>
              </w:rPr>
              <w:t>hy</w:t>
            </w:r>
            <w:r w:rsidRPr="00BF253C">
              <w:rPr>
                <w:rFonts w:cs="Arial"/>
                <w:b/>
                <w:bCs/>
                <w:sz w:val="18"/>
                <w:szCs w:val="18"/>
              </w:rPr>
              <w:t xml:space="preserve"> č.7</w:t>
            </w:r>
          </w:p>
        </w:tc>
        <w:tc>
          <w:tcPr>
            <w:tcW w:w="1277" w:type="dxa"/>
            <w:noWrap/>
          </w:tcPr>
          <w:p w14:paraId="1B2DBC58" w14:textId="05050952" w:rsidR="004F48BF" w:rsidRPr="00BF253C" w:rsidRDefault="004F48BF" w:rsidP="004F48BF">
            <w:pPr>
              <w:spacing w:before="60" w:after="60"/>
              <w:jc w:val="center"/>
              <w:rPr>
                <w:rFonts w:cs="Arial"/>
                <w:b/>
                <w:bCs/>
                <w:sz w:val="18"/>
                <w:szCs w:val="18"/>
              </w:rPr>
            </w:pPr>
            <w:r w:rsidRPr="000108FB">
              <w:rPr>
                <w:rFonts w:cs="Arial"/>
                <w:color w:val="2D3136"/>
                <w:sz w:val="18"/>
                <w:szCs w:val="18"/>
              </w:rPr>
              <w:t>XXXX</w:t>
            </w:r>
          </w:p>
        </w:tc>
        <w:tc>
          <w:tcPr>
            <w:tcW w:w="2494" w:type="dxa"/>
            <w:noWrap/>
          </w:tcPr>
          <w:p w14:paraId="449F2AE0" w14:textId="13CB041D" w:rsidR="004F48BF" w:rsidRPr="00BF253C" w:rsidRDefault="004F48BF" w:rsidP="004F48BF">
            <w:pPr>
              <w:spacing w:before="60" w:after="60"/>
              <w:jc w:val="center"/>
              <w:rPr>
                <w:rFonts w:cs="Arial"/>
                <w:b/>
                <w:bCs/>
                <w:sz w:val="18"/>
                <w:szCs w:val="18"/>
              </w:rPr>
            </w:pPr>
            <w:r w:rsidRPr="000108FB">
              <w:rPr>
                <w:rFonts w:cs="Arial"/>
                <w:color w:val="2D3136"/>
                <w:sz w:val="18"/>
                <w:szCs w:val="18"/>
              </w:rPr>
              <w:t>XXXX</w:t>
            </w:r>
          </w:p>
        </w:tc>
      </w:tr>
      <w:tr w:rsidR="004F48BF" w:rsidRPr="00BF253C" w14:paraId="32E9EB52" w14:textId="77777777" w:rsidTr="007A6E70">
        <w:trPr>
          <w:cnfStyle w:val="010000000000" w:firstRow="0" w:lastRow="1" w:firstColumn="0" w:lastColumn="0" w:oddVBand="0" w:evenVBand="0" w:oddHBand="0" w:evenHBand="0" w:firstRowFirstColumn="0" w:firstRowLastColumn="0" w:lastRowFirstColumn="0" w:lastRowLastColumn="0"/>
          <w:trHeight w:val="227"/>
        </w:trPr>
        <w:tc>
          <w:tcPr>
            <w:tcW w:w="964" w:type="dxa"/>
            <w:noWrap/>
            <w:vAlign w:val="center"/>
            <w:hideMark/>
          </w:tcPr>
          <w:p w14:paraId="161EBC0E" w14:textId="77777777" w:rsidR="004F48BF" w:rsidRPr="00BF253C" w:rsidRDefault="004F48BF" w:rsidP="004F48BF">
            <w:pPr>
              <w:spacing w:before="60" w:after="60"/>
              <w:jc w:val="left"/>
              <w:rPr>
                <w:rFonts w:cs="Arial"/>
                <w:sz w:val="18"/>
                <w:szCs w:val="18"/>
              </w:rPr>
            </w:pPr>
            <w:r w:rsidRPr="00BF253C">
              <w:rPr>
                <w:rFonts w:cs="Arial"/>
                <w:sz w:val="18"/>
                <w:szCs w:val="18"/>
              </w:rPr>
              <w:t> </w:t>
            </w:r>
          </w:p>
        </w:tc>
        <w:tc>
          <w:tcPr>
            <w:tcW w:w="1077" w:type="dxa"/>
            <w:noWrap/>
            <w:vAlign w:val="center"/>
            <w:hideMark/>
          </w:tcPr>
          <w:p w14:paraId="34211C76" w14:textId="77777777" w:rsidR="004F48BF" w:rsidRPr="00BF253C" w:rsidRDefault="004F48BF" w:rsidP="004F48BF">
            <w:pPr>
              <w:spacing w:before="60" w:after="60"/>
              <w:jc w:val="left"/>
              <w:rPr>
                <w:rFonts w:cs="Arial"/>
                <w:sz w:val="18"/>
                <w:szCs w:val="18"/>
              </w:rPr>
            </w:pPr>
            <w:r w:rsidRPr="00BF253C">
              <w:rPr>
                <w:rFonts w:cs="Arial"/>
                <w:sz w:val="18"/>
                <w:szCs w:val="18"/>
              </w:rPr>
              <w:t> </w:t>
            </w:r>
          </w:p>
        </w:tc>
        <w:tc>
          <w:tcPr>
            <w:tcW w:w="3572" w:type="dxa"/>
            <w:vAlign w:val="center"/>
            <w:hideMark/>
          </w:tcPr>
          <w:p w14:paraId="754D9742" w14:textId="77777777" w:rsidR="004F48BF" w:rsidRPr="00BF253C" w:rsidRDefault="004F48BF" w:rsidP="004F48BF">
            <w:pPr>
              <w:spacing w:before="60" w:after="60"/>
              <w:jc w:val="left"/>
              <w:rPr>
                <w:rFonts w:cs="Arial"/>
                <w:sz w:val="18"/>
                <w:szCs w:val="18"/>
              </w:rPr>
            </w:pPr>
            <w:r w:rsidRPr="00BF253C">
              <w:rPr>
                <w:rFonts w:cs="Arial"/>
                <w:sz w:val="18"/>
                <w:szCs w:val="18"/>
              </w:rPr>
              <w:t>Dispečink EPC</w:t>
            </w:r>
          </w:p>
        </w:tc>
        <w:tc>
          <w:tcPr>
            <w:tcW w:w="1277" w:type="dxa"/>
            <w:noWrap/>
          </w:tcPr>
          <w:p w14:paraId="3CB0A840" w14:textId="0A7FA34A"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c>
          <w:tcPr>
            <w:tcW w:w="2494" w:type="dxa"/>
            <w:noWrap/>
            <w:hideMark/>
          </w:tcPr>
          <w:p w14:paraId="60338108" w14:textId="5F2A52BA" w:rsidR="004F48BF" w:rsidRPr="00BF253C" w:rsidRDefault="004F48BF" w:rsidP="004F48BF">
            <w:pPr>
              <w:spacing w:before="60" w:after="60"/>
              <w:jc w:val="center"/>
              <w:rPr>
                <w:rFonts w:cs="Arial"/>
                <w:sz w:val="18"/>
                <w:szCs w:val="18"/>
              </w:rPr>
            </w:pPr>
            <w:r w:rsidRPr="000108FB">
              <w:rPr>
                <w:rFonts w:cs="Arial"/>
                <w:color w:val="2D3136"/>
                <w:sz w:val="18"/>
                <w:szCs w:val="18"/>
              </w:rPr>
              <w:t>XXXX</w:t>
            </w:r>
          </w:p>
        </w:tc>
      </w:tr>
    </w:tbl>
    <w:p w14:paraId="52F57358" w14:textId="77777777" w:rsidR="00576515" w:rsidRDefault="00576515" w:rsidP="00BD36FC">
      <w:pPr>
        <w:rPr>
          <w:rFonts w:cs="Arial"/>
        </w:rPr>
      </w:pPr>
    </w:p>
    <w:p w14:paraId="774E056F" w14:textId="77777777" w:rsidR="00576515" w:rsidRPr="00576515" w:rsidRDefault="00576515" w:rsidP="00BD36FC"/>
    <w:p w14:paraId="48143310" w14:textId="77777777" w:rsidR="00AC0307" w:rsidRDefault="001A1AC4" w:rsidP="00BD36FC">
      <w:pPr>
        <w:pStyle w:val="Heading1"/>
      </w:pPr>
      <w:bookmarkStart w:id="44" w:name="_Toc100673913"/>
      <w:r>
        <w:lastRenderedPageBreak/>
        <w:t>Příloha č. 9: Seznam poddodavatelů</w:t>
      </w:r>
      <w:bookmarkEnd w:id="44"/>
    </w:p>
    <w:tbl>
      <w:tblPr>
        <w:tblStyle w:val="TableGrid"/>
        <w:tblW w:w="0" w:type="auto"/>
        <w:tblLook w:val="04A0" w:firstRow="1" w:lastRow="0" w:firstColumn="1" w:lastColumn="0" w:noHBand="0" w:noVBand="1"/>
      </w:tblPr>
      <w:tblGrid>
        <w:gridCol w:w="8364"/>
        <w:gridCol w:w="706"/>
      </w:tblGrid>
      <w:tr w:rsidR="00576515" w:rsidRPr="00E33C86" w14:paraId="0DE7C1B1" w14:textId="77777777" w:rsidTr="00A50464">
        <w:tc>
          <w:tcPr>
            <w:tcW w:w="8364" w:type="dxa"/>
            <w:tcBorders>
              <w:top w:val="nil"/>
              <w:left w:val="nil"/>
              <w:bottom w:val="nil"/>
              <w:right w:val="nil"/>
            </w:tcBorders>
          </w:tcPr>
          <w:p w14:paraId="6267E5D2" w14:textId="77777777" w:rsidR="00576515" w:rsidRPr="00324A3C" w:rsidRDefault="00576515" w:rsidP="00BD36FC">
            <w:pPr>
              <w:spacing w:before="0"/>
              <w:jc w:val="left"/>
            </w:pPr>
            <w:bookmarkStart w:id="45" w:name="_Hlk663519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0"/>
              <w:gridCol w:w="1958"/>
              <w:gridCol w:w="2280"/>
            </w:tblGrid>
            <w:tr w:rsidR="00576515" w:rsidRPr="00324A3C" w14:paraId="0F0EB3B1" w14:textId="77777777" w:rsidTr="00A50464">
              <w:tc>
                <w:tcPr>
                  <w:tcW w:w="4205" w:type="dxa"/>
                </w:tcPr>
                <w:p w14:paraId="46E88F1E" w14:textId="77777777" w:rsidR="00576515" w:rsidRPr="00324A3C" w:rsidRDefault="00576515" w:rsidP="00BD36FC">
                  <w:bookmarkStart w:id="46" w:name="_Hlk65152511"/>
                </w:p>
              </w:tc>
              <w:tc>
                <w:tcPr>
                  <w:tcW w:w="2117" w:type="dxa"/>
                </w:tcPr>
                <w:p w14:paraId="62C745F7" w14:textId="77777777" w:rsidR="00576515" w:rsidRPr="00324A3C" w:rsidRDefault="00576515" w:rsidP="00BD36FC">
                  <w:pPr>
                    <w:jc w:val="center"/>
                  </w:pPr>
                  <w:r w:rsidRPr="00324A3C">
                    <w:t>podíl v %</w:t>
                  </w:r>
                </w:p>
              </w:tc>
              <w:tc>
                <w:tcPr>
                  <w:tcW w:w="2478" w:type="dxa"/>
                </w:tcPr>
                <w:p w14:paraId="11D40D4B" w14:textId="77777777" w:rsidR="00576515" w:rsidRPr="00324A3C" w:rsidRDefault="00576515" w:rsidP="00BD36FC">
                  <w:pPr>
                    <w:jc w:val="center"/>
                  </w:pPr>
                  <w:r w:rsidRPr="00324A3C">
                    <w:t>podíl v tis. Kč bez DPH</w:t>
                  </w:r>
                </w:p>
              </w:tc>
            </w:tr>
            <w:tr w:rsidR="00576515" w:rsidRPr="00324A3C" w14:paraId="2EC631D0" w14:textId="77777777" w:rsidTr="00A50464">
              <w:tc>
                <w:tcPr>
                  <w:tcW w:w="4205" w:type="dxa"/>
                </w:tcPr>
                <w:p w14:paraId="42103EAE" w14:textId="77777777" w:rsidR="00576515" w:rsidRPr="00324A3C" w:rsidRDefault="00576515" w:rsidP="00BD36FC">
                  <w:r w:rsidRPr="00324A3C">
                    <w:t>Práce realizované vlastními kapacitami</w:t>
                  </w:r>
                </w:p>
              </w:tc>
              <w:tc>
                <w:tcPr>
                  <w:tcW w:w="2117" w:type="dxa"/>
                </w:tcPr>
                <w:p w14:paraId="04416797" w14:textId="18C6F45A" w:rsidR="00576515" w:rsidRPr="00324A3C" w:rsidRDefault="00324A3C" w:rsidP="00BD36FC">
                  <w:pPr>
                    <w:jc w:val="right"/>
                  </w:pPr>
                  <w:r w:rsidRPr="00324A3C">
                    <w:t>100</w:t>
                  </w:r>
                </w:p>
              </w:tc>
              <w:tc>
                <w:tcPr>
                  <w:tcW w:w="2478" w:type="dxa"/>
                </w:tcPr>
                <w:p w14:paraId="5C2FBF2E" w14:textId="5BE31DDB" w:rsidR="00576515" w:rsidRPr="00324A3C" w:rsidRDefault="00DF11EB" w:rsidP="00BD36FC">
                  <w:pPr>
                    <w:jc w:val="right"/>
                  </w:pPr>
                  <w:r>
                    <w:t>349 860</w:t>
                  </w:r>
                </w:p>
              </w:tc>
            </w:tr>
            <w:tr w:rsidR="00576515" w:rsidRPr="00324A3C" w14:paraId="560BFCE2" w14:textId="77777777" w:rsidTr="00A50464">
              <w:tc>
                <w:tcPr>
                  <w:tcW w:w="4205" w:type="dxa"/>
                </w:tcPr>
                <w:p w14:paraId="0471B3D6" w14:textId="77777777" w:rsidR="00576515" w:rsidRPr="00324A3C" w:rsidRDefault="00576515" w:rsidP="00BD36FC">
                  <w:r w:rsidRPr="00324A3C">
                    <w:t>Práce realizované poddodavateli celkem</w:t>
                  </w:r>
                </w:p>
              </w:tc>
              <w:tc>
                <w:tcPr>
                  <w:tcW w:w="2117" w:type="dxa"/>
                </w:tcPr>
                <w:p w14:paraId="190CBFDC" w14:textId="77777777" w:rsidR="00576515" w:rsidRPr="00324A3C" w:rsidRDefault="00576515" w:rsidP="00BD36FC">
                  <w:pPr>
                    <w:jc w:val="right"/>
                  </w:pPr>
                  <w:r w:rsidRPr="00324A3C">
                    <w:t>0</w:t>
                  </w:r>
                </w:p>
              </w:tc>
              <w:tc>
                <w:tcPr>
                  <w:tcW w:w="2478" w:type="dxa"/>
                </w:tcPr>
                <w:p w14:paraId="1929075B" w14:textId="77777777" w:rsidR="00576515" w:rsidRPr="00324A3C" w:rsidRDefault="00576515" w:rsidP="00BD36FC">
                  <w:pPr>
                    <w:jc w:val="right"/>
                  </w:pPr>
                  <w:r w:rsidRPr="00324A3C">
                    <w:t>0</w:t>
                  </w:r>
                </w:p>
              </w:tc>
            </w:tr>
            <w:bookmarkEnd w:id="46"/>
          </w:tbl>
          <w:p w14:paraId="24F1473D" w14:textId="77777777" w:rsidR="00576515" w:rsidRPr="00324A3C" w:rsidRDefault="00576515" w:rsidP="00BD36FC"/>
          <w:p w14:paraId="5746C088" w14:textId="46DEC933" w:rsidR="00576515" w:rsidRPr="00324A3C" w:rsidRDefault="00576515" w:rsidP="00E41615">
            <w:pPr>
              <w:pStyle w:val="Heading2"/>
            </w:pPr>
            <w:bookmarkStart w:id="47" w:name="_Toc65068023"/>
            <w:bookmarkStart w:id="48" w:name="_Toc92199525"/>
            <w:bookmarkStart w:id="49" w:name="_Toc98513787"/>
            <w:bookmarkStart w:id="50" w:name="_Toc98514203"/>
            <w:bookmarkStart w:id="51" w:name="_Toc100673914"/>
            <w:r w:rsidRPr="00324A3C">
              <w:t>INFORMACE O JEDNOTLIVÝCH PODDODAVATELÍCH:</w:t>
            </w:r>
            <w:bookmarkEnd w:id="47"/>
            <w:bookmarkEnd w:id="48"/>
            <w:bookmarkEnd w:id="49"/>
            <w:bookmarkEnd w:id="50"/>
            <w:bookmarkEnd w:id="51"/>
          </w:p>
          <w:p w14:paraId="50550549" w14:textId="77777777" w:rsidR="00576515" w:rsidRPr="00324A3C" w:rsidRDefault="00576515" w:rsidP="00BD36FC">
            <w:pPr>
              <w:spacing w:before="0"/>
              <w:jc w:val="left"/>
            </w:pPr>
            <w:r w:rsidRPr="00324A3C">
              <w:t>Poddodavatelé s podílem 10 % a vyšším na celkové hodnotě zakázky nejsou předpokládáni.</w:t>
            </w:r>
          </w:p>
        </w:tc>
        <w:tc>
          <w:tcPr>
            <w:tcW w:w="706" w:type="dxa"/>
            <w:tcBorders>
              <w:top w:val="nil"/>
              <w:left w:val="nil"/>
              <w:bottom w:val="nil"/>
              <w:right w:val="nil"/>
            </w:tcBorders>
          </w:tcPr>
          <w:p w14:paraId="68B8A03A" w14:textId="77777777" w:rsidR="00576515" w:rsidRPr="00324A3C" w:rsidRDefault="00576515" w:rsidP="00BD36FC">
            <w:pPr>
              <w:spacing w:line="276" w:lineRule="auto"/>
            </w:pPr>
          </w:p>
        </w:tc>
      </w:tr>
    </w:tbl>
    <w:p w14:paraId="48DCD90E" w14:textId="072C7A7F" w:rsidR="00AC0307" w:rsidRDefault="00223E2C" w:rsidP="00BD36FC">
      <w:pPr>
        <w:pStyle w:val="Heading1"/>
      </w:pPr>
      <w:bookmarkStart w:id="52" w:name="_Toc100673915"/>
      <w:bookmarkEnd w:id="45"/>
      <w:r>
        <w:lastRenderedPageBreak/>
        <w:t xml:space="preserve">Příloha č. 10: </w:t>
      </w:r>
      <w:r w:rsidRPr="00223E2C">
        <w:t>Smlouvy o poskytování záručního a pozáručního servisu</w:t>
      </w:r>
      <w:bookmarkEnd w:id="52"/>
      <w:r w:rsidRPr="00223E2C">
        <w:t xml:space="preserve"> </w:t>
      </w:r>
    </w:p>
    <w:p w14:paraId="506417A7" w14:textId="2E505D86" w:rsidR="00D1123F" w:rsidRDefault="00576515" w:rsidP="00BD36FC">
      <w:r>
        <w:t>Záruční a pozáruční servis je blíže popsán v příloze č. 7 Energetický management</w:t>
      </w:r>
      <w:r w:rsidR="00151AB1">
        <w:t xml:space="preserve"> a přiložené rámcové smlouvě o poskytování servisních služeb</w:t>
      </w:r>
      <w:r>
        <w:t>. Cena záručního a pozáručního servisu</w:t>
      </w:r>
      <w:r w:rsidR="00B52731">
        <w:t xml:space="preserve"> je součástí energetického managementu a</w:t>
      </w:r>
      <w:r>
        <w:t xml:space="preserve"> je uvedena v příloze č. 3 Cena a její úhrada.</w:t>
      </w:r>
    </w:p>
    <w:p w14:paraId="069357F5" w14:textId="77777777" w:rsidR="00D1123F" w:rsidRDefault="00D1123F">
      <w:pPr>
        <w:spacing w:before="0"/>
        <w:jc w:val="left"/>
      </w:pPr>
      <w:r>
        <w:br w:type="page"/>
      </w:r>
    </w:p>
    <w:p w14:paraId="5DA20C85" w14:textId="5E19E3B2" w:rsidR="00D1123F" w:rsidRDefault="00D1123F" w:rsidP="00D1123F">
      <w:pPr>
        <w:pStyle w:val="Heading1"/>
      </w:pPr>
      <w:bookmarkStart w:id="53" w:name="_Toc100673916"/>
      <w:r>
        <w:lastRenderedPageBreak/>
        <w:t>Příloha č. 13: Technologické celky</w:t>
      </w:r>
      <w:bookmarkEnd w:id="53"/>
      <w:r w:rsidRPr="00223E2C">
        <w:t xml:space="preserve"> </w:t>
      </w:r>
    </w:p>
    <w:p w14:paraId="392D5F52" w14:textId="32BAB0BF" w:rsidR="006078B6" w:rsidRPr="006078B6" w:rsidRDefault="006078B6" w:rsidP="006078B6">
      <w:r w:rsidRPr="006078B6">
        <w:t>Dle výzvy k podání 2. předběžné nabídky byly identifikovány dílčí technologické celky po jejichž ukončení může ESCO vystavit dle bodu 22.1 Smlouvy fakturu v průběhu realizace projektu. Jedná se o tyto celky:</w:t>
      </w:r>
    </w:p>
    <w:p w14:paraId="128C0CB9" w14:textId="4AC657A6" w:rsidR="006078B6" w:rsidRDefault="006078B6" w:rsidP="00BD36FC">
      <w:pPr>
        <w:spacing w:before="0"/>
        <w:jc w:val="left"/>
      </w:pPr>
    </w:p>
    <w:p w14:paraId="361D5705" w14:textId="410FD9DB" w:rsidR="00D42101" w:rsidRDefault="00151AB1" w:rsidP="00BD36FC">
      <w:pPr>
        <w:spacing w:before="0"/>
        <w:jc w:val="left"/>
      </w:pPr>
      <w:r w:rsidRPr="00151AB1">
        <w:rPr>
          <w:noProof/>
        </w:rPr>
        <w:drawing>
          <wp:inline distT="0" distB="0" distL="0" distR="0" wp14:anchorId="3A21198F" wp14:editId="57237B48">
            <wp:extent cx="5760720" cy="225171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2251710"/>
                    </a:xfrm>
                    <a:prstGeom prst="rect">
                      <a:avLst/>
                    </a:prstGeom>
                    <a:noFill/>
                    <a:ln>
                      <a:noFill/>
                    </a:ln>
                  </pic:spPr>
                </pic:pic>
              </a:graphicData>
            </a:graphic>
          </wp:inline>
        </w:drawing>
      </w:r>
    </w:p>
    <w:p w14:paraId="3E6C49DA" w14:textId="28F705AE" w:rsidR="00576515" w:rsidRDefault="00576515" w:rsidP="00BD36FC">
      <w:pPr>
        <w:spacing w:before="0"/>
        <w:jc w:val="left"/>
      </w:pPr>
    </w:p>
    <w:p w14:paraId="27A1ABD8" w14:textId="444B5208" w:rsidR="00493585" w:rsidRDefault="00493585" w:rsidP="00493585">
      <w:pPr>
        <w:spacing w:before="0"/>
      </w:pPr>
      <w:r w:rsidRPr="00493585">
        <w:t>Termíny fakturace jsou předpokládané. Mohou být změněny ve fázi verifikace, případně během realizace. Jakákoli změna bude konzultována s Klientem.</w:t>
      </w:r>
    </w:p>
    <w:p w14:paraId="276E12BB" w14:textId="4C02F249" w:rsidR="00C41B89" w:rsidRDefault="00C41B89" w:rsidP="00C41B89">
      <w:pPr>
        <w:pStyle w:val="Heading1"/>
      </w:pPr>
      <w:bookmarkStart w:id="54" w:name="_Toc100673917"/>
      <w:r>
        <w:lastRenderedPageBreak/>
        <w:t>Příloha č. 14: Inflační doložka</w:t>
      </w:r>
      <w:bookmarkEnd w:id="54"/>
    </w:p>
    <w:p w14:paraId="33F3B952" w14:textId="77777777" w:rsidR="00C41B89" w:rsidRDefault="00C41B89">
      <w:pPr>
        <w:spacing w:before="0"/>
        <w:jc w:val="left"/>
      </w:pPr>
    </w:p>
    <w:p w14:paraId="28193DCE" w14:textId="3D0195F6" w:rsidR="00C41B89" w:rsidRPr="00806669" w:rsidRDefault="00C41B89" w:rsidP="00C41B89">
      <w:pPr>
        <w:autoSpaceDE w:val="0"/>
        <w:autoSpaceDN w:val="0"/>
        <w:adjustRightInd w:val="0"/>
        <w:spacing w:line="360" w:lineRule="auto"/>
        <w:rPr>
          <w:rFonts w:ascii="Arial" w:hAnsi="Arial" w:cs="Arial"/>
          <w:color w:val="000000" w:themeColor="text1"/>
          <w:sz w:val="20"/>
          <w:szCs w:val="20"/>
        </w:rPr>
      </w:pPr>
      <w:r w:rsidRPr="00806669">
        <w:rPr>
          <w:rFonts w:ascii="Arial" w:hAnsi="Arial" w:cs="Arial"/>
          <w:color w:val="000000" w:themeColor="text1"/>
          <w:sz w:val="20"/>
          <w:szCs w:val="20"/>
        </w:rPr>
        <w:t xml:space="preserve">Cena </w:t>
      </w:r>
      <w:r w:rsidR="00806669">
        <w:rPr>
          <w:rFonts w:ascii="Arial" w:hAnsi="Arial" w:cs="Arial"/>
          <w:color w:val="000000" w:themeColor="text1"/>
          <w:sz w:val="20"/>
          <w:szCs w:val="20"/>
        </w:rPr>
        <w:t>základních opatření</w:t>
      </w:r>
      <w:r w:rsidRPr="00806669">
        <w:rPr>
          <w:rFonts w:ascii="Arial" w:hAnsi="Arial" w:cs="Arial"/>
          <w:color w:val="000000" w:themeColor="text1"/>
          <w:sz w:val="20"/>
          <w:szCs w:val="20"/>
        </w:rPr>
        <w:t xml:space="preserve"> bude na základě samostatného vyúčtování </w:t>
      </w:r>
      <w:r w:rsidR="00806669">
        <w:rPr>
          <w:rFonts w:ascii="Arial" w:hAnsi="Arial" w:cs="Arial"/>
          <w:color w:val="000000" w:themeColor="text1"/>
          <w:sz w:val="20"/>
          <w:szCs w:val="20"/>
        </w:rPr>
        <w:t>ESCO</w:t>
      </w:r>
      <w:r w:rsidRPr="00806669">
        <w:rPr>
          <w:rFonts w:ascii="Arial" w:hAnsi="Arial" w:cs="Arial"/>
          <w:color w:val="000000" w:themeColor="text1"/>
          <w:sz w:val="20"/>
          <w:szCs w:val="20"/>
        </w:rPr>
        <w:t xml:space="preserve"> upravena z důvodu zvýšení nebo snížení cen materiálních, personálních či jiných vstupů potřebných pro provedení základních opatření (dále jen „</w:t>
      </w:r>
      <w:r w:rsidRPr="00806669">
        <w:rPr>
          <w:rFonts w:ascii="Arial" w:hAnsi="Arial" w:cs="Arial"/>
          <w:b/>
          <w:bCs/>
          <w:color w:val="000000" w:themeColor="text1"/>
          <w:sz w:val="20"/>
          <w:szCs w:val="20"/>
        </w:rPr>
        <w:t>změna cen nákladů</w:t>
      </w:r>
      <w:r w:rsidRPr="00806669">
        <w:rPr>
          <w:rFonts w:ascii="Arial" w:hAnsi="Arial" w:cs="Arial"/>
          <w:color w:val="000000" w:themeColor="text1"/>
          <w:sz w:val="20"/>
          <w:szCs w:val="20"/>
        </w:rPr>
        <w:t xml:space="preserve">“) tak, že se přičtou nebo odečtou částky určené vzorcem stanoveným níže. Tato úprava ceny </w:t>
      </w:r>
      <w:r w:rsidR="00806669">
        <w:rPr>
          <w:rFonts w:ascii="Arial" w:hAnsi="Arial" w:cs="Arial"/>
          <w:color w:val="000000" w:themeColor="text1"/>
          <w:sz w:val="20"/>
          <w:szCs w:val="20"/>
        </w:rPr>
        <w:t>základních opatření</w:t>
      </w:r>
      <w:r w:rsidRPr="00806669">
        <w:rPr>
          <w:rFonts w:ascii="Arial" w:hAnsi="Arial" w:cs="Arial"/>
          <w:color w:val="000000" w:themeColor="text1"/>
          <w:sz w:val="20"/>
          <w:szCs w:val="20"/>
        </w:rPr>
        <w:t xml:space="preserve"> se použije na všechny položky a práce provedené </w:t>
      </w:r>
      <w:r w:rsidR="00806669">
        <w:rPr>
          <w:rFonts w:ascii="Arial" w:hAnsi="Arial" w:cs="Arial"/>
          <w:color w:val="000000" w:themeColor="text1"/>
          <w:sz w:val="20"/>
          <w:szCs w:val="20"/>
        </w:rPr>
        <w:t>ESCO</w:t>
      </w:r>
      <w:r w:rsidRPr="00806669">
        <w:rPr>
          <w:rFonts w:ascii="Arial" w:hAnsi="Arial" w:cs="Arial"/>
          <w:color w:val="000000" w:themeColor="text1"/>
          <w:sz w:val="20"/>
          <w:szCs w:val="20"/>
        </w:rPr>
        <w:t xml:space="preserve"> na </w:t>
      </w:r>
      <w:r w:rsidR="00806669">
        <w:rPr>
          <w:rFonts w:ascii="Arial" w:hAnsi="Arial" w:cs="Arial"/>
          <w:color w:val="000000" w:themeColor="text1"/>
          <w:sz w:val="20"/>
          <w:szCs w:val="20"/>
        </w:rPr>
        <w:t>základních opatření</w:t>
      </w:r>
      <w:r w:rsidRPr="00806669">
        <w:rPr>
          <w:rFonts w:ascii="Arial" w:hAnsi="Arial" w:cs="Arial"/>
          <w:color w:val="000000" w:themeColor="text1"/>
          <w:sz w:val="20"/>
          <w:szCs w:val="20"/>
        </w:rPr>
        <w:t xml:space="preserve">. </w:t>
      </w:r>
    </w:p>
    <w:p w14:paraId="16D0EB6E" w14:textId="3923B7A6" w:rsidR="00C41B89" w:rsidRPr="00806669" w:rsidRDefault="00806669" w:rsidP="00C41B89">
      <w:pPr>
        <w:autoSpaceDE w:val="0"/>
        <w:autoSpaceDN w:val="0"/>
        <w:adjustRightInd w:val="0"/>
        <w:spacing w:line="360" w:lineRule="auto"/>
        <w:rPr>
          <w:rFonts w:ascii="Arial" w:hAnsi="Arial" w:cs="Arial"/>
          <w:color w:val="000000" w:themeColor="text1"/>
          <w:sz w:val="20"/>
          <w:szCs w:val="20"/>
        </w:rPr>
      </w:pPr>
      <w:r w:rsidRPr="00806669">
        <w:rPr>
          <w:rFonts w:ascii="Arial" w:hAnsi="Arial" w:cs="Arial"/>
          <w:color w:val="000000" w:themeColor="text1"/>
          <w:sz w:val="20"/>
          <w:szCs w:val="20"/>
        </w:rPr>
        <w:t>ESCO</w:t>
      </w:r>
      <w:r w:rsidR="00C41B89" w:rsidRPr="00806669">
        <w:rPr>
          <w:rFonts w:ascii="Arial" w:hAnsi="Arial" w:cs="Arial"/>
          <w:color w:val="000000" w:themeColor="text1"/>
          <w:sz w:val="20"/>
          <w:szCs w:val="20"/>
        </w:rPr>
        <w:t xml:space="preserve"> musí předložit samostatné vyúčtování změny nákladů jako přílohu faktury </w:t>
      </w:r>
      <w:r w:rsidRPr="00806669">
        <w:rPr>
          <w:rFonts w:ascii="Arial" w:hAnsi="Arial" w:cs="Arial"/>
          <w:color w:val="000000" w:themeColor="text1"/>
          <w:sz w:val="20"/>
          <w:szCs w:val="20"/>
        </w:rPr>
        <w:t>Klientovi</w:t>
      </w:r>
      <w:r w:rsidR="00C41B89" w:rsidRPr="00806669">
        <w:rPr>
          <w:rFonts w:ascii="Arial" w:hAnsi="Arial" w:cs="Arial"/>
          <w:color w:val="000000" w:themeColor="text1"/>
          <w:sz w:val="20"/>
          <w:szCs w:val="20"/>
        </w:rPr>
        <w:t xml:space="preserve">, a to v členění na jednotlivá čtvrtletí kalendářního roku, za která je úprava ceny </w:t>
      </w:r>
      <w:r w:rsidRPr="00806669">
        <w:rPr>
          <w:rFonts w:ascii="Arial" w:hAnsi="Arial" w:cs="Arial"/>
          <w:color w:val="000000" w:themeColor="text1"/>
          <w:sz w:val="20"/>
          <w:szCs w:val="20"/>
        </w:rPr>
        <w:t>základních opatření</w:t>
      </w:r>
      <w:r w:rsidR="00C41B89" w:rsidRPr="00806669">
        <w:rPr>
          <w:rFonts w:ascii="Arial" w:hAnsi="Arial" w:cs="Arial"/>
          <w:color w:val="000000" w:themeColor="text1"/>
          <w:sz w:val="20"/>
          <w:szCs w:val="20"/>
        </w:rPr>
        <w:t xml:space="preserve"> prováděna. Toto vyúčtování bude vyčíslovat částku, která má být přičtena nebo odečtena v důsledku změny nákladů. Faktura s vyúčtováním změny nákladů za příslušné období bude uhrazena ve lhůtě do </w:t>
      </w:r>
      <w:r w:rsidR="00D969C2">
        <w:rPr>
          <w:rFonts w:ascii="Arial" w:hAnsi="Arial" w:cs="Arial"/>
          <w:color w:val="000000" w:themeColor="text1"/>
          <w:sz w:val="20"/>
          <w:szCs w:val="20"/>
        </w:rPr>
        <w:t>6</w:t>
      </w:r>
      <w:r w:rsidR="00C41B89" w:rsidRPr="00806669">
        <w:rPr>
          <w:rFonts w:ascii="Arial" w:hAnsi="Arial" w:cs="Arial"/>
          <w:color w:val="000000" w:themeColor="text1"/>
          <w:sz w:val="20"/>
          <w:szCs w:val="20"/>
        </w:rPr>
        <w:t xml:space="preserve">0 dnů od jejího doručení </w:t>
      </w:r>
      <w:r w:rsidRPr="00806669">
        <w:rPr>
          <w:rFonts w:ascii="Arial" w:hAnsi="Arial" w:cs="Arial"/>
          <w:color w:val="000000" w:themeColor="text1"/>
          <w:sz w:val="20"/>
          <w:szCs w:val="20"/>
        </w:rPr>
        <w:t>Klientovi</w:t>
      </w:r>
      <w:r w:rsidR="00C41B89" w:rsidRPr="00806669">
        <w:rPr>
          <w:rFonts w:ascii="Arial" w:hAnsi="Arial" w:cs="Arial"/>
          <w:color w:val="000000" w:themeColor="text1"/>
          <w:sz w:val="20"/>
          <w:szCs w:val="20"/>
        </w:rPr>
        <w:t xml:space="preserve">. V případě, že je vyúčtování po obsahové stránce nesprávné, může </w:t>
      </w:r>
      <w:r w:rsidRPr="00806669">
        <w:rPr>
          <w:rFonts w:ascii="Arial" w:hAnsi="Arial" w:cs="Arial"/>
          <w:color w:val="000000" w:themeColor="text1"/>
          <w:sz w:val="20"/>
          <w:szCs w:val="20"/>
        </w:rPr>
        <w:t>Klient</w:t>
      </w:r>
      <w:r w:rsidR="00C41B89" w:rsidRPr="00806669">
        <w:rPr>
          <w:rFonts w:ascii="Arial" w:hAnsi="Arial" w:cs="Arial"/>
          <w:color w:val="000000" w:themeColor="text1"/>
          <w:sz w:val="20"/>
          <w:szCs w:val="20"/>
        </w:rPr>
        <w:t xml:space="preserve"> s odůvodněním, proč neodpovídá valorizační doložce, ve lhůtě 14 dnů od doručení požádat </w:t>
      </w:r>
      <w:r w:rsidRPr="00806669">
        <w:rPr>
          <w:rFonts w:ascii="Arial" w:hAnsi="Arial" w:cs="Arial"/>
          <w:color w:val="000000" w:themeColor="text1"/>
          <w:sz w:val="20"/>
          <w:szCs w:val="20"/>
        </w:rPr>
        <w:t>ESCO</w:t>
      </w:r>
      <w:r w:rsidR="00C41B89" w:rsidRPr="00806669">
        <w:rPr>
          <w:rFonts w:ascii="Arial" w:hAnsi="Arial" w:cs="Arial"/>
          <w:color w:val="000000" w:themeColor="text1"/>
          <w:sz w:val="20"/>
          <w:szCs w:val="20"/>
        </w:rPr>
        <w:t xml:space="preserve"> o jeho přepracování.</w:t>
      </w:r>
    </w:p>
    <w:p w14:paraId="476422E9" w14:textId="3D6DBF8A" w:rsidR="00C41B89" w:rsidRPr="00BB536A" w:rsidRDefault="00C41B89" w:rsidP="00C41B89">
      <w:pPr>
        <w:autoSpaceDE w:val="0"/>
        <w:autoSpaceDN w:val="0"/>
        <w:adjustRightInd w:val="0"/>
        <w:spacing w:line="360" w:lineRule="auto"/>
        <w:rPr>
          <w:rFonts w:ascii="Arial" w:hAnsi="Arial" w:cs="Arial"/>
          <w:color w:val="000000" w:themeColor="text1"/>
          <w:sz w:val="20"/>
          <w:szCs w:val="20"/>
        </w:rPr>
      </w:pPr>
      <w:r w:rsidRPr="00BB536A">
        <w:rPr>
          <w:rFonts w:ascii="Arial" w:hAnsi="Arial" w:cs="Arial"/>
          <w:color w:val="000000" w:themeColor="text1"/>
          <w:sz w:val="20"/>
          <w:szCs w:val="20"/>
        </w:rPr>
        <w:t xml:space="preserve">Rozhodným okamžikem pro zařazení položky nebo práce do </w:t>
      </w:r>
      <w:r w:rsidR="00BB536A" w:rsidRPr="00BB536A">
        <w:rPr>
          <w:rFonts w:ascii="Arial" w:hAnsi="Arial" w:cs="Arial"/>
          <w:color w:val="000000" w:themeColor="text1"/>
          <w:sz w:val="20"/>
          <w:szCs w:val="20"/>
        </w:rPr>
        <w:t xml:space="preserve">příslušného čtvrtletí podle předchozího odstavce je doložení objednávky technologických zařízení definovaných v přiložené tabulce základních opatření (dále jen Tab. 14.1) jako opatření č. 1 – opatření č. n (dále jen </w:t>
      </w:r>
      <w:r w:rsidR="00BB536A" w:rsidRPr="00BB536A">
        <w:rPr>
          <w:rFonts w:ascii="Arial" w:hAnsi="Arial" w:cs="Arial"/>
          <w:b/>
          <w:bCs/>
          <w:color w:val="000000" w:themeColor="text1"/>
          <w:sz w:val="20"/>
          <w:szCs w:val="20"/>
        </w:rPr>
        <w:t>„dílčí opatření“</w:t>
      </w:r>
      <w:r w:rsidR="00BB536A" w:rsidRPr="00BB536A">
        <w:rPr>
          <w:rFonts w:ascii="Arial" w:hAnsi="Arial" w:cs="Arial"/>
          <w:color w:val="000000" w:themeColor="text1"/>
          <w:sz w:val="20"/>
          <w:szCs w:val="20"/>
        </w:rPr>
        <w:t>) v příslušném kalendářním čtvrtletí</w:t>
      </w:r>
      <w:r w:rsidRPr="00BB536A">
        <w:rPr>
          <w:rFonts w:ascii="Arial" w:hAnsi="Arial" w:cs="Arial"/>
          <w:color w:val="000000" w:themeColor="text1"/>
          <w:sz w:val="20"/>
          <w:szCs w:val="20"/>
        </w:rPr>
        <w:t>.</w:t>
      </w:r>
    </w:p>
    <w:p w14:paraId="679C1770" w14:textId="3FA320F5" w:rsidR="00C41B89" w:rsidRPr="00BB536A" w:rsidRDefault="00BB536A" w:rsidP="00C41B89">
      <w:pPr>
        <w:autoSpaceDE w:val="0"/>
        <w:autoSpaceDN w:val="0"/>
        <w:adjustRightInd w:val="0"/>
        <w:spacing w:line="360" w:lineRule="auto"/>
        <w:rPr>
          <w:rFonts w:ascii="Arial" w:hAnsi="Arial" w:cs="Arial"/>
          <w:b/>
          <w:bCs/>
          <w:color w:val="000000" w:themeColor="text1"/>
          <w:sz w:val="20"/>
          <w:szCs w:val="20"/>
          <w:u w:val="single"/>
        </w:rPr>
      </w:pPr>
      <w:r w:rsidRPr="00BB536A">
        <w:rPr>
          <w:rFonts w:ascii="Arial" w:hAnsi="Arial" w:cs="Arial"/>
          <w:b/>
          <w:bCs/>
          <w:color w:val="000000" w:themeColor="text1"/>
          <w:sz w:val="20"/>
          <w:szCs w:val="20"/>
          <w:u w:val="single"/>
        </w:rPr>
        <w:t>Výpočet</w:t>
      </w:r>
    </w:p>
    <w:p w14:paraId="6A3C18E0" w14:textId="5261C7D8" w:rsidR="00C41B89" w:rsidRPr="00BB536A" w:rsidRDefault="00C41B89" w:rsidP="00C41B89">
      <w:pPr>
        <w:autoSpaceDE w:val="0"/>
        <w:autoSpaceDN w:val="0"/>
        <w:adjustRightInd w:val="0"/>
        <w:spacing w:line="360" w:lineRule="auto"/>
        <w:rPr>
          <w:rFonts w:ascii="Arial" w:hAnsi="Arial" w:cs="Arial"/>
          <w:color w:val="000000" w:themeColor="text1"/>
          <w:sz w:val="20"/>
          <w:szCs w:val="20"/>
        </w:rPr>
      </w:pPr>
      <w:r w:rsidRPr="00BB536A">
        <w:rPr>
          <w:rFonts w:ascii="Arial" w:hAnsi="Arial" w:cs="Arial"/>
          <w:color w:val="000000" w:themeColor="text1"/>
          <w:sz w:val="20"/>
          <w:szCs w:val="20"/>
        </w:rPr>
        <w:t xml:space="preserve">Položková cena položek nebo prací, zvýšená nebo snížená postupem podle této valorizační doložky se musí rovnat součinu položkové ceny příslušné položky nebo práce uvedené </w:t>
      </w:r>
      <w:r w:rsidR="00BB536A" w:rsidRPr="00BB536A">
        <w:rPr>
          <w:rFonts w:ascii="Arial" w:hAnsi="Arial" w:cs="Arial"/>
          <w:color w:val="000000" w:themeColor="text1"/>
          <w:sz w:val="20"/>
          <w:szCs w:val="20"/>
        </w:rPr>
        <w:t>ve smlouvě</w:t>
      </w:r>
      <w:r w:rsidRPr="00BB536A">
        <w:rPr>
          <w:rFonts w:ascii="Arial" w:hAnsi="Arial" w:cs="Arial"/>
          <w:color w:val="000000" w:themeColor="text1"/>
          <w:sz w:val="20"/>
          <w:szCs w:val="20"/>
        </w:rPr>
        <w:t xml:space="preserve"> a násobitele úpravy, stanoveného dle „Indexu cen stavebních konstrukcí a prací podle </w:t>
      </w:r>
      <w:proofErr w:type="spellStart"/>
      <w:r w:rsidRPr="00BB536A">
        <w:rPr>
          <w:rFonts w:ascii="Arial" w:hAnsi="Arial" w:cs="Arial"/>
          <w:color w:val="000000" w:themeColor="text1"/>
          <w:sz w:val="20"/>
          <w:szCs w:val="20"/>
        </w:rPr>
        <w:t>TSKPstat</w:t>
      </w:r>
      <w:proofErr w:type="spellEnd"/>
      <w:r w:rsidRPr="00BB536A">
        <w:rPr>
          <w:rFonts w:ascii="Arial" w:hAnsi="Arial" w:cs="Arial"/>
          <w:color w:val="000000" w:themeColor="text1"/>
          <w:sz w:val="20"/>
          <w:szCs w:val="20"/>
        </w:rPr>
        <w:t>“ vyhlašovaného Českým statistickým úřadem</w:t>
      </w:r>
      <w:r w:rsidR="00BB536A" w:rsidRPr="00BB536A">
        <w:rPr>
          <w:rFonts w:ascii="Arial" w:hAnsi="Arial" w:cs="Arial"/>
          <w:color w:val="000000" w:themeColor="text1"/>
          <w:sz w:val="20"/>
          <w:szCs w:val="20"/>
        </w:rPr>
        <w:t>, a to níže uvedeným způsobem</w:t>
      </w:r>
      <w:r w:rsidRPr="00BB536A">
        <w:rPr>
          <w:rFonts w:ascii="Arial" w:hAnsi="Arial" w:cs="Arial"/>
          <w:color w:val="000000" w:themeColor="text1"/>
          <w:sz w:val="20"/>
          <w:szCs w:val="20"/>
        </w:rPr>
        <w:t>.</w:t>
      </w:r>
    </w:p>
    <w:p w14:paraId="0E3940F7" w14:textId="77777777" w:rsidR="00C41B89" w:rsidRPr="00BB536A" w:rsidRDefault="00C41B89" w:rsidP="00C41B89">
      <w:pPr>
        <w:autoSpaceDE w:val="0"/>
        <w:autoSpaceDN w:val="0"/>
        <w:adjustRightInd w:val="0"/>
        <w:spacing w:line="360" w:lineRule="auto"/>
        <w:rPr>
          <w:rFonts w:ascii="Arial" w:hAnsi="Arial" w:cs="Arial"/>
          <w:color w:val="000000" w:themeColor="text1"/>
          <w:sz w:val="20"/>
          <w:szCs w:val="20"/>
        </w:rPr>
      </w:pPr>
      <w:r w:rsidRPr="00BB536A">
        <w:rPr>
          <w:rFonts w:ascii="Arial" w:hAnsi="Arial" w:cs="Arial"/>
          <w:color w:val="000000" w:themeColor="text1"/>
          <w:sz w:val="20"/>
          <w:szCs w:val="20"/>
        </w:rPr>
        <w:t xml:space="preserve">Jako cenový index bude v rámci klasifikace </w:t>
      </w:r>
      <w:proofErr w:type="spellStart"/>
      <w:r w:rsidRPr="00BB536A">
        <w:rPr>
          <w:rFonts w:ascii="Arial" w:hAnsi="Arial" w:cs="Arial"/>
          <w:color w:val="000000" w:themeColor="text1"/>
          <w:sz w:val="20"/>
          <w:szCs w:val="20"/>
        </w:rPr>
        <w:t>TSKPstat</w:t>
      </w:r>
      <w:proofErr w:type="spellEnd"/>
      <w:r w:rsidRPr="00BB536A">
        <w:rPr>
          <w:rFonts w:ascii="Arial" w:hAnsi="Arial" w:cs="Arial"/>
          <w:color w:val="000000" w:themeColor="text1"/>
          <w:sz w:val="20"/>
          <w:szCs w:val="20"/>
        </w:rPr>
        <w:t xml:space="preserve"> (kód produktu „</w:t>
      </w:r>
      <w:proofErr w:type="gramStart"/>
      <w:r w:rsidRPr="00BB536A">
        <w:rPr>
          <w:rFonts w:ascii="Arial" w:hAnsi="Arial" w:cs="Arial"/>
          <w:color w:val="000000" w:themeColor="text1"/>
          <w:sz w:val="20"/>
          <w:szCs w:val="20"/>
        </w:rPr>
        <w:t>011041-XYq401</w:t>
      </w:r>
      <w:proofErr w:type="gramEnd"/>
      <w:r w:rsidRPr="00BB536A">
        <w:rPr>
          <w:rFonts w:ascii="Arial" w:hAnsi="Arial" w:cs="Arial"/>
          <w:color w:val="000000" w:themeColor="text1"/>
          <w:sz w:val="20"/>
          <w:szCs w:val="20"/>
        </w:rPr>
        <w:t>“, přičemž „XY“ označuje rok časové řady) využíván:</w:t>
      </w:r>
    </w:p>
    <w:p w14:paraId="457E013F" w14:textId="77777777" w:rsidR="00C41B89" w:rsidRPr="008A2AC8" w:rsidRDefault="00C41B89" w:rsidP="008A2AC8">
      <w:pPr>
        <w:numPr>
          <w:ilvl w:val="0"/>
          <w:numId w:val="8"/>
        </w:numPr>
        <w:ind w:left="426" w:hanging="426"/>
        <w:rPr>
          <w:rFonts w:asciiTheme="minorHAnsi" w:hAnsiTheme="minorHAnsi" w:cstheme="minorHAnsi"/>
        </w:rPr>
      </w:pPr>
      <w:r w:rsidRPr="008A2AC8">
        <w:rPr>
          <w:rFonts w:asciiTheme="minorHAnsi" w:hAnsiTheme="minorHAnsi" w:cstheme="minorHAnsi"/>
        </w:rPr>
        <w:t>index pro kód „</w:t>
      </w:r>
      <w:proofErr w:type="spellStart"/>
      <w:r w:rsidRPr="008A2AC8">
        <w:rPr>
          <w:rFonts w:asciiTheme="minorHAnsi" w:hAnsiTheme="minorHAnsi" w:cstheme="minorHAnsi"/>
        </w:rPr>
        <w:t>TSKPstat</w:t>
      </w:r>
      <w:proofErr w:type="spellEnd"/>
      <w:r w:rsidRPr="008A2AC8">
        <w:rPr>
          <w:rFonts w:asciiTheme="minorHAnsi" w:hAnsiTheme="minorHAnsi" w:cstheme="minorHAnsi"/>
        </w:rPr>
        <w:t xml:space="preserve">“ nejbližší předmětu fakturace základního opatření.  </w:t>
      </w:r>
    </w:p>
    <w:p w14:paraId="0E02AC99" w14:textId="77777777" w:rsidR="00C41B89" w:rsidRPr="008A2AC8" w:rsidRDefault="00C41B89" w:rsidP="008A2AC8">
      <w:pPr>
        <w:numPr>
          <w:ilvl w:val="0"/>
          <w:numId w:val="8"/>
        </w:numPr>
        <w:ind w:left="426" w:hanging="426"/>
        <w:rPr>
          <w:rFonts w:asciiTheme="minorHAnsi" w:hAnsiTheme="minorHAnsi" w:cstheme="minorHAnsi"/>
        </w:rPr>
      </w:pPr>
      <w:r w:rsidRPr="008A2AC8">
        <w:rPr>
          <w:rFonts w:asciiTheme="minorHAnsi" w:hAnsiTheme="minorHAnsi" w:cstheme="minorHAnsi"/>
        </w:rPr>
        <w:t xml:space="preserve">index pro „předchozí období = 100“, hodnoty „čtvrtletí“ </w:t>
      </w:r>
    </w:p>
    <w:p w14:paraId="116572CF" w14:textId="77777777" w:rsidR="00C41B89" w:rsidRPr="00BB536A" w:rsidRDefault="00C41B89" w:rsidP="00C41B89">
      <w:pPr>
        <w:autoSpaceDE w:val="0"/>
        <w:autoSpaceDN w:val="0"/>
        <w:adjustRightInd w:val="0"/>
        <w:rPr>
          <w:rFonts w:ascii="Arial" w:hAnsi="Arial" w:cs="Arial"/>
          <w:color w:val="000000" w:themeColor="text1"/>
          <w:sz w:val="20"/>
          <w:szCs w:val="20"/>
        </w:rPr>
      </w:pPr>
      <w:r w:rsidRPr="00BB536A">
        <w:rPr>
          <w:rFonts w:ascii="Arial" w:hAnsi="Arial" w:cs="Arial"/>
          <w:color w:val="000000" w:themeColor="text1"/>
          <w:sz w:val="20"/>
          <w:szCs w:val="20"/>
        </w:rPr>
        <w:t>(dále jen „</w:t>
      </w:r>
      <w:r w:rsidRPr="00BB536A">
        <w:rPr>
          <w:rFonts w:ascii="Arial" w:hAnsi="Arial" w:cs="Arial"/>
          <w:b/>
          <w:bCs/>
          <w:color w:val="000000" w:themeColor="text1"/>
          <w:sz w:val="20"/>
          <w:szCs w:val="20"/>
        </w:rPr>
        <w:t>Cenový index</w:t>
      </w:r>
      <w:r w:rsidRPr="00BB536A">
        <w:rPr>
          <w:rFonts w:ascii="Arial" w:hAnsi="Arial" w:cs="Arial"/>
          <w:color w:val="000000" w:themeColor="text1"/>
          <w:sz w:val="20"/>
          <w:szCs w:val="20"/>
        </w:rPr>
        <w:t>“).</w:t>
      </w:r>
    </w:p>
    <w:p w14:paraId="256B0FB3" w14:textId="77777777" w:rsidR="008A6C08" w:rsidRDefault="008A6C08" w:rsidP="00C41B89">
      <w:pPr>
        <w:autoSpaceDE w:val="0"/>
        <w:autoSpaceDN w:val="0"/>
        <w:adjustRightInd w:val="0"/>
        <w:rPr>
          <w:rFonts w:ascii="Arial" w:hAnsi="Arial" w:cs="Arial"/>
          <w:color w:val="000000" w:themeColor="text1"/>
          <w:sz w:val="20"/>
          <w:szCs w:val="20"/>
          <w:highlight w:val="green"/>
        </w:rPr>
      </w:pPr>
    </w:p>
    <w:p w14:paraId="2AD7E3F2" w14:textId="37507A28" w:rsidR="008A6C08" w:rsidRPr="008A6C08" w:rsidRDefault="001D45FC" w:rsidP="00C41B89">
      <w:pPr>
        <w:autoSpaceDE w:val="0"/>
        <w:autoSpaceDN w:val="0"/>
        <w:adjustRightInd w:val="0"/>
        <w:rPr>
          <w:rFonts w:ascii="Arial" w:hAnsi="Arial" w:cs="Arial"/>
          <w:color w:val="000000" w:themeColor="text1"/>
          <w:sz w:val="20"/>
          <w:szCs w:val="20"/>
        </w:rPr>
      </w:pPr>
      <w:r w:rsidRPr="008A6C08">
        <w:rPr>
          <w:rFonts w:ascii="Arial" w:hAnsi="Arial" w:cs="Arial"/>
          <w:color w:val="000000" w:themeColor="text1"/>
          <w:sz w:val="20"/>
          <w:szCs w:val="20"/>
        </w:rPr>
        <w:t>Výpočet se vztahuje na nabízená technologická zařízení</w:t>
      </w:r>
      <w:r w:rsidR="008A6C08" w:rsidRPr="008A6C08">
        <w:rPr>
          <w:rFonts w:ascii="Arial" w:hAnsi="Arial" w:cs="Arial"/>
          <w:color w:val="000000" w:themeColor="text1"/>
          <w:sz w:val="20"/>
          <w:szCs w:val="20"/>
        </w:rPr>
        <w:t xml:space="preserve"> (základní opatření) uvedená v Tab. 14.1 pod dílčími opatřeními.</w:t>
      </w:r>
    </w:p>
    <w:p w14:paraId="7BF22F69" w14:textId="3D777532" w:rsidR="00C41B89" w:rsidRPr="00C41B89" w:rsidRDefault="001D45FC" w:rsidP="00C41B89">
      <w:pPr>
        <w:autoSpaceDE w:val="0"/>
        <w:autoSpaceDN w:val="0"/>
        <w:adjustRightInd w:val="0"/>
        <w:rPr>
          <w:rFonts w:ascii="Arial" w:hAnsi="Arial" w:cs="Arial"/>
          <w:color w:val="000000" w:themeColor="text1"/>
          <w:sz w:val="20"/>
          <w:szCs w:val="20"/>
          <w:highlight w:val="green"/>
        </w:rPr>
      </w:pPr>
      <w:r>
        <w:rPr>
          <w:rFonts w:ascii="Arial" w:hAnsi="Arial" w:cs="Arial"/>
          <w:color w:val="000000" w:themeColor="text1"/>
          <w:sz w:val="20"/>
          <w:szCs w:val="20"/>
          <w:highlight w:val="green"/>
        </w:rPr>
        <w:t xml:space="preserve"> </w:t>
      </w:r>
    </w:p>
    <w:p w14:paraId="1511C289" w14:textId="77777777" w:rsidR="00C41B89" w:rsidRPr="008A6C08" w:rsidRDefault="00C41B89" w:rsidP="00C41B89">
      <w:pPr>
        <w:autoSpaceDE w:val="0"/>
        <w:autoSpaceDN w:val="0"/>
        <w:adjustRightInd w:val="0"/>
        <w:spacing w:line="360" w:lineRule="auto"/>
        <w:rPr>
          <w:rFonts w:ascii="Arial" w:hAnsi="Arial" w:cs="Arial"/>
          <w:color w:val="000000" w:themeColor="text1"/>
          <w:sz w:val="20"/>
          <w:szCs w:val="20"/>
        </w:rPr>
      </w:pPr>
      <w:r w:rsidRPr="008A6C08">
        <w:rPr>
          <w:rFonts w:ascii="Arial" w:hAnsi="Arial" w:cs="Arial"/>
          <w:color w:val="000000" w:themeColor="text1"/>
          <w:sz w:val="20"/>
          <w:szCs w:val="20"/>
        </w:rPr>
        <w:t>Částka, která má být přičtena nebo odečtena v důsledku změn nákladů za příslušné kalendářní čtvrtletí, se vypočte podle vzorce:</w:t>
      </w:r>
    </w:p>
    <w:p w14:paraId="743724AF" w14:textId="77777777" w:rsidR="008A6C08" w:rsidRPr="008A6C08" w:rsidRDefault="008A6C08" w:rsidP="00C41B89">
      <w:pPr>
        <w:autoSpaceDE w:val="0"/>
        <w:autoSpaceDN w:val="0"/>
        <w:adjustRightInd w:val="0"/>
        <w:spacing w:line="360" w:lineRule="auto"/>
        <w:rPr>
          <w:rFonts w:ascii="Arial" w:hAnsi="Arial" w:cs="Arial"/>
          <w:color w:val="000000" w:themeColor="text1"/>
          <w:sz w:val="20"/>
          <w:szCs w:val="20"/>
        </w:rPr>
      </w:pPr>
    </w:p>
    <w:p w14:paraId="4E435373" w14:textId="720CE842" w:rsidR="00C41B89" w:rsidRPr="008A6C08" w:rsidRDefault="00C41B89" w:rsidP="00C41B89">
      <w:pPr>
        <w:autoSpaceDE w:val="0"/>
        <w:autoSpaceDN w:val="0"/>
        <w:adjustRightInd w:val="0"/>
        <w:spacing w:line="360" w:lineRule="auto"/>
        <w:rPr>
          <w:rFonts w:ascii="Arial" w:hAnsi="Arial" w:cs="Arial"/>
          <w:color w:val="000000" w:themeColor="text1"/>
          <w:sz w:val="20"/>
          <w:szCs w:val="20"/>
        </w:rPr>
      </w:pPr>
      <w:proofErr w:type="spellStart"/>
      <w:r w:rsidRPr="008A6C08">
        <w:rPr>
          <w:rFonts w:ascii="Arial" w:hAnsi="Arial" w:cs="Arial"/>
          <w:color w:val="000000" w:themeColor="text1"/>
          <w:sz w:val="20"/>
          <w:szCs w:val="20"/>
        </w:rPr>
        <w:t>UCn</w:t>
      </w:r>
      <w:proofErr w:type="spellEnd"/>
      <w:r w:rsidRPr="008A6C08">
        <w:rPr>
          <w:rFonts w:ascii="Arial" w:hAnsi="Arial" w:cs="Arial"/>
          <w:color w:val="000000" w:themeColor="text1"/>
          <w:sz w:val="20"/>
          <w:szCs w:val="20"/>
        </w:rPr>
        <w:t xml:space="preserve"> = </w:t>
      </w:r>
      <w:proofErr w:type="spellStart"/>
      <w:r w:rsidRPr="008A6C08">
        <w:rPr>
          <w:rFonts w:ascii="Arial" w:hAnsi="Arial" w:cs="Arial"/>
          <w:color w:val="000000" w:themeColor="text1"/>
          <w:sz w:val="20"/>
          <w:szCs w:val="20"/>
        </w:rPr>
        <w:t>Fnz</w:t>
      </w:r>
      <w:proofErr w:type="spellEnd"/>
      <w:r w:rsidRPr="008A6C08">
        <w:rPr>
          <w:rFonts w:ascii="Arial" w:hAnsi="Arial" w:cs="Arial"/>
          <w:color w:val="000000" w:themeColor="text1"/>
          <w:sz w:val="20"/>
          <w:szCs w:val="20"/>
        </w:rPr>
        <w:t xml:space="preserve"> * (</w:t>
      </w:r>
      <w:proofErr w:type="spellStart"/>
      <w:r w:rsidRPr="008A6C08">
        <w:rPr>
          <w:rFonts w:ascii="Arial" w:hAnsi="Arial" w:cs="Arial"/>
          <w:color w:val="000000" w:themeColor="text1"/>
          <w:sz w:val="20"/>
          <w:szCs w:val="20"/>
        </w:rPr>
        <w:t>Pnz</w:t>
      </w:r>
      <w:proofErr w:type="spellEnd"/>
      <w:r w:rsidRPr="008A6C08">
        <w:rPr>
          <w:rFonts w:ascii="Arial" w:hAnsi="Arial" w:cs="Arial"/>
          <w:color w:val="000000" w:themeColor="text1"/>
          <w:sz w:val="20"/>
          <w:szCs w:val="20"/>
        </w:rPr>
        <w:t xml:space="preserve"> – 1) </w:t>
      </w:r>
    </w:p>
    <w:p w14:paraId="7336B363" w14:textId="77777777" w:rsidR="008A6C08" w:rsidRDefault="008A6C08" w:rsidP="00C41B89">
      <w:pPr>
        <w:autoSpaceDE w:val="0"/>
        <w:autoSpaceDN w:val="0"/>
        <w:adjustRightInd w:val="0"/>
        <w:spacing w:line="360" w:lineRule="auto"/>
        <w:rPr>
          <w:rFonts w:ascii="Arial" w:hAnsi="Arial" w:cs="Arial"/>
          <w:color w:val="000000" w:themeColor="text1"/>
          <w:sz w:val="20"/>
          <w:szCs w:val="20"/>
          <w:highlight w:val="green"/>
        </w:rPr>
      </w:pPr>
    </w:p>
    <w:p w14:paraId="76929FE4" w14:textId="77777777" w:rsidR="008A6C08" w:rsidRDefault="008A6C08">
      <w:pPr>
        <w:spacing w:before="0"/>
        <w:jc w:val="left"/>
        <w:rPr>
          <w:rFonts w:ascii="Arial" w:hAnsi="Arial" w:cs="Arial"/>
          <w:color w:val="000000" w:themeColor="text1"/>
          <w:sz w:val="20"/>
          <w:szCs w:val="20"/>
          <w:highlight w:val="green"/>
        </w:rPr>
      </w:pPr>
      <w:r>
        <w:rPr>
          <w:rFonts w:ascii="Arial" w:hAnsi="Arial" w:cs="Arial"/>
          <w:color w:val="000000" w:themeColor="text1"/>
          <w:sz w:val="20"/>
          <w:szCs w:val="20"/>
          <w:highlight w:val="green"/>
        </w:rPr>
        <w:br w:type="page"/>
      </w:r>
    </w:p>
    <w:p w14:paraId="007B8944" w14:textId="148CBF46" w:rsidR="00C41B89" w:rsidRPr="008A6C08" w:rsidRDefault="00C41B89" w:rsidP="00C41B89">
      <w:pPr>
        <w:autoSpaceDE w:val="0"/>
        <w:autoSpaceDN w:val="0"/>
        <w:adjustRightInd w:val="0"/>
        <w:spacing w:line="360" w:lineRule="auto"/>
        <w:rPr>
          <w:rFonts w:ascii="Arial" w:hAnsi="Arial" w:cs="Arial"/>
          <w:color w:val="000000" w:themeColor="text1"/>
          <w:sz w:val="20"/>
          <w:szCs w:val="20"/>
        </w:rPr>
      </w:pPr>
      <w:r w:rsidRPr="008A6C08">
        <w:rPr>
          <w:rFonts w:ascii="Arial" w:hAnsi="Arial" w:cs="Arial"/>
          <w:color w:val="000000" w:themeColor="text1"/>
          <w:sz w:val="20"/>
          <w:szCs w:val="20"/>
        </w:rPr>
        <w:lastRenderedPageBreak/>
        <w:t>s tím, že</w:t>
      </w:r>
    </w:p>
    <w:p w14:paraId="21693D87" w14:textId="230896C5" w:rsidR="00C41B89" w:rsidRPr="008A6C08" w:rsidRDefault="00C41B89" w:rsidP="00C41B89">
      <w:pPr>
        <w:autoSpaceDE w:val="0"/>
        <w:autoSpaceDN w:val="0"/>
        <w:adjustRightInd w:val="0"/>
        <w:spacing w:line="360" w:lineRule="auto"/>
        <w:rPr>
          <w:rFonts w:ascii="Arial" w:hAnsi="Arial" w:cs="Arial"/>
          <w:color w:val="000000" w:themeColor="text1"/>
          <w:sz w:val="20"/>
          <w:szCs w:val="20"/>
        </w:rPr>
      </w:pPr>
      <w:r w:rsidRPr="008A6C08">
        <w:rPr>
          <w:rFonts w:ascii="Arial" w:hAnsi="Arial" w:cs="Arial"/>
          <w:color w:val="000000" w:themeColor="text1"/>
          <w:sz w:val="20"/>
          <w:szCs w:val="20"/>
        </w:rPr>
        <w:t>výpočet hodnoty násobitele úpravy za příslušné kalendářní čtvrtletí</w:t>
      </w:r>
      <w:r w:rsidR="008A6C08" w:rsidRPr="008A6C08">
        <w:rPr>
          <w:rFonts w:ascii="Arial" w:hAnsi="Arial" w:cs="Arial"/>
          <w:color w:val="000000" w:themeColor="text1"/>
          <w:sz w:val="20"/>
          <w:szCs w:val="20"/>
        </w:rPr>
        <w:t xml:space="preserve"> „n“</w:t>
      </w:r>
      <w:r w:rsidRPr="008A6C08">
        <w:rPr>
          <w:rFonts w:ascii="Arial" w:hAnsi="Arial" w:cs="Arial"/>
          <w:color w:val="000000" w:themeColor="text1"/>
          <w:sz w:val="20"/>
          <w:szCs w:val="20"/>
        </w:rPr>
        <w:t xml:space="preserve"> bude proveden podle vzorce:</w:t>
      </w:r>
    </w:p>
    <w:p w14:paraId="4DCE001E" w14:textId="77777777" w:rsidR="00C41B89" w:rsidRPr="008A6C08" w:rsidRDefault="00C41B89" w:rsidP="00C41B89">
      <w:pPr>
        <w:autoSpaceDE w:val="0"/>
        <w:autoSpaceDN w:val="0"/>
        <w:adjustRightInd w:val="0"/>
        <w:rPr>
          <w:rFonts w:ascii="Arial" w:hAnsi="Arial" w:cs="Arial"/>
          <w:color w:val="000000" w:themeColor="text1"/>
          <w:sz w:val="20"/>
          <w:szCs w:val="20"/>
        </w:rPr>
      </w:pPr>
      <m:oMathPara>
        <m:oMathParaPr>
          <m:jc m:val="left"/>
        </m:oMathParaPr>
        <m:oMath>
          <m:r>
            <w:rPr>
              <w:rFonts w:ascii="Cambria Math" w:hAnsi="Cambria Math" w:cs="Arial"/>
              <w:color w:val="000000" w:themeColor="text1"/>
              <w:sz w:val="20"/>
              <w:szCs w:val="20"/>
            </w:rPr>
            <m:t xml:space="preserve">Pnz= </m:t>
          </m:r>
          <m:nary>
            <m:naryPr>
              <m:chr m:val="∏"/>
              <m:limLoc m:val="undOvr"/>
              <m:ctrlPr>
                <w:rPr>
                  <w:rFonts w:ascii="Cambria Math" w:hAnsi="Cambria Math" w:cs="Arial"/>
                  <w:i/>
                  <w:color w:val="000000" w:themeColor="text1"/>
                </w:rPr>
              </m:ctrlPr>
            </m:naryPr>
            <m:sub>
              <m:r>
                <w:rPr>
                  <w:rFonts w:ascii="Cambria Math" w:hAnsi="Cambria Math" w:cs="Arial"/>
                  <w:color w:val="000000" w:themeColor="text1"/>
                  <w:sz w:val="20"/>
                  <w:szCs w:val="20"/>
                </w:rPr>
                <m:t>o</m:t>
              </m:r>
            </m:sub>
            <m:sup>
              <m:r>
                <w:rPr>
                  <w:rFonts w:ascii="Cambria Math" w:hAnsi="Cambria Math" w:cs="Arial"/>
                  <w:color w:val="000000" w:themeColor="text1"/>
                  <w:sz w:val="20"/>
                  <w:szCs w:val="20"/>
                </w:rPr>
                <m:t>n</m:t>
              </m:r>
            </m:sup>
            <m:e>
              <m:r>
                <w:rPr>
                  <w:rFonts w:ascii="Cambria Math" w:hAnsi="Cambria Math" w:cs="Arial"/>
                  <w:color w:val="000000" w:themeColor="text1"/>
                  <w:sz w:val="20"/>
                  <w:szCs w:val="20"/>
                </w:rPr>
                <m:t>(Li/100)</m:t>
              </m:r>
            </m:e>
          </m:nary>
        </m:oMath>
      </m:oMathPara>
    </w:p>
    <w:p w14:paraId="72E75404" w14:textId="77777777" w:rsidR="00C41B89" w:rsidRPr="00C41B89" w:rsidRDefault="00C41B89" w:rsidP="00C41B89">
      <w:pPr>
        <w:autoSpaceDE w:val="0"/>
        <w:autoSpaceDN w:val="0"/>
        <w:adjustRightInd w:val="0"/>
        <w:rPr>
          <w:rFonts w:ascii="Arial" w:hAnsi="Arial" w:cs="Arial"/>
          <w:color w:val="000000" w:themeColor="text1"/>
          <w:sz w:val="20"/>
          <w:szCs w:val="20"/>
          <w:highlight w:val="green"/>
        </w:rPr>
      </w:pPr>
    </w:p>
    <w:p w14:paraId="1CABB33C" w14:textId="77777777" w:rsidR="00C41B89" w:rsidRPr="008A6C08" w:rsidRDefault="00C41B89" w:rsidP="00C41B89">
      <w:pPr>
        <w:autoSpaceDE w:val="0"/>
        <w:autoSpaceDN w:val="0"/>
        <w:adjustRightInd w:val="0"/>
        <w:spacing w:line="360" w:lineRule="auto"/>
        <w:rPr>
          <w:rFonts w:ascii="Arial" w:hAnsi="Arial" w:cs="Arial"/>
          <w:color w:val="000000" w:themeColor="text1"/>
          <w:sz w:val="20"/>
          <w:szCs w:val="20"/>
        </w:rPr>
      </w:pPr>
      <w:r w:rsidRPr="008A6C08">
        <w:rPr>
          <w:rFonts w:ascii="Arial" w:hAnsi="Arial" w:cs="Arial"/>
          <w:color w:val="000000" w:themeColor="text1"/>
          <w:sz w:val="20"/>
          <w:szCs w:val="20"/>
        </w:rPr>
        <w:t>kde:</w:t>
      </w:r>
    </w:p>
    <w:p w14:paraId="0207C264" w14:textId="2DC0BC99" w:rsidR="00C41B89" w:rsidRPr="008A2AC8" w:rsidRDefault="00C41B89" w:rsidP="00C41B89">
      <w:pPr>
        <w:autoSpaceDE w:val="0"/>
        <w:autoSpaceDN w:val="0"/>
        <w:adjustRightInd w:val="0"/>
        <w:spacing w:line="360" w:lineRule="auto"/>
        <w:rPr>
          <w:rFonts w:ascii="Arial" w:hAnsi="Arial" w:cs="Arial"/>
          <w:color w:val="000000" w:themeColor="text1"/>
          <w:sz w:val="20"/>
          <w:szCs w:val="20"/>
        </w:rPr>
      </w:pPr>
      <w:r w:rsidRPr="008A2AC8">
        <w:rPr>
          <w:rFonts w:ascii="Arial" w:hAnsi="Arial" w:cs="Arial"/>
          <w:b/>
          <w:color w:val="000000" w:themeColor="text1"/>
          <w:sz w:val="20"/>
          <w:szCs w:val="20"/>
        </w:rPr>
        <w:t>„n“</w:t>
      </w:r>
      <w:r w:rsidRPr="008A2AC8">
        <w:rPr>
          <w:rFonts w:ascii="Arial" w:hAnsi="Arial" w:cs="Arial"/>
          <w:color w:val="000000" w:themeColor="text1"/>
          <w:sz w:val="20"/>
          <w:szCs w:val="20"/>
        </w:rPr>
        <w:t xml:space="preserve"> je příslušné kalendářní čtvrtletí, pro které je vypočítávána úprava ceny </w:t>
      </w:r>
      <w:r w:rsidR="008A2AC8" w:rsidRPr="008A2AC8">
        <w:rPr>
          <w:rFonts w:ascii="Arial" w:hAnsi="Arial" w:cs="Arial"/>
          <w:color w:val="000000" w:themeColor="text1"/>
          <w:sz w:val="20"/>
          <w:szCs w:val="20"/>
        </w:rPr>
        <w:t>základních opatření. Příslušným kalendářním čtvrtletí se rozumí datum závazné objednávky ESCO u poddodavatelů.</w:t>
      </w:r>
    </w:p>
    <w:p w14:paraId="224BC114" w14:textId="560FFFA4" w:rsidR="00C41B89" w:rsidRPr="008A2AC8" w:rsidRDefault="00C41B89" w:rsidP="00C41B89">
      <w:pPr>
        <w:autoSpaceDE w:val="0"/>
        <w:autoSpaceDN w:val="0"/>
        <w:adjustRightInd w:val="0"/>
        <w:spacing w:line="360" w:lineRule="auto"/>
        <w:rPr>
          <w:rFonts w:ascii="Arial" w:hAnsi="Arial" w:cs="Arial"/>
          <w:color w:val="000000" w:themeColor="text1"/>
          <w:sz w:val="20"/>
          <w:szCs w:val="20"/>
        </w:rPr>
      </w:pPr>
      <w:r w:rsidRPr="008A2AC8">
        <w:rPr>
          <w:rFonts w:ascii="Arial" w:hAnsi="Arial" w:cs="Arial"/>
          <w:b/>
          <w:color w:val="000000" w:themeColor="text1"/>
          <w:sz w:val="20"/>
          <w:szCs w:val="20"/>
        </w:rPr>
        <w:t>„</w:t>
      </w:r>
      <w:proofErr w:type="spellStart"/>
      <w:r w:rsidRPr="008A2AC8">
        <w:rPr>
          <w:rFonts w:ascii="Arial" w:hAnsi="Arial" w:cs="Arial"/>
          <w:b/>
          <w:color w:val="000000" w:themeColor="text1"/>
          <w:sz w:val="20"/>
          <w:szCs w:val="20"/>
        </w:rPr>
        <w:t>Pnz</w:t>
      </w:r>
      <w:proofErr w:type="spellEnd"/>
      <w:r w:rsidRPr="008A2AC8">
        <w:rPr>
          <w:rFonts w:ascii="Arial" w:hAnsi="Arial" w:cs="Arial"/>
          <w:b/>
          <w:color w:val="000000" w:themeColor="text1"/>
          <w:sz w:val="20"/>
          <w:szCs w:val="20"/>
        </w:rPr>
        <w:t>“</w:t>
      </w:r>
      <w:r w:rsidRPr="008A2AC8">
        <w:rPr>
          <w:rFonts w:ascii="Arial" w:hAnsi="Arial" w:cs="Arial"/>
          <w:color w:val="000000" w:themeColor="text1"/>
          <w:sz w:val="20"/>
          <w:szCs w:val="20"/>
        </w:rPr>
        <w:t xml:space="preserve"> je násobitel úpravy pro kalendářní čtvrtletí „n“, za které je vypočítávána úprava částek pro všechny položky nebo práce podléhající úpravě podle této valorizační doložky</w:t>
      </w:r>
      <w:r w:rsidR="008A2AC8">
        <w:rPr>
          <w:rFonts w:ascii="Arial" w:hAnsi="Arial" w:cs="Arial"/>
          <w:color w:val="000000" w:themeColor="text1"/>
          <w:sz w:val="20"/>
          <w:szCs w:val="20"/>
        </w:rPr>
        <w:t>.</w:t>
      </w:r>
    </w:p>
    <w:p w14:paraId="21CCD4D5" w14:textId="3ECF0A0C" w:rsidR="00C41B89" w:rsidRPr="008A2AC8" w:rsidRDefault="00C41B89" w:rsidP="00C41B89">
      <w:pPr>
        <w:autoSpaceDE w:val="0"/>
        <w:autoSpaceDN w:val="0"/>
        <w:adjustRightInd w:val="0"/>
        <w:spacing w:line="360" w:lineRule="auto"/>
        <w:rPr>
          <w:rFonts w:ascii="Arial" w:hAnsi="Arial" w:cs="Arial"/>
          <w:color w:val="000000" w:themeColor="text1"/>
          <w:sz w:val="20"/>
          <w:szCs w:val="20"/>
        </w:rPr>
      </w:pPr>
      <w:r w:rsidRPr="008A2AC8">
        <w:rPr>
          <w:rFonts w:ascii="Arial" w:hAnsi="Arial" w:cs="Arial"/>
          <w:b/>
          <w:color w:val="000000" w:themeColor="text1"/>
          <w:sz w:val="20"/>
          <w:szCs w:val="20"/>
        </w:rPr>
        <w:t>„</w:t>
      </w:r>
      <w:proofErr w:type="spellStart"/>
      <w:r w:rsidRPr="008A2AC8">
        <w:rPr>
          <w:rFonts w:ascii="Arial" w:hAnsi="Arial" w:cs="Arial"/>
          <w:b/>
          <w:color w:val="000000" w:themeColor="text1"/>
          <w:sz w:val="20"/>
          <w:szCs w:val="20"/>
        </w:rPr>
        <w:t>UCn</w:t>
      </w:r>
      <w:proofErr w:type="spellEnd"/>
      <w:r w:rsidRPr="008A2AC8">
        <w:rPr>
          <w:rFonts w:ascii="Arial" w:hAnsi="Arial" w:cs="Arial"/>
          <w:b/>
          <w:color w:val="000000" w:themeColor="text1"/>
          <w:sz w:val="20"/>
          <w:szCs w:val="20"/>
        </w:rPr>
        <w:t>“</w:t>
      </w:r>
      <w:r w:rsidRPr="008A2AC8">
        <w:rPr>
          <w:rFonts w:ascii="Arial" w:hAnsi="Arial" w:cs="Arial"/>
          <w:color w:val="000000" w:themeColor="text1"/>
          <w:sz w:val="20"/>
          <w:szCs w:val="20"/>
        </w:rPr>
        <w:t xml:space="preserve"> je částka, která má být přičtena nebo odečtena v důsledku změn nákladů za kalendářní čtvrtletí „n“</w:t>
      </w:r>
      <w:r w:rsidR="008A2AC8" w:rsidRPr="008A2AC8">
        <w:rPr>
          <w:rFonts w:ascii="Arial" w:hAnsi="Arial" w:cs="Arial"/>
          <w:color w:val="000000" w:themeColor="text1"/>
          <w:sz w:val="20"/>
          <w:szCs w:val="20"/>
        </w:rPr>
        <w:t>.</w:t>
      </w:r>
    </w:p>
    <w:p w14:paraId="086CBA64" w14:textId="5826C62A" w:rsidR="00C41B89" w:rsidRPr="00FA4CC2" w:rsidRDefault="00C41B89" w:rsidP="00C41B89">
      <w:pPr>
        <w:autoSpaceDE w:val="0"/>
        <w:autoSpaceDN w:val="0"/>
        <w:adjustRightInd w:val="0"/>
        <w:spacing w:line="360" w:lineRule="auto"/>
        <w:rPr>
          <w:rFonts w:ascii="Arial" w:hAnsi="Arial" w:cs="Arial"/>
          <w:color w:val="000000" w:themeColor="text1"/>
          <w:sz w:val="20"/>
          <w:szCs w:val="20"/>
        </w:rPr>
      </w:pPr>
      <w:r w:rsidRPr="00FA4CC2">
        <w:rPr>
          <w:rFonts w:ascii="Arial" w:hAnsi="Arial" w:cs="Arial"/>
          <w:b/>
          <w:color w:val="000000" w:themeColor="text1"/>
          <w:sz w:val="20"/>
          <w:szCs w:val="20"/>
        </w:rPr>
        <w:t>„</w:t>
      </w:r>
      <w:proofErr w:type="spellStart"/>
      <w:r w:rsidRPr="00FA4CC2">
        <w:rPr>
          <w:rFonts w:ascii="Arial" w:hAnsi="Arial" w:cs="Arial"/>
          <w:b/>
          <w:color w:val="000000" w:themeColor="text1"/>
          <w:sz w:val="20"/>
          <w:szCs w:val="20"/>
        </w:rPr>
        <w:t>Fnz</w:t>
      </w:r>
      <w:proofErr w:type="spellEnd"/>
      <w:r w:rsidRPr="00FA4CC2">
        <w:rPr>
          <w:rFonts w:ascii="Arial" w:hAnsi="Arial" w:cs="Arial"/>
          <w:b/>
          <w:color w:val="000000" w:themeColor="text1"/>
          <w:sz w:val="20"/>
          <w:szCs w:val="20"/>
        </w:rPr>
        <w:t>“</w:t>
      </w:r>
      <w:r w:rsidRPr="00FA4CC2">
        <w:rPr>
          <w:rFonts w:ascii="Arial" w:hAnsi="Arial" w:cs="Arial"/>
          <w:color w:val="000000" w:themeColor="text1"/>
          <w:sz w:val="20"/>
          <w:szCs w:val="20"/>
        </w:rPr>
        <w:t xml:space="preserve"> je součet v</w:t>
      </w:r>
      <w:r w:rsidR="008A2AC8" w:rsidRPr="00FA4CC2">
        <w:rPr>
          <w:rFonts w:ascii="Arial" w:hAnsi="Arial" w:cs="Arial"/>
          <w:color w:val="000000" w:themeColor="text1"/>
          <w:sz w:val="20"/>
          <w:szCs w:val="20"/>
        </w:rPr>
        <w:t> nabídkové ceny ESCO závazně objednaných technologických zařízení</w:t>
      </w:r>
      <w:r w:rsidR="00817DAF">
        <w:rPr>
          <w:rFonts w:ascii="Arial" w:hAnsi="Arial" w:cs="Arial"/>
          <w:color w:val="000000" w:themeColor="text1"/>
          <w:sz w:val="20"/>
          <w:szCs w:val="20"/>
        </w:rPr>
        <w:t xml:space="preserve"> (dílčích opatření)</w:t>
      </w:r>
      <w:r w:rsidR="008A2AC8" w:rsidRPr="00FA4CC2">
        <w:rPr>
          <w:rFonts w:ascii="Arial" w:hAnsi="Arial" w:cs="Arial"/>
          <w:color w:val="000000" w:themeColor="text1"/>
          <w:sz w:val="20"/>
          <w:szCs w:val="20"/>
        </w:rPr>
        <w:t xml:space="preserve"> v </w:t>
      </w:r>
      <w:r w:rsidRPr="00FA4CC2">
        <w:rPr>
          <w:rFonts w:ascii="Arial" w:hAnsi="Arial" w:cs="Arial"/>
          <w:color w:val="000000" w:themeColor="text1"/>
          <w:sz w:val="20"/>
          <w:szCs w:val="20"/>
        </w:rPr>
        <w:t>příslušném kalendářním čtvrtletí „n“</w:t>
      </w:r>
      <w:r w:rsidR="00817DAF">
        <w:rPr>
          <w:rFonts w:ascii="Arial" w:hAnsi="Arial" w:cs="Arial"/>
          <w:color w:val="000000" w:themeColor="text1"/>
          <w:sz w:val="20"/>
          <w:szCs w:val="20"/>
        </w:rPr>
        <w:t xml:space="preserve"> upravený váhou dle Tab. 14.1</w:t>
      </w:r>
      <w:r w:rsidR="008A2AC8" w:rsidRPr="00FA4CC2">
        <w:rPr>
          <w:rFonts w:ascii="Arial" w:hAnsi="Arial" w:cs="Arial"/>
          <w:color w:val="000000" w:themeColor="text1"/>
          <w:sz w:val="20"/>
          <w:szCs w:val="20"/>
        </w:rPr>
        <w:t xml:space="preserve">. Jako cenový index bude uváděn cenový index </w:t>
      </w:r>
      <w:proofErr w:type="spellStart"/>
      <w:r w:rsidR="008A2AC8" w:rsidRPr="00FA4CC2">
        <w:rPr>
          <w:rFonts w:ascii="Arial" w:hAnsi="Arial" w:cs="Arial"/>
          <w:color w:val="000000" w:themeColor="text1"/>
          <w:sz w:val="20"/>
          <w:szCs w:val="20"/>
        </w:rPr>
        <w:t>TSKPstat</w:t>
      </w:r>
      <w:proofErr w:type="spellEnd"/>
      <w:r w:rsidR="008A2AC8" w:rsidRPr="00FA4CC2">
        <w:rPr>
          <w:rFonts w:ascii="Arial" w:hAnsi="Arial" w:cs="Arial"/>
          <w:color w:val="000000" w:themeColor="text1"/>
          <w:sz w:val="20"/>
          <w:szCs w:val="20"/>
        </w:rPr>
        <w:t>:</w:t>
      </w:r>
    </w:p>
    <w:p w14:paraId="65BC0E74" w14:textId="77777777" w:rsidR="008A2AC8" w:rsidRPr="00FA4CC2" w:rsidRDefault="008A2AC8" w:rsidP="00FA4CC2">
      <w:pPr>
        <w:pStyle w:val="ListParagraph"/>
        <w:numPr>
          <w:ilvl w:val="0"/>
          <w:numId w:val="39"/>
        </w:numPr>
        <w:autoSpaceDE w:val="0"/>
        <w:autoSpaceDN w:val="0"/>
        <w:adjustRightInd w:val="0"/>
        <w:spacing w:line="360" w:lineRule="auto"/>
        <w:rPr>
          <w:rFonts w:ascii="Arial" w:hAnsi="Arial" w:cs="Arial"/>
          <w:bCs/>
          <w:color w:val="000000" w:themeColor="text1"/>
          <w:sz w:val="20"/>
          <w:szCs w:val="20"/>
        </w:rPr>
      </w:pPr>
      <w:r w:rsidRPr="00FA4CC2">
        <w:rPr>
          <w:rFonts w:ascii="Arial" w:hAnsi="Arial" w:cs="Arial"/>
          <w:bCs/>
          <w:color w:val="000000" w:themeColor="text1"/>
          <w:sz w:val="20"/>
          <w:szCs w:val="20"/>
        </w:rPr>
        <w:t xml:space="preserve">Dílčí opatření – cenové indexy uvedené v nabídce účastníka. Jednotlivé váhy cenových indexů u dílčích opatření volí účastník ve své nabídce. Vítězný dodavatel bude moci při verifikaci tyto váhy upravit.    </w:t>
      </w:r>
    </w:p>
    <w:p w14:paraId="36BC6657" w14:textId="52CB3DAB" w:rsidR="00C41B89" w:rsidRPr="00FA4CC2" w:rsidRDefault="00C41B89" w:rsidP="00C41B89">
      <w:pPr>
        <w:autoSpaceDE w:val="0"/>
        <w:autoSpaceDN w:val="0"/>
        <w:adjustRightInd w:val="0"/>
        <w:spacing w:line="360" w:lineRule="auto"/>
        <w:rPr>
          <w:rFonts w:ascii="Arial" w:hAnsi="Arial" w:cs="Arial"/>
          <w:color w:val="000000" w:themeColor="text1"/>
          <w:sz w:val="20"/>
          <w:szCs w:val="20"/>
        </w:rPr>
      </w:pPr>
      <w:r w:rsidRPr="00FA4CC2">
        <w:rPr>
          <w:rFonts w:ascii="Arial" w:hAnsi="Arial" w:cs="Arial"/>
          <w:b/>
          <w:color w:val="000000" w:themeColor="text1"/>
          <w:sz w:val="20"/>
          <w:szCs w:val="20"/>
        </w:rPr>
        <w:t>„</w:t>
      </w:r>
      <w:proofErr w:type="spellStart"/>
      <w:r w:rsidRPr="00FA4CC2">
        <w:rPr>
          <w:rFonts w:ascii="Arial" w:hAnsi="Arial" w:cs="Arial"/>
          <w:b/>
          <w:color w:val="000000" w:themeColor="text1"/>
          <w:sz w:val="20"/>
          <w:szCs w:val="20"/>
        </w:rPr>
        <w:t>Li</w:t>
      </w:r>
      <w:proofErr w:type="spellEnd"/>
      <w:r w:rsidRPr="00FA4CC2">
        <w:rPr>
          <w:rFonts w:ascii="Arial" w:hAnsi="Arial" w:cs="Arial"/>
          <w:b/>
          <w:color w:val="000000" w:themeColor="text1"/>
          <w:sz w:val="20"/>
          <w:szCs w:val="20"/>
        </w:rPr>
        <w:t>“</w:t>
      </w:r>
      <w:r w:rsidRPr="00FA4CC2">
        <w:rPr>
          <w:rFonts w:ascii="Arial" w:hAnsi="Arial" w:cs="Arial"/>
          <w:color w:val="000000" w:themeColor="text1"/>
          <w:sz w:val="20"/>
          <w:szCs w:val="20"/>
        </w:rPr>
        <w:t xml:space="preserve"> je Cenový index pro příslušn</w:t>
      </w:r>
      <w:r w:rsidR="008A2AC8" w:rsidRPr="00FA4CC2">
        <w:rPr>
          <w:rFonts w:ascii="Arial" w:hAnsi="Arial" w:cs="Arial"/>
          <w:color w:val="000000" w:themeColor="text1"/>
          <w:sz w:val="20"/>
          <w:szCs w:val="20"/>
        </w:rPr>
        <w:t>á</w:t>
      </w:r>
      <w:r w:rsidRPr="00FA4CC2">
        <w:rPr>
          <w:rFonts w:ascii="Arial" w:hAnsi="Arial" w:cs="Arial"/>
          <w:color w:val="000000" w:themeColor="text1"/>
          <w:sz w:val="20"/>
          <w:szCs w:val="20"/>
        </w:rPr>
        <w:t xml:space="preserve"> kalendářní čtvrtletí, za kter</w:t>
      </w:r>
      <w:r w:rsidR="00D969C2">
        <w:rPr>
          <w:rFonts w:ascii="Arial" w:hAnsi="Arial" w:cs="Arial"/>
          <w:color w:val="000000" w:themeColor="text1"/>
          <w:sz w:val="20"/>
          <w:szCs w:val="20"/>
        </w:rPr>
        <w:t>á</w:t>
      </w:r>
      <w:r w:rsidRPr="00FA4CC2">
        <w:rPr>
          <w:rFonts w:ascii="Arial" w:hAnsi="Arial" w:cs="Arial"/>
          <w:color w:val="000000" w:themeColor="text1"/>
          <w:sz w:val="20"/>
          <w:szCs w:val="20"/>
        </w:rPr>
        <w:t xml:space="preserve"> je vypočítávána úprava částek (od „o“ do „n“)</w:t>
      </w:r>
      <w:r w:rsidR="00FA4CC2" w:rsidRPr="00FA4CC2">
        <w:rPr>
          <w:rFonts w:ascii="Arial" w:hAnsi="Arial" w:cs="Arial"/>
          <w:color w:val="000000" w:themeColor="text1"/>
          <w:sz w:val="20"/>
          <w:szCs w:val="20"/>
        </w:rPr>
        <w:t>.</w:t>
      </w:r>
    </w:p>
    <w:p w14:paraId="74384DB1" w14:textId="0C783479" w:rsidR="00C41B89" w:rsidRPr="00FA4CC2" w:rsidRDefault="00C41B89" w:rsidP="00C41B89">
      <w:pPr>
        <w:autoSpaceDE w:val="0"/>
        <w:autoSpaceDN w:val="0"/>
        <w:adjustRightInd w:val="0"/>
        <w:spacing w:line="360" w:lineRule="auto"/>
        <w:rPr>
          <w:rFonts w:ascii="Arial" w:hAnsi="Arial" w:cs="Arial"/>
          <w:color w:val="000000" w:themeColor="text1"/>
          <w:sz w:val="20"/>
          <w:szCs w:val="20"/>
        </w:rPr>
      </w:pPr>
      <w:r w:rsidRPr="00FA4CC2">
        <w:rPr>
          <w:rFonts w:ascii="Arial" w:hAnsi="Arial" w:cs="Arial"/>
          <w:b/>
          <w:color w:val="000000" w:themeColor="text1"/>
          <w:sz w:val="20"/>
          <w:szCs w:val="20"/>
        </w:rPr>
        <w:t>„o“</w:t>
      </w:r>
      <w:r w:rsidRPr="00FA4CC2">
        <w:rPr>
          <w:rFonts w:ascii="Arial" w:hAnsi="Arial" w:cs="Arial"/>
          <w:color w:val="000000" w:themeColor="text1"/>
          <w:sz w:val="20"/>
          <w:szCs w:val="20"/>
        </w:rPr>
        <w:t xml:space="preserve"> je kalendářní čtvrtletí, do něhož spadá datum podání nabídky na realizaci díla</w:t>
      </w:r>
      <w:r w:rsidR="00FA4CC2" w:rsidRPr="00FA4CC2">
        <w:rPr>
          <w:rFonts w:ascii="Arial" w:hAnsi="Arial" w:cs="Arial"/>
          <w:color w:val="000000" w:themeColor="text1"/>
          <w:sz w:val="20"/>
          <w:szCs w:val="20"/>
        </w:rPr>
        <w:t>.</w:t>
      </w:r>
    </w:p>
    <w:p w14:paraId="2F096308" w14:textId="77777777" w:rsidR="00C41B89" w:rsidRPr="00FA4CC2" w:rsidRDefault="00C41B89" w:rsidP="00C41B89">
      <w:pPr>
        <w:autoSpaceDE w:val="0"/>
        <w:autoSpaceDN w:val="0"/>
        <w:adjustRightInd w:val="0"/>
        <w:spacing w:line="360" w:lineRule="auto"/>
        <w:rPr>
          <w:rFonts w:ascii="Arial" w:hAnsi="Arial" w:cs="Arial"/>
          <w:color w:val="000000" w:themeColor="text1"/>
          <w:sz w:val="20"/>
          <w:szCs w:val="20"/>
        </w:rPr>
      </w:pPr>
    </w:p>
    <w:p w14:paraId="24CC969B" w14:textId="77777777" w:rsidR="00FA4CC2" w:rsidRPr="00FA4CC2" w:rsidRDefault="00FA4CC2" w:rsidP="00FA4CC2">
      <w:pPr>
        <w:autoSpaceDE w:val="0"/>
        <w:autoSpaceDN w:val="0"/>
        <w:adjustRightInd w:val="0"/>
        <w:spacing w:line="360" w:lineRule="auto"/>
        <w:rPr>
          <w:rFonts w:ascii="Arial" w:hAnsi="Arial" w:cs="Arial"/>
          <w:color w:val="000000" w:themeColor="text1"/>
          <w:sz w:val="20"/>
          <w:szCs w:val="20"/>
        </w:rPr>
      </w:pPr>
      <w:r w:rsidRPr="00FA4CC2">
        <w:rPr>
          <w:rFonts w:ascii="Arial" w:hAnsi="Arial" w:cs="Arial"/>
          <w:color w:val="000000" w:themeColor="text1"/>
          <w:sz w:val="20"/>
          <w:szCs w:val="20"/>
        </w:rPr>
        <w:t>Žádná úprava nebude použita pro technologická zařízení objednaná v kalendářním čtvrtletí, v němž bude násobitel úpravy (</w:t>
      </w:r>
      <w:proofErr w:type="spellStart"/>
      <w:r w:rsidRPr="00FA4CC2">
        <w:rPr>
          <w:rFonts w:ascii="Arial" w:hAnsi="Arial" w:cs="Arial"/>
          <w:color w:val="000000" w:themeColor="text1"/>
          <w:sz w:val="20"/>
          <w:szCs w:val="20"/>
        </w:rPr>
        <w:t>Pnz</w:t>
      </w:r>
      <w:proofErr w:type="spellEnd"/>
      <w:r w:rsidRPr="00FA4CC2">
        <w:rPr>
          <w:rFonts w:ascii="Arial" w:hAnsi="Arial" w:cs="Arial"/>
          <w:color w:val="000000" w:themeColor="text1"/>
          <w:sz w:val="20"/>
          <w:szCs w:val="20"/>
        </w:rPr>
        <w:t>) v intervalu 0,99 až 1,01 (se zaokrouhlováním na 4 desetinná místa).</w:t>
      </w:r>
    </w:p>
    <w:p w14:paraId="2832B3C2" w14:textId="77777777" w:rsidR="00FA4CC2" w:rsidRPr="00FA4CC2" w:rsidRDefault="00FA4CC2" w:rsidP="00FA4CC2">
      <w:pPr>
        <w:autoSpaceDE w:val="0"/>
        <w:autoSpaceDN w:val="0"/>
        <w:adjustRightInd w:val="0"/>
        <w:spacing w:line="360" w:lineRule="auto"/>
        <w:rPr>
          <w:rFonts w:ascii="Arial" w:hAnsi="Arial" w:cs="Arial"/>
          <w:color w:val="000000" w:themeColor="text1"/>
          <w:sz w:val="20"/>
          <w:szCs w:val="20"/>
        </w:rPr>
      </w:pPr>
    </w:p>
    <w:p w14:paraId="44225105" w14:textId="77777777" w:rsidR="00FA4CC2" w:rsidRPr="00FA4CC2" w:rsidRDefault="00FA4CC2" w:rsidP="00FA4CC2">
      <w:pPr>
        <w:autoSpaceDE w:val="0"/>
        <w:autoSpaceDN w:val="0"/>
        <w:adjustRightInd w:val="0"/>
        <w:spacing w:line="360" w:lineRule="auto"/>
        <w:rPr>
          <w:rFonts w:ascii="Arial" w:hAnsi="Arial" w:cs="Arial"/>
          <w:color w:val="000000" w:themeColor="text1"/>
          <w:sz w:val="20"/>
          <w:szCs w:val="20"/>
        </w:rPr>
      </w:pPr>
      <w:r w:rsidRPr="00FA4CC2">
        <w:rPr>
          <w:rFonts w:ascii="Arial" w:hAnsi="Arial" w:cs="Arial"/>
          <w:color w:val="000000" w:themeColor="text1"/>
          <w:sz w:val="20"/>
          <w:szCs w:val="20"/>
        </w:rPr>
        <w:t xml:space="preserve">Výsledná částka přičtená nebo odečtená v důsledku změn nákladů za celé období realizace projektu (od čtvrtletí „o“ do čtvrtletí poslední objednávky technologických zařízení), bude dána jako součet </w:t>
      </w:r>
      <w:proofErr w:type="spellStart"/>
      <w:r w:rsidRPr="00FA4CC2">
        <w:rPr>
          <w:rFonts w:ascii="Arial" w:hAnsi="Arial" w:cs="Arial"/>
          <w:color w:val="000000" w:themeColor="text1"/>
          <w:sz w:val="20"/>
          <w:szCs w:val="20"/>
        </w:rPr>
        <w:t>UCn</w:t>
      </w:r>
      <w:proofErr w:type="spellEnd"/>
      <w:r w:rsidRPr="00FA4CC2">
        <w:rPr>
          <w:rFonts w:ascii="Arial" w:hAnsi="Arial" w:cs="Arial"/>
          <w:color w:val="000000" w:themeColor="text1"/>
          <w:sz w:val="20"/>
          <w:szCs w:val="20"/>
        </w:rPr>
        <w:t xml:space="preserve"> pro jednotlivá čtvrtletí.</w:t>
      </w:r>
    </w:p>
    <w:p w14:paraId="36887858" w14:textId="77777777" w:rsidR="00FA4CC2" w:rsidRPr="00FA4CC2" w:rsidRDefault="00FA4CC2" w:rsidP="00FA4CC2">
      <w:pPr>
        <w:autoSpaceDE w:val="0"/>
        <w:autoSpaceDN w:val="0"/>
        <w:adjustRightInd w:val="0"/>
        <w:spacing w:line="360" w:lineRule="auto"/>
        <w:rPr>
          <w:rFonts w:ascii="Arial" w:hAnsi="Arial" w:cs="Arial"/>
          <w:color w:val="000000" w:themeColor="text1"/>
          <w:sz w:val="20"/>
          <w:szCs w:val="20"/>
        </w:rPr>
      </w:pPr>
    </w:p>
    <w:p w14:paraId="1FAF87FE" w14:textId="77777777" w:rsidR="00FA4CC2" w:rsidRPr="00FA4CC2" w:rsidRDefault="00FA4CC2" w:rsidP="00FA4CC2">
      <w:pPr>
        <w:autoSpaceDE w:val="0"/>
        <w:autoSpaceDN w:val="0"/>
        <w:adjustRightInd w:val="0"/>
        <w:spacing w:line="360" w:lineRule="auto"/>
        <w:rPr>
          <w:rFonts w:ascii="Arial" w:hAnsi="Arial" w:cs="Arial"/>
          <w:b/>
          <w:bCs/>
          <w:color w:val="000000" w:themeColor="text1"/>
          <w:sz w:val="20"/>
          <w:szCs w:val="20"/>
          <w:u w:val="single"/>
        </w:rPr>
      </w:pPr>
      <w:r w:rsidRPr="00FA4CC2">
        <w:rPr>
          <w:rFonts w:ascii="Arial" w:hAnsi="Arial" w:cs="Arial"/>
          <w:b/>
          <w:bCs/>
          <w:color w:val="000000" w:themeColor="text1"/>
          <w:sz w:val="20"/>
          <w:szCs w:val="20"/>
          <w:u w:val="single"/>
        </w:rPr>
        <w:t>Maximalizační/minimalizační podmínka</w:t>
      </w:r>
    </w:p>
    <w:p w14:paraId="4AAA44EA" w14:textId="24E4C72D" w:rsidR="001A6446" w:rsidRPr="00FA4CC2" w:rsidRDefault="00FA4CC2" w:rsidP="00FA4CC2">
      <w:pPr>
        <w:autoSpaceDE w:val="0"/>
        <w:autoSpaceDN w:val="0"/>
        <w:adjustRightInd w:val="0"/>
        <w:spacing w:line="360" w:lineRule="auto"/>
        <w:rPr>
          <w:rFonts w:ascii="Arial" w:hAnsi="Arial" w:cs="Arial"/>
          <w:color w:val="000000" w:themeColor="text1"/>
          <w:sz w:val="20"/>
          <w:szCs w:val="20"/>
        </w:rPr>
        <w:sectPr w:rsidR="001A6446" w:rsidRPr="00FA4CC2" w:rsidSect="000C073D">
          <w:headerReference w:type="even" r:id="rId100"/>
          <w:headerReference w:type="default" r:id="rId101"/>
          <w:footerReference w:type="default" r:id="rId102"/>
          <w:headerReference w:type="first" r:id="rId103"/>
          <w:pgSz w:w="11906" w:h="16838"/>
          <w:pgMar w:top="1418" w:right="1416" w:bottom="1134" w:left="1418" w:header="709" w:footer="709" w:gutter="0"/>
          <w:cols w:space="708"/>
          <w:docGrid w:linePitch="360"/>
        </w:sectPr>
      </w:pPr>
      <w:r w:rsidRPr="00FA4CC2">
        <w:rPr>
          <w:rFonts w:ascii="Arial" w:hAnsi="Arial" w:cs="Arial"/>
          <w:color w:val="000000" w:themeColor="text1"/>
          <w:sz w:val="20"/>
          <w:szCs w:val="20"/>
        </w:rPr>
        <w:t>Klient umožní navýšení/snížení jednotlivých cenových indexů u jednotlivých dílčích opatření max. o pět procent.</w:t>
      </w:r>
      <w:r w:rsidR="001A6446" w:rsidRPr="00FA4CC2">
        <w:rPr>
          <w:rFonts w:ascii="Arial" w:hAnsi="Arial" w:cs="Arial"/>
          <w:color w:val="000000" w:themeColor="text1"/>
          <w:sz w:val="20"/>
          <w:szCs w:val="20"/>
        </w:rPr>
        <w:br w:type="page"/>
      </w:r>
    </w:p>
    <w:p w14:paraId="34057C1C" w14:textId="69877E94" w:rsidR="001A6446" w:rsidRPr="001A6446" w:rsidRDefault="001A6446" w:rsidP="001A6446">
      <w:pPr>
        <w:tabs>
          <w:tab w:val="left" w:pos="993"/>
        </w:tabs>
        <w:jc w:val="left"/>
        <w:rPr>
          <w:rFonts w:asciiTheme="minorHAnsi" w:hAnsiTheme="minorHAnsi" w:cstheme="minorHAnsi"/>
        </w:rPr>
      </w:pPr>
      <w:r w:rsidRPr="001A6446">
        <w:rPr>
          <w:rFonts w:asciiTheme="minorHAnsi" w:hAnsiTheme="minorHAnsi" w:cstheme="minorHAnsi"/>
        </w:rPr>
        <w:lastRenderedPageBreak/>
        <w:t>Tab. 14.1</w:t>
      </w:r>
      <w:r w:rsidRPr="001A6446">
        <w:rPr>
          <w:rFonts w:asciiTheme="minorHAnsi" w:hAnsiTheme="minorHAnsi" w:cstheme="minorHAnsi"/>
        </w:rPr>
        <w:tab/>
      </w:r>
      <w:r>
        <w:rPr>
          <w:rFonts w:asciiTheme="minorHAnsi" w:hAnsiTheme="minorHAnsi" w:cstheme="minorHAnsi"/>
        </w:rPr>
        <w:t xml:space="preserve">Tabulka základních opatření </w:t>
      </w:r>
      <w:proofErr w:type="gramStart"/>
      <w:r>
        <w:rPr>
          <w:rFonts w:asciiTheme="minorHAnsi" w:hAnsiTheme="minorHAnsi" w:cstheme="minorHAnsi"/>
        </w:rPr>
        <w:t>s</w:t>
      </w:r>
      <w:proofErr w:type="gramEnd"/>
      <w:r>
        <w:rPr>
          <w:rFonts w:asciiTheme="minorHAnsi" w:hAnsiTheme="minorHAnsi" w:cstheme="minorHAnsi"/>
        </w:rPr>
        <w:t xml:space="preserve"> rozdělení váhy dle klasifikace </w:t>
      </w:r>
      <w:proofErr w:type="spellStart"/>
      <w:r>
        <w:rPr>
          <w:rFonts w:asciiTheme="minorHAnsi" w:hAnsiTheme="minorHAnsi" w:cstheme="minorHAnsi"/>
        </w:rPr>
        <w:t>TSKPstat</w:t>
      </w:r>
      <w:proofErr w:type="spellEnd"/>
    </w:p>
    <w:p w14:paraId="0717F863" w14:textId="2F701A2D" w:rsidR="009B6F4C" w:rsidRDefault="001A6446" w:rsidP="00BD36FC">
      <w:r w:rsidRPr="001A6446">
        <w:rPr>
          <w:noProof/>
        </w:rPr>
        <w:drawing>
          <wp:inline distT="0" distB="0" distL="0" distR="0" wp14:anchorId="1E125012" wp14:editId="76FF4C24">
            <wp:extent cx="9071610" cy="447675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71610" cy="4476750"/>
                    </a:xfrm>
                    <a:prstGeom prst="rect">
                      <a:avLst/>
                    </a:prstGeom>
                    <a:noFill/>
                    <a:ln>
                      <a:noFill/>
                    </a:ln>
                  </pic:spPr>
                </pic:pic>
              </a:graphicData>
            </a:graphic>
          </wp:inline>
        </w:drawing>
      </w:r>
    </w:p>
    <w:p w14:paraId="192F9BFC" w14:textId="77777777" w:rsidR="009B6F4C" w:rsidRDefault="009B6F4C">
      <w:pPr>
        <w:spacing w:before="0"/>
        <w:jc w:val="left"/>
      </w:pPr>
      <w:r>
        <w:br w:type="page"/>
      </w:r>
    </w:p>
    <w:p w14:paraId="35636724" w14:textId="6DE696AE" w:rsidR="009B6F4C" w:rsidRPr="001A6446" w:rsidRDefault="009B6F4C" w:rsidP="009B6F4C">
      <w:pPr>
        <w:tabs>
          <w:tab w:val="left" w:pos="993"/>
        </w:tabs>
        <w:jc w:val="left"/>
        <w:rPr>
          <w:rFonts w:asciiTheme="minorHAnsi" w:hAnsiTheme="minorHAnsi" w:cstheme="minorHAnsi"/>
        </w:rPr>
      </w:pPr>
      <w:r w:rsidRPr="001A6446">
        <w:rPr>
          <w:rFonts w:asciiTheme="minorHAnsi" w:hAnsiTheme="minorHAnsi" w:cstheme="minorHAnsi"/>
        </w:rPr>
        <w:lastRenderedPageBreak/>
        <w:t>Tab. 14.</w:t>
      </w:r>
      <w:r>
        <w:rPr>
          <w:rFonts w:asciiTheme="minorHAnsi" w:hAnsiTheme="minorHAnsi" w:cstheme="minorHAnsi"/>
        </w:rPr>
        <w:t>2</w:t>
      </w:r>
      <w:r w:rsidRPr="001A6446">
        <w:rPr>
          <w:rFonts w:asciiTheme="minorHAnsi" w:hAnsiTheme="minorHAnsi" w:cstheme="minorHAnsi"/>
        </w:rPr>
        <w:tab/>
      </w:r>
      <w:r>
        <w:rPr>
          <w:rFonts w:asciiTheme="minorHAnsi" w:hAnsiTheme="minorHAnsi" w:cstheme="minorHAnsi"/>
        </w:rPr>
        <w:t xml:space="preserve">Tabulka indexů cen dle klasifikace </w:t>
      </w:r>
      <w:proofErr w:type="spellStart"/>
      <w:r>
        <w:rPr>
          <w:rFonts w:asciiTheme="minorHAnsi" w:hAnsiTheme="minorHAnsi" w:cstheme="minorHAnsi"/>
        </w:rPr>
        <w:t>TSKPstat</w:t>
      </w:r>
      <w:proofErr w:type="spellEnd"/>
      <w:r>
        <w:rPr>
          <w:rFonts w:asciiTheme="minorHAnsi" w:hAnsiTheme="minorHAnsi" w:cstheme="minorHAnsi"/>
        </w:rPr>
        <w:t xml:space="preserve"> za rok 2021</w:t>
      </w:r>
    </w:p>
    <w:p w14:paraId="3E35C269" w14:textId="10B1D061" w:rsidR="009B6F4C" w:rsidRDefault="009B6F4C">
      <w:pPr>
        <w:spacing w:before="0"/>
        <w:jc w:val="left"/>
      </w:pPr>
      <w:r w:rsidRPr="009B6F4C">
        <w:rPr>
          <w:noProof/>
        </w:rPr>
        <w:drawing>
          <wp:inline distT="0" distB="0" distL="0" distR="0" wp14:anchorId="2488EBEC" wp14:editId="269DC827">
            <wp:extent cx="9124950" cy="55816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24950" cy="5581650"/>
                    </a:xfrm>
                    <a:prstGeom prst="rect">
                      <a:avLst/>
                    </a:prstGeom>
                    <a:noFill/>
                    <a:ln>
                      <a:noFill/>
                    </a:ln>
                  </pic:spPr>
                </pic:pic>
              </a:graphicData>
            </a:graphic>
          </wp:inline>
        </w:drawing>
      </w:r>
      <w:r>
        <w:br w:type="page"/>
      </w:r>
    </w:p>
    <w:p w14:paraId="1435097D" w14:textId="77777777" w:rsidR="001A6446" w:rsidRDefault="001A6446" w:rsidP="00BD36FC">
      <w:pPr>
        <w:sectPr w:rsidR="001A6446" w:rsidSect="001A6446">
          <w:pgSz w:w="16838" w:h="11906" w:orient="landscape"/>
          <w:pgMar w:top="1418" w:right="1418" w:bottom="1416" w:left="1134" w:header="709" w:footer="709" w:gutter="0"/>
          <w:cols w:space="708"/>
          <w:docGrid w:linePitch="360"/>
        </w:sectPr>
      </w:pPr>
    </w:p>
    <w:tbl>
      <w:tblPr>
        <w:tblW w:w="9072" w:type="dxa"/>
        <w:tblInd w:w="96" w:type="dxa"/>
        <w:tblLayout w:type="fixed"/>
        <w:tblCellMar>
          <w:left w:w="96" w:type="dxa"/>
          <w:right w:w="96" w:type="dxa"/>
        </w:tblCellMar>
        <w:tblLook w:val="0000" w:firstRow="0" w:lastRow="0" w:firstColumn="0" w:lastColumn="0" w:noHBand="0" w:noVBand="0"/>
      </w:tblPr>
      <w:tblGrid>
        <w:gridCol w:w="3969"/>
        <w:gridCol w:w="993"/>
        <w:gridCol w:w="4110"/>
      </w:tblGrid>
      <w:tr w:rsidR="00576515" w:rsidRPr="00CC64D4" w14:paraId="43342F4E" w14:textId="77777777" w:rsidTr="00A50464">
        <w:trPr>
          <w:cantSplit/>
        </w:trPr>
        <w:tc>
          <w:tcPr>
            <w:tcW w:w="3969" w:type="dxa"/>
          </w:tcPr>
          <w:p w14:paraId="5B5A0D8E" w14:textId="004A49D3" w:rsidR="00576515" w:rsidRPr="00CC64D4" w:rsidRDefault="00576515" w:rsidP="00BD36FC">
            <w:r w:rsidRPr="00CC64D4">
              <w:lastRenderedPageBreak/>
              <w:t>za Klienta:</w:t>
            </w:r>
          </w:p>
        </w:tc>
        <w:tc>
          <w:tcPr>
            <w:tcW w:w="993" w:type="dxa"/>
          </w:tcPr>
          <w:p w14:paraId="28C6E6DD" w14:textId="77777777" w:rsidR="00576515" w:rsidRPr="00CC64D4" w:rsidRDefault="00576515" w:rsidP="00BD36FC">
            <w:pPr>
              <w:spacing w:line="264" w:lineRule="auto"/>
              <w:ind w:firstLine="445"/>
            </w:pPr>
          </w:p>
        </w:tc>
        <w:tc>
          <w:tcPr>
            <w:tcW w:w="4110" w:type="dxa"/>
          </w:tcPr>
          <w:p w14:paraId="719383CC" w14:textId="77777777" w:rsidR="00576515" w:rsidRPr="00CC64D4" w:rsidRDefault="00576515" w:rsidP="00BD36FC">
            <w:r w:rsidRPr="00CC64D4">
              <w:t>Za ESCO:</w:t>
            </w:r>
          </w:p>
        </w:tc>
      </w:tr>
      <w:tr w:rsidR="00576515" w:rsidRPr="00C30BA8" w14:paraId="6218D6CE" w14:textId="77777777" w:rsidTr="00A50464">
        <w:trPr>
          <w:cantSplit/>
        </w:trPr>
        <w:tc>
          <w:tcPr>
            <w:tcW w:w="3969" w:type="dxa"/>
          </w:tcPr>
          <w:p w14:paraId="4407A977" w14:textId="4BBAC2D7" w:rsidR="00576515" w:rsidRPr="00CC64D4" w:rsidRDefault="00310C46" w:rsidP="00BD36FC">
            <w:r>
              <w:t>Praha</w:t>
            </w:r>
            <w:r w:rsidR="00576515" w:rsidRPr="00CC64D4">
              <w:t xml:space="preserve"> dne</w:t>
            </w:r>
          </w:p>
        </w:tc>
        <w:tc>
          <w:tcPr>
            <w:tcW w:w="993" w:type="dxa"/>
          </w:tcPr>
          <w:p w14:paraId="74FD03CF" w14:textId="77777777" w:rsidR="00576515" w:rsidRPr="00CC64D4" w:rsidRDefault="00576515" w:rsidP="00BD36FC">
            <w:pPr>
              <w:spacing w:line="264" w:lineRule="auto"/>
              <w:ind w:firstLine="445"/>
            </w:pPr>
          </w:p>
        </w:tc>
        <w:tc>
          <w:tcPr>
            <w:tcW w:w="4110" w:type="dxa"/>
          </w:tcPr>
          <w:p w14:paraId="29880447" w14:textId="161E339D" w:rsidR="00576515" w:rsidRPr="00C30BA8" w:rsidRDefault="00310C46" w:rsidP="00BD36FC">
            <w:r>
              <w:t>Praha</w:t>
            </w:r>
            <w:r w:rsidR="00576515">
              <w:t xml:space="preserve"> </w:t>
            </w:r>
            <w:r w:rsidR="00287AFE">
              <w:t>dne</w:t>
            </w:r>
            <w:r w:rsidR="00576515">
              <w:t xml:space="preserve">                        </w:t>
            </w:r>
          </w:p>
        </w:tc>
      </w:tr>
      <w:tr w:rsidR="00576515" w:rsidRPr="00C30BA8" w14:paraId="303F73BA" w14:textId="77777777" w:rsidTr="00A50464">
        <w:trPr>
          <w:cantSplit/>
          <w:trHeight w:val="1405"/>
        </w:trPr>
        <w:tc>
          <w:tcPr>
            <w:tcW w:w="3969" w:type="dxa"/>
            <w:tcBorders>
              <w:bottom w:val="single" w:sz="4" w:space="0" w:color="auto"/>
            </w:tcBorders>
          </w:tcPr>
          <w:p w14:paraId="29C1F117" w14:textId="77777777" w:rsidR="00576515" w:rsidRDefault="00576515" w:rsidP="00BD36FC">
            <w:pPr>
              <w:jc w:val="left"/>
            </w:pPr>
          </w:p>
          <w:p w14:paraId="1D763EA6" w14:textId="77777777" w:rsidR="007154D4" w:rsidRDefault="007154D4" w:rsidP="00BD36FC">
            <w:pPr>
              <w:jc w:val="left"/>
            </w:pPr>
          </w:p>
          <w:p w14:paraId="3B487EF1" w14:textId="77777777" w:rsidR="007154D4" w:rsidRDefault="007154D4" w:rsidP="00BD36FC">
            <w:pPr>
              <w:jc w:val="left"/>
            </w:pPr>
          </w:p>
          <w:p w14:paraId="5194ED1D" w14:textId="77777777" w:rsidR="007154D4" w:rsidRDefault="007154D4" w:rsidP="00BD36FC">
            <w:pPr>
              <w:jc w:val="left"/>
            </w:pPr>
          </w:p>
          <w:p w14:paraId="53BB7BE1" w14:textId="77777777" w:rsidR="007154D4" w:rsidRDefault="007154D4" w:rsidP="00BD36FC">
            <w:pPr>
              <w:jc w:val="left"/>
            </w:pPr>
          </w:p>
          <w:p w14:paraId="6DF593D2" w14:textId="59595916" w:rsidR="007154D4" w:rsidRPr="00C30BA8" w:rsidRDefault="007154D4" w:rsidP="00BD36FC">
            <w:pPr>
              <w:jc w:val="left"/>
            </w:pPr>
          </w:p>
        </w:tc>
        <w:tc>
          <w:tcPr>
            <w:tcW w:w="993" w:type="dxa"/>
          </w:tcPr>
          <w:p w14:paraId="0134CA37" w14:textId="77777777" w:rsidR="00576515" w:rsidRPr="00C30BA8" w:rsidRDefault="00576515" w:rsidP="00BD36FC">
            <w:pPr>
              <w:spacing w:before="60" w:line="264" w:lineRule="auto"/>
              <w:ind w:firstLine="445"/>
            </w:pPr>
          </w:p>
        </w:tc>
        <w:tc>
          <w:tcPr>
            <w:tcW w:w="4110" w:type="dxa"/>
            <w:tcBorders>
              <w:bottom w:val="single" w:sz="4" w:space="0" w:color="auto"/>
            </w:tcBorders>
          </w:tcPr>
          <w:p w14:paraId="613E5B3F" w14:textId="77777777" w:rsidR="00576515" w:rsidRPr="00C30BA8" w:rsidRDefault="00576515" w:rsidP="00BD36FC"/>
        </w:tc>
      </w:tr>
      <w:tr w:rsidR="00576515" w:rsidRPr="00C30BA8" w14:paraId="4ACA5DD7" w14:textId="77777777" w:rsidTr="00A50464">
        <w:trPr>
          <w:cantSplit/>
        </w:trPr>
        <w:tc>
          <w:tcPr>
            <w:tcW w:w="3969" w:type="dxa"/>
            <w:tcBorders>
              <w:top w:val="single" w:sz="4" w:space="0" w:color="auto"/>
            </w:tcBorders>
          </w:tcPr>
          <w:p w14:paraId="0D4784D5" w14:textId="2D467238" w:rsidR="00576515" w:rsidRPr="003A03D3" w:rsidRDefault="00287AFE" w:rsidP="00BD36FC">
            <w:pPr>
              <w:jc w:val="left"/>
              <w:rPr>
                <w:b/>
              </w:rPr>
            </w:pPr>
            <w:r>
              <w:rPr>
                <w:b/>
              </w:rPr>
              <w:t>Nemocnice Na Homolce</w:t>
            </w:r>
          </w:p>
          <w:p w14:paraId="3DE7B91D" w14:textId="77777777" w:rsidR="00D23A1C" w:rsidRDefault="00287AFE" w:rsidP="00BD36FC">
            <w:pPr>
              <w:jc w:val="left"/>
            </w:pPr>
            <w:r>
              <w:t>MUDr. Petr Polouček, MBA</w:t>
            </w:r>
          </w:p>
          <w:p w14:paraId="0BBFA631" w14:textId="5B60738F" w:rsidR="00576515" w:rsidRPr="00B3070B" w:rsidRDefault="00D23A1C" w:rsidP="00BD36FC">
            <w:pPr>
              <w:jc w:val="left"/>
            </w:pPr>
            <w:r>
              <w:t>Ř</w:t>
            </w:r>
            <w:r w:rsidR="00287AFE">
              <w:t>editel</w:t>
            </w:r>
            <w:r w:rsidR="00576515" w:rsidRPr="00B3070B">
              <w:t xml:space="preserve"> </w:t>
            </w:r>
          </w:p>
        </w:tc>
        <w:tc>
          <w:tcPr>
            <w:tcW w:w="993" w:type="dxa"/>
          </w:tcPr>
          <w:p w14:paraId="52574BDD" w14:textId="77777777" w:rsidR="00576515" w:rsidRPr="00C30BA8" w:rsidRDefault="00576515" w:rsidP="00BD36FC">
            <w:pPr>
              <w:spacing w:line="264" w:lineRule="auto"/>
              <w:ind w:firstLine="445"/>
            </w:pPr>
          </w:p>
        </w:tc>
        <w:tc>
          <w:tcPr>
            <w:tcW w:w="4110" w:type="dxa"/>
            <w:tcBorders>
              <w:top w:val="single" w:sz="4" w:space="0" w:color="auto"/>
            </w:tcBorders>
          </w:tcPr>
          <w:p w14:paraId="7A06419C" w14:textId="77777777" w:rsidR="00576515" w:rsidRPr="00287AFE" w:rsidRDefault="00576515" w:rsidP="00BD36FC">
            <w:pPr>
              <w:jc w:val="left"/>
              <w:rPr>
                <w:b/>
                <w:bCs/>
              </w:rPr>
            </w:pPr>
            <w:r w:rsidRPr="00287AFE">
              <w:rPr>
                <w:b/>
                <w:bCs/>
              </w:rPr>
              <w:t>ENESA a.s.</w:t>
            </w:r>
          </w:p>
          <w:p w14:paraId="41FB4702" w14:textId="33878766" w:rsidR="00576515" w:rsidRDefault="00D23A1C" w:rsidP="00BD36FC">
            <w:pPr>
              <w:jc w:val="left"/>
            </w:pPr>
            <w:r>
              <w:t>Ing. Milan Dorko</w:t>
            </w:r>
          </w:p>
          <w:p w14:paraId="4EA5FD3B" w14:textId="2EA35516" w:rsidR="00287AFE" w:rsidRDefault="00D23A1C" w:rsidP="00BD36FC">
            <w:pPr>
              <w:jc w:val="left"/>
            </w:pPr>
            <w:r>
              <w:t>Předseda představenstva</w:t>
            </w:r>
          </w:p>
          <w:p w14:paraId="5D100631" w14:textId="4B03EA35" w:rsidR="00287AFE" w:rsidRPr="00C30BA8" w:rsidRDefault="00287AFE" w:rsidP="00BD36FC">
            <w:pPr>
              <w:jc w:val="left"/>
            </w:pPr>
          </w:p>
        </w:tc>
      </w:tr>
    </w:tbl>
    <w:p w14:paraId="74B67886" w14:textId="79F2F300" w:rsidR="00576515" w:rsidRDefault="00576515" w:rsidP="00BD36FC"/>
    <w:p w14:paraId="7861476D" w14:textId="77777777" w:rsidR="00A753BF" w:rsidRDefault="00A753BF" w:rsidP="00BD36FC"/>
    <w:p w14:paraId="4FF7D3F7" w14:textId="77777777" w:rsidR="00D23A1C" w:rsidRDefault="00D23A1C" w:rsidP="00BD36FC"/>
    <w:tbl>
      <w:tblPr>
        <w:tblW w:w="9072" w:type="dxa"/>
        <w:tblInd w:w="96" w:type="dxa"/>
        <w:tblLayout w:type="fixed"/>
        <w:tblCellMar>
          <w:left w:w="96" w:type="dxa"/>
          <w:right w:w="96" w:type="dxa"/>
        </w:tblCellMar>
        <w:tblLook w:val="0000" w:firstRow="0" w:lastRow="0" w:firstColumn="0" w:lastColumn="0" w:noHBand="0" w:noVBand="0"/>
      </w:tblPr>
      <w:tblGrid>
        <w:gridCol w:w="3969"/>
        <w:gridCol w:w="993"/>
        <w:gridCol w:w="4110"/>
      </w:tblGrid>
      <w:tr w:rsidR="00D23A1C" w:rsidRPr="00C30BA8" w14:paraId="0D4A3E1A" w14:textId="77777777" w:rsidTr="00D23A1C">
        <w:trPr>
          <w:cantSplit/>
        </w:trPr>
        <w:tc>
          <w:tcPr>
            <w:tcW w:w="3969" w:type="dxa"/>
          </w:tcPr>
          <w:p w14:paraId="70E77689" w14:textId="743D1DB8" w:rsidR="00D23A1C" w:rsidRPr="00B3070B" w:rsidRDefault="00D23A1C" w:rsidP="00117538">
            <w:pPr>
              <w:jc w:val="left"/>
            </w:pPr>
          </w:p>
        </w:tc>
        <w:tc>
          <w:tcPr>
            <w:tcW w:w="993" w:type="dxa"/>
          </w:tcPr>
          <w:p w14:paraId="7ABB5C87" w14:textId="77777777" w:rsidR="00D23A1C" w:rsidRPr="00C30BA8" w:rsidRDefault="00D23A1C" w:rsidP="00117538">
            <w:pPr>
              <w:spacing w:line="264" w:lineRule="auto"/>
              <w:ind w:firstLine="445"/>
            </w:pPr>
          </w:p>
        </w:tc>
        <w:tc>
          <w:tcPr>
            <w:tcW w:w="4110" w:type="dxa"/>
            <w:tcBorders>
              <w:top w:val="single" w:sz="4" w:space="0" w:color="auto"/>
            </w:tcBorders>
          </w:tcPr>
          <w:p w14:paraId="00D9A381" w14:textId="77777777" w:rsidR="00D23A1C" w:rsidRPr="00287AFE" w:rsidRDefault="00D23A1C" w:rsidP="00117538">
            <w:pPr>
              <w:jc w:val="left"/>
              <w:rPr>
                <w:b/>
                <w:bCs/>
              </w:rPr>
            </w:pPr>
            <w:r w:rsidRPr="00287AFE">
              <w:rPr>
                <w:b/>
                <w:bCs/>
              </w:rPr>
              <w:t>ENESA a.s.</w:t>
            </w:r>
          </w:p>
          <w:p w14:paraId="3862341A" w14:textId="1655CA56" w:rsidR="00D23A1C" w:rsidRDefault="00D23A1C" w:rsidP="00117538">
            <w:pPr>
              <w:jc w:val="left"/>
            </w:pPr>
            <w:r>
              <w:t xml:space="preserve">Ing. </w:t>
            </w:r>
            <w:r w:rsidR="00693DA0">
              <w:t>Pavlína Rezková</w:t>
            </w:r>
          </w:p>
          <w:p w14:paraId="2A7591AE" w14:textId="62A97A10" w:rsidR="00D23A1C" w:rsidRDefault="00693DA0" w:rsidP="00117538">
            <w:pPr>
              <w:jc w:val="left"/>
            </w:pPr>
            <w:r>
              <w:t>Členka</w:t>
            </w:r>
            <w:r w:rsidR="00D23A1C">
              <w:t xml:space="preserve"> představenstva</w:t>
            </w:r>
          </w:p>
          <w:p w14:paraId="7B62830B" w14:textId="77777777" w:rsidR="00D23A1C" w:rsidRPr="00C30BA8" w:rsidRDefault="00D23A1C" w:rsidP="00117538">
            <w:pPr>
              <w:jc w:val="left"/>
            </w:pPr>
          </w:p>
        </w:tc>
      </w:tr>
    </w:tbl>
    <w:p w14:paraId="6C890726" w14:textId="77777777" w:rsidR="00D23A1C" w:rsidRPr="00576515" w:rsidRDefault="00D23A1C" w:rsidP="00BD36FC"/>
    <w:sectPr w:rsidR="00D23A1C" w:rsidRPr="00576515" w:rsidSect="001A6446">
      <w:pgSz w:w="11906" w:h="16838"/>
      <w:pgMar w:top="1418" w:right="141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EE661" w14:textId="77777777" w:rsidR="008E3E5E" w:rsidRDefault="008E3E5E">
      <w:pPr>
        <w:spacing w:before="0"/>
      </w:pPr>
      <w:r>
        <w:separator/>
      </w:r>
    </w:p>
  </w:endnote>
  <w:endnote w:type="continuationSeparator" w:id="0">
    <w:p w14:paraId="21A0ADA9" w14:textId="77777777" w:rsidR="008E3E5E" w:rsidRDefault="008E3E5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Bez Patky">
    <w:altName w:val="Arial"/>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9392" w14:textId="77777777" w:rsidR="000B040D" w:rsidRDefault="000B0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3316" w14:textId="643E3E02" w:rsidR="00AC0307" w:rsidRPr="000E4469" w:rsidRDefault="000E4469">
    <w:pPr>
      <w:pStyle w:val="Footer"/>
      <w:tabs>
        <w:tab w:val="clear" w:pos="4536"/>
      </w:tabs>
      <w:jc w:val="center"/>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001A1AC4" w:rsidRPr="000E4469">
      <w:rPr>
        <w:rStyle w:val="PageNumber"/>
        <w:rFonts w:asciiTheme="minorHAnsi" w:hAnsiTheme="minorHAnsi" w:cstheme="minorHAnsi"/>
        <w:sz w:val="16"/>
        <w:szCs w:val="16"/>
      </w:rPr>
      <w:tab/>
    </w:r>
    <w:r w:rsidR="001A1AC4" w:rsidRPr="000E4469">
      <w:rPr>
        <w:rStyle w:val="PageNumber"/>
        <w:rFonts w:asciiTheme="minorHAnsi" w:hAnsiTheme="minorHAnsi" w:cstheme="minorHAnsi"/>
        <w:sz w:val="16"/>
        <w:szCs w:val="16"/>
      </w:rPr>
      <w:fldChar w:fldCharType="begin"/>
    </w:r>
    <w:r w:rsidR="001A1AC4" w:rsidRPr="000E4469">
      <w:rPr>
        <w:rStyle w:val="PageNumber"/>
        <w:rFonts w:asciiTheme="minorHAnsi" w:hAnsiTheme="minorHAnsi" w:cstheme="minorHAnsi"/>
        <w:sz w:val="16"/>
        <w:szCs w:val="16"/>
      </w:rPr>
      <w:instrText xml:space="preserve"> PAGE </w:instrText>
    </w:r>
    <w:r w:rsidR="001A1AC4" w:rsidRPr="000E4469">
      <w:rPr>
        <w:rStyle w:val="PageNumber"/>
        <w:rFonts w:asciiTheme="minorHAnsi" w:hAnsiTheme="minorHAnsi" w:cstheme="minorHAnsi"/>
        <w:sz w:val="16"/>
        <w:szCs w:val="16"/>
      </w:rPr>
      <w:fldChar w:fldCharType="separate"/>
    </w:r>
    <w:r w:rsidR="001A1AC4" w:rsidRPr="000E4469">
      <w:rPr>
        <w:rStyle w:val="PageNumber"/>
        <w:rFonts w:asciiTheme="minorHAnsi" w:hAnsiTheme="minorHAnsi" w:cstheme="minorHAnsi"/>
        <w:noProof/>
        <w:sz w:val="16"/>
        <w:szCs w:val="16"/>
      </w:rPr>
      <w:t>2</w:t>
    </w:r>
    <w:r w:rsidR="001A1AC4" w:rsidRPr="000E4469">
      <w:rPr>
        <w:rStyle w:val="PageNumber"/>
        <w:rFonts w:asciiTheme="minorHAnsi" w:hAnsiTheme="minorHAnsi" w:cstheme="minorHAnsi"/>
        <w:sz w:val="16"/>
        <w:szCs w:val="16"/>
      </w:rPr>
      <w:fldChar w:fldCharType="end"/>
    </w:r>
    <w:r w:rsidR="001A1AC4" w:rsidRPr="000E4469">
      <w:rPr>
        <w:rStyle w:val="PageNumber"/>
        <w:rFonts w:asciiTheme="minorHAnsi" w:hAnsiTheme="minorHAnsi" w:cstheme="minorHAnsi"/>
        <w:sz w:val="16"/>
        <w:szCs w:val="16"/>
      </w:rPr>
      <w:t>/</w:t>
    </w:r>
    <w:r w:rsidR="001A1AC4" w:rsidRPr="000E4469">
      <w:rPr>
        <w:rStyle w:val="PageNumber"/>
        <w:rFonts w:asciiTheme="minorHAnsi" w:hAnsiTheme="minorHAnsi" w:cstheme="minorHAnsi"/>
        <w:noProof/>
        <w:sz w:val="16"/>
        <w:szCs w:val="16"/>
      </w:rPr>
      <w:fldChar w:fldCharType="begin"/>
    </w:r>
    <w:r w:rsidR="001A1AC4" w:rsidRPr="000E4469">
      <w:rPr>
        <w:rStyle w:val="PageNumber"/>
        <w:rFonts w:asciiTheme="minorHAnsi" w:hAnsiTheme="minorHAnsi" w:cstheme="minorHAnsi"/>
        <w:noProof/>
        <w:sz w:val="16"/>
        <w:szCs w:val="16"/>
      </w:rPr>
      <w:instrText xml:space="preserve"> NUMPAGES   \* MERGEFORMAT </w:instrText>
    </w:r>
    <w:r w:rsidR="001A1AC4" w:rsidRPr="000E4469">
      <w:rPr>
        <w:rStyle w:val="PageNumber"/>
        <w:rFonts w:asciiTheme="minorHAnsi" w:hAnsiTheme="minorHAnsi" w:cstheme="minorHAnsi"/>
        <w:noProof/>
        <w:sz w:val="16"/>
        <w:szCs w:val="16"/>
      </w:rPr>
      <w:fldChar w:fldCharType="separate"/>
    </w:r>
    <w:r w:rsidR="001A1AC4" w:rsidRPr="000E4469">
      <w:rPr>
        <w:rStyle w:val="PageNumber"/>
        <w:rFonts w:asciiTheme="minorHAnsi" w:hAnsiTheme="minorHAnsi" w:cstheme="minorHAnsi"/>
        <w:noProof/>
        <w:sz w:val="16"/>
        <w:szCs w:val="16"/>
      </w:rPr>
      <w:t>15</w:t>
    </w:r>
    <w:r w:rsidR="001A1AC4" w:rsidRPr="000E4469">
      <w:rPr>
        <w:rStyle w:val="PageNumber"/>
        <w:rFonts w:asciiTheme="minorHAnsi" w:hAnsiTheme="minorHAnsi" w:cstheme="min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0133" w14:textId="77777777" w:rsidR="000B040D" w:rsidRDefault="000B04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9F55" w14:textId="77777777" w:rsidR="000E4469" w:rsidRPr="000E4469" w:rsidRDefault="000E4469" w:rsidP="000E4469">
    <w:pPr>
      <w:pStyle w:val="Footer"/>
      <w:tabs>
        <w:tab w:val="clear" w:pos="4536"/>
        <w:tab w:val="clear" w:pos="9072"/>
        <w:tab w:val="right" w:pos="14004"/>
      </w:tabs>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391D" w14:textId="77777777" w:rsidR="000E4469" w:rsidRPr="000E4469" w:rsidRDefault="000E4469" w:rsidP="000E4469">
    <w:pPr>
      <w:pStyle w:val="Footer"/>
      <w:tabs>
        <w:tab w:val="clear" w:pos="4536"/>
      </w:tabs>
      <w:jc w:val="center"/>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2085" w14:textId="77777777" w:rsidR="00233F4B" w:rsidRPr="000E4469" w:rsidRDefault="00233F4B" w:rsidP="00233F4B">
    <w:pPr>
      <w:pStyle w:val="Footer"/>
      <w:tabs>
        <w:tab w:val="clear" w:pos="4536"/>
        <w:tab w:val="clear" w:pos="9072"/>
        <w:tab w:val="right" w:pos="14286"/>
      </w:tabs>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CAE0" w14:textId="77777777" w:rsidR="00A87D42" w:rsidRPr="000E4469" w:rsidRDefault="00A87D42" w:rsidP="00AF3D8B">
    <w:pPr>
      <w:pStyle w:val="Footer"/>
      <w:tabs>
        <w:tab w:val="clear" w:pos="4536"/>
        <w:tab w:val="clear" w:pos="9072"/>
        <w:tab w:val="right" w:pos="14286"/>
      </w:tabs>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D75E" w14:textId="77777777" w:rsidR="00233F4B" w:rsidRPr="000E4469" w:rsidRDefault="00233F4B" w:rsidP="00AF3D8B">
    <w:pPr>
      <w:pStyle w:val="Footer"/>
      <w:tabs>
        <w:tab w:val="clear" w:pos="4536"/>
        <w:tab w:val="clear" w:pos="9072"/>
        <w:tab w:val="right" w:pos="14286"/>
      </w:tabs>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1E2E" w14:textId="77777777" w:rsidR="00EB0BE5" w:rsidRPr="000E4469" w:rsidRDefault="00EB0BE5" w:rsidP="008221D1">
    <w:pPr>
      <w:pStyle w:val="Footer"/>
      <w:tabs>
        <w:tab w:val="clear" w:pos="4536"/>
      </w:tabs>
      <w:jc w:val="center"/>
      <w:rPr>
        <w:rFonts w:asciiTheme="minorHAnsi" w:hAnsiTheme="minorHAnsi" w:cstheme="minorHAnsi"/>
        <w:szCs w:val="16"/>
      </w:rPr>
    </w:pPr>
    <w:r w:rsidRPr="000E4469">
      <w:rPr>
        <w:rStyle w:val="PageNumber"/>
        <w:rFonts w:asciiTheme="minorHAnsi" w:hAnsiTheme="minorHAnsi" w:cstheme="minorHAnsi"/>
        <w:sz w:val="16"/>
        <w:szCs w:val="16"/>
      </w:rPr>
      <w:t>PROJEKT JE SPOLUFINANCOVÁN Z PROSTŘEDKŮ EVROPSKÉHO FONDU PRO REGIONÁLNÍ ROZVOJ</w:t>
    </w:r>
    <w:r w:rsidRPr="000E4469">
      <w:rPr>
        <w:rStyle w:val="PageNumber"/>
        <w:rFonts w:asciiTheme="minorHAnsi" w:hAnsiTheme="minorHAnsi" w:cstheme="minorHAnsi"/>
        <w:sz w:val="16"/>
        <w:szCs w:val="16"/>
      </w:rPr>
      <w:tab/>
    </w:r>
    <w:r w:rsidRPr="000E4469">
      <w:rPr>
        <w:rStyle w:val="PageNumber"/>
        <w:rFonts w:asciiTheme="minorHAnsi" w:hAnsiTheme="minorHAnsi" w:cstheme="minorHAnsi"/>
        <w:sz w:val="16"/>
        <w:szCs w:val="16"/>
      </w:rPr>
      <w:fldChar w:fldCharType="begin"/>
    </w:r>
    <w:r w:rsidRPr="000E4469">
      <w:rPr>
        <w:rStyle w:val="PageNumber"/>
        <w:rFonts w:asciiTheme="minorHAnsi" w:hAnsiTheme="minorHAnsi" w:cstheme="minorHAnsi"/>
        <w:sz w:val="16"/>
        <w:szCs w:val="16"/>
      </w:rPr>
      <w:instrText xml:space="preserve"> PAGE </w:instrText>
    </w:r>
    <w:r w:rsidRPr="000E4469">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0E4469">
      <w:rPr>
        <w:rStyle w:val="PageNumber"/>
        <w:rFonts w:asciiTheme="minorHAnsi" w:hAnsiTheme="minorHAnsi" w:cstheme="minorHAnsi"/>
        <w:sz w:val="16"/>
        <w:szCs w:val="16"/>
      </w:rPr>
      <w:fldChar w:fldCharType="end"/>
    </w:r>
    <w:r w:rsidRPr="000E4469">
      <w:rPr>
        <w:rStyle w:val="PageNumber"/>
        <w:rFonts w:asciiTheme="minorHAnsi" w:hAnsiTheme="minorHAnsi" w:cstheme="minorHAnsi"/>
        <w:sz w:val="16"/>
        <w:szCs w:val="16"/>
      </w:rPr>
      <w:t>/</w:t>
    </w:r>
    <w:r w:rsidRPr="000E4469">
      <w:rPr>
        <w:rStyle w:val="PageNumber"/>
        <w:rFonts w:asciiTheme="minorHAnsi" w:hAnsiTheme="minorHAnsi" w:cstheme="minorHAnsi"/>
        <w:noProof/>
        <w:sz w:val="16"/>
        <w:szCs w:val="16"/>
      </w:rPr>
      <w:fldChar w:fldCharType="begin"/>
    </w:r>
    <w:r w:rsidRPr="000E4469">
      <w:rPr>
        <w:rStyle w:val="PageNumber"/>
        <w:rFonts w:asciiTheme="minorHAnsi" w:hAnsiTheme="minorHAnsi" w:cstheme="minorHAnsi"/>
        <w:noProof/>
        <w:sz w:val="16"/>
        <w:szCs w:val="16"/>
      </w:rPr>
      <w:instrText xml:space="preserve"> NUMPAGES   \* MERGEFORMAT </w:instrText>
    </w:r>
    <w:r w:rsidRPr="000E4469">
      <w:rPr>
        <w:rStyle w:val="PageNumber"/>
        <w:rFonts w:asciiTheme="minorHAnsi" w:hAnsiTheme="minorHAnsi" w:cstheme="minorHAnsi"/>
        <w:noProof/>
        <w:sz w:val="16"/>
        <w:szCs w:val="16"/>
      </w:rPr>
      <w:fldChar w:fldCharType="separate"/>
    </w:r>
    <w:r>
      <w:rPr>
        <w:rStyle w:val="PageNumber"/>
        <w:rFonts w:asciiTheme="minorHAnsi" w:hAnsiTheme="minorHAnsi" w:cstheme="minorHAnsi"/>
        <w:noProof/>
        <w:sz w:val="16"/>
        <w:szCs w:val="16"/>
      </w:rPr>
      <w:t>89</w:t>
    </w:r>
    <w:r w:rsidRPr="000E4469">
      <w:rPr>
        <w:rStyle w:val="PageNumber"/>
        <w:rFonts w:asciiTheme="minorHAnsi" w:hAnsiTheme="minorHAnsi" w:cstheme="minorHAns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E520" w14:textId="77777777" w:rsidR="008E3E5E" w:rsidRDefault="008E3E5E">
      <w:pPr>
        <w:spacing w:before="0"/>
      </w:pPr>
      <w:r>
        <w:separator/>
      </w:r>
    </w:p>
  </w:footnote>
  <w:footnote w:type="continuationSeparator" w:id="0">
    <w:p w14:paraId="7188F922" w14:textId="77777777" w:rsidR="008E3E5E" w:rsidRDefault="008E3E5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EF03" w14:textId="761D29C3" w:rsidR="000B040D" w:rsidRDefault="00D02ED7">
    <w:pPr>
      <w:pStyle w:val="Header"/>
    </w:pPr>
    <w:r>
      <w:rPr>
        <w:noProof/>
      </w:rPr>
      <mc:AlternateContent>
        <mc:Choice Requires="wps">
          <w:drawing>
            <wp:anchor distT="0" distB="0" distL="0" distR="0" simplePos="0" relativeHeight="251701248" behindDoc="0" locked="0" layoutInCell="1" allowOverlap="1" wp14:anchorId="57D81E0B" wp14:editId="37D16EC3">
              <wp:simplePos x="635" y="635"/>
              <wp:positionH relativeFrom="rightMargin">
                <wp:align>right</wp:align>
              </wp:positionH>
              <wp:positionV relativeFrom="paragraph">
                <wp:posOffset>635</wp:posOffset>
              </wp:positionV>
              <wp:extent cx="443865" cy="443865"/>
              <wp:effectExtent l="0" t="0" r="0" b="16510"/>
              <wp:wrapSquare wrapText="bothSides"/>
              <wp:docPr id="51" name="Textové pole 51"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5D3B5" w14:textId="1E0792F5"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7D81E0B" id="_x0000_t202" coordsize="21600,21600" o:spt="202" path="m,l,21600r21600,l21600,xe">
              <v:stroke joinstyle="miter"/>
              <v:path gradientshapeok="t" o:connecttype="rect"/>
            </v:shapetype>
            <v:shape id="Textové pole 51" o:spid="_x0000_s1026" type="#_x0000_t202" alt="CHRÁNĚNÉ" style="position:absolute;left:0;text-align:left;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" filled="f" stroked="f">
              <v:textbox style="mso-fit-shape-to-text:t" inset="0,0,5pt,0">
                <w:txbxContent>
                  <w:p w14:paraId="1A35D3B5" w14:textId="1E0792F5"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3E91" w14:textId="5CA7352D" w:rsidR="00D02ED7" w:rsidRDefault="00D02ED7">
    <w:pPr>
      <w:pStyle w:val="Header"/>
    </w:pPr>
    <w:r>
      <w:rPr>
        <w:noProof/>
      </w:rPr>
      <mc:AlternateContent>
        <mc:Choice Requires="wps">
          <w:drawing>
            <wp:anchor distT="0" distB="0" distL="0" distR="0" simplePos="0" relativeHeight="251719680" behindDoc="0" locked="0" layoutInCell="1" allowOverlap="1" wp14:anchorId="15AFF67D" wp14:editId="6B928E62">
              <wp:simplePos x="635" y="635"/>
              <wp:positionH relativeFrom="rightMargin">
                <wp:align>right</wp:align>
              </wp:positionH>
              <wp:positionV relativeFrom="paragraph">
                <wp:posOffset>635</wp:posOffset>
              </wp:positionV>
              <wp:extent cx="443865" cy="443865"/>
              <wp:effectExtent l="0" t="0" r="0" b="16510"/>
              <wp:wrapSquare wrapText="bothSides"/>
              <wp:docPr id="2296" name="Textové pole 2296"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878D1" w14:textId="72EFE029"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5AFF67D" id="_x0000_t202" coordsize="21600,21600" o:spt="202" path="m,l,21600r21600,l21600,xe">
              <v:stroke joinstyle="miter"/>
              <v:path gradientshapeok="t" o:connecttype="rect"/>
            </v:shapetype>
            <v:shape id="Textové pole 2296" o:spid="_x0000_s1035" type="#_x0000_t202" alt="CHRÁNĚNÉ" style="position:absolute;left:0;text-align:left;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C7Vwk9CgIAABsE&#13;&#10;AAAOAAAAAAAAAAAAAAAAAC4CAABkcnMvZTJvRG9jLnhtbFBLAQItABQABgAIAAAAIQApexMi3gAA&#13;&#10;AAgBAAAPAAAAAAAAAAAAAAAAAGQEAABkcnMvZG93bnJldi54bWxQSwUGAAAAAAQABADzAAAAbwUA&#13;&#10;AAAA&#13;&#10;" filled="f" stroked="f">
              <v:textbox style="mso-fit-shape-to-text:t" inset="0,0,5pt,0">
                <w:txbxContent>
                  <w:p w14:paraId="706878D1" w14:textId="72EFE029"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A8E6" w14:textId="288F3EDE" w:rsidR="00233F4B"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20704" behindDoc="0" locked="0" layoutInCell="1" allowOverlap="1" wp14:anchorId="1A6B8C83" wp14:editId="64F52724">
              <wp:simplePos x="635" y="635"/>
              <wp:positionH relativeFrom="rightMargin">
                <wp:align>right</wp:align>
              </wp:positionH>
              <wp:positionV relativeFrom="paragraph">
                <wp:posOffset>635</wp:posOffset>
              </wp:positionV>
              <wp:extent cx="443865" cy="443865"/>
              <wp:effectExtent l="0" t="0" r="0" b="16510"/>
              <wp:wrapSquare wrapText="bothSides"/>
              <wp:docPr id="2297" name="Textové pole 2297"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BD928" w14:textId="3E76ADA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6B8C83" id="_x0000_t202" coordsize="21600,21600" o:spt="202" path="m,l,21600r21600,l21600,xe">
              <v:stroke joinstyle="miter"/>
              <v:path gradientshapeok="t" o:connecttype="rect"/>
            </v:shapetype>
            <v:shape id="Textové pole 2297" o:spid="_x0000_s1036" type="#_x0000_t202" alt="CHRÁNĚNÉ" style="position:absolute;left:0;text-align:left;margin-left:-16.25pt;margin-top:.05pt;width:34.95pt;height:34.95pt;z-index:2517207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" filled="f" stroked="f">
              <v:textbox style="mso-fit-shape-to-text:t" inset="0,0,5pt,0">
                <w:txbxContent>
                  <w:p w14:paraId="426BD928" w14:textId="3E76ADA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233F4B">
      <w:rPr>
        <w:rFonts w:cs="Arial"/>
        <w:b/>
        <w:i/>
        <w:noProof/>
        <w:color w:val="808080"/>
        <w:sz w:val="20"/>
        <w:szCs w:val="20"/>
        <w:lang w:eastAsia="cs-CZ"/>
      </w:rPr>
      <w:drawing>
        <wp:anchor distT="0" distB="0" distL="114300" distR="114300" simplePos="0" relativeHeight="251695104" behindDoc="0" locked="0" layoutInCell="1" allowOverlap="1" wp14:anchorId="1C893D73" wp14:editId="13EA20E3">
          <wp:simplePos x="0" y="0"/>
          <wp:positionH relativeFrom="margin">
            <wp:align>right</wp:align>
          </wp:positionH>
          <wp:positionV relativeFrom="margin">
            <wp:posOffset>-682625</wp:posOffset>
          </wp:positionV>
          <wp:extent cx="1697990" cy="405765"/>
          <wp:effectExtent l="0" t="0" r="0" b="0"/>
          <wp:wrapNone/>
          <wp:docPr id="2343" name="Obrázek 234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233F4B">
      <w:rPr>
        <w:sz w:val="16"/>
        <w:szCs w:val="16"/>
      </w:rPr>
      <w:t>Přílohy smlouvy o energetických službách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E83D" w14:textId="0EA129E4" w:rsidR="00D02ED7" w:rsidRDefault="00D02ED7">
    <w:pPr>
      <w:pStyle w:val="Header"/>
    </w:pPr>
    <w:r>
      <w:rPr>
        <w:noProof/>
      </w:rPr>
      <mc:AlternateContent>
        <mc:Choice Requires="wps">
          <w:drawing>
            <wp:anchor distT="0" distB="0" distL="0" distR="0" simplePos="0" relativeHeight="251718656" behindDoc="0" locked="0" layoutInCell="1" allowOverlap="1" wp14:anchorId="57D0D583" wp14:editId="155C72B2">
              <wp:simplePos x="635" y="635"/>
              <wp:positionH relativeFrom="rightMargin">
                <wp:align>right</wp:align>
              </wp:positionH>
              <wp:positionV relativeFrom="paragraph">
                <wp:posOffset>635</wp:posOffset>
              </wp:positionV>
              <wp:extent cx="443865" cy="443865"/>
              <wp:effectExtent l="0" t="0" r="0" b="16510"/>
              <wp:wrapSquare wrapText="bothSides"/>
              <wp:docPr id="2295" name="Textové pole 2295"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01D65" w14:textId="7BC49D81"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7D0D583" id="_x0000_t202" coordsize="21600,21600" o:spt="202" path="m,l,21600r21600,l21600,xe">
              <v:stroke joinstyle="miter"/>
              <v:path gradientshapeok="t" o:connecttype="rect"/>
            </v:shapetype>
            <v:shape id="Textové pole 2295" o:spid="_x0000_s1037" type="#_x0000_t202" alt="CHRÁNĚNÉ" style="position:absolute;left:0;text-align:left;margin-left:-16.25pt;margin-top:.05pt;width:34.95pt;height:34.95pt;z-index:2517186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" filled="f" stroked="f">
              <v:textbox style="mso-fit-shape-to-text:t" inset="0,0,5pt,0">
                <w:txbxContent>
                  <w:p w14:paraId="68901D65" w14:textId="7BC49D81"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C194" w14:textId="33717912" w:rsidR="00D02ED7" w:rsidRDefault="00D02ED7">
    <w:pPr>
      <w:pStyle w:val="Header"/>
    </w:pPr>
    <w:r>
      <w:rPr>
        <w:noProof/>
      </w:rPr>
      <mc:AlternateContent>
        <mc:Choice Requires="wps">
          <w:drawing>
            <wp:anchor distT="0" distB="0" distL="0" distR="0" simplePos="0" relativeHeight="251722752" behindDoc="0" locked="0" layoutInCell="1" allowOverlap="1" wp14:anchorId="233E7AC9" wp14:editId="5509B5F3">
              <wp:simplePos x="635" y="635"/>
              <wp:positionH relativeFrom="rightMargin">
                <wp:align>right</wp:align>
              </wp:positionH>
              <wp:positionV relativeFrom="paragraph">
                <wp:posOffset>635</wp:posOffset>
              </wp:positionV>
              <wp:extent cx="443865" cy="443865"/>
              <wp:effectExtent l="0" t="0" r="0" b="16510"/>
              <wp:wrapSquare wrapText="bothSides"/>
              <wp:docPr id="2299" name="Textové pole 2299"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0F8A6" w14:textId="39BFED6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33E7AC9" id="_x0000_t202" coordsize="21600,21600" o:spt="202" path="m,l,21600r21600,l21600,xe">
              <v:stroke joinstyle="miter"/>
              <v:path gradientshapeok="t" o:connecttype="rect"/>
            </v:shapetype>
            <v:shape id="Textové pole 2299" o:spid="_x0000_s1038" type="#_x0000_t202" alt="CHRÁNĚNÉ" style="position:absolute;left:0;text-align:left;margin-left:-16.25pt;margin-top:.05pt;width:34.95pt;height:34.95pt;z-index:2517227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BsYhHHCgIAABwE&#13;&#10;AAAOAAAAAAAAAAAAAAAAAC4CAABkcnMvZTJvRG9jLnhtbFBLAQItABQABgAIAAAAIQApexMi3gAA&#13;&#10;AAgBAAAPAAAAAAAAAAAAAAAAAGQEAABkcnMvZG93bnJldi54bWxQSwUGAAAAAAQABADzAAAAbwUA&#13;&#10;AAAA&#13;&#10;" filled="f" stroked="f">
              <v:textbox style="mso-fit-shape-to-text:t" inset="0,0,5pt,0">
                <w:txbxContent>
                  <w:p w14:paraId="6830F8A6" w14:textId="39BFED6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6EC4" w14:textId="4A3D344E" w:rsidR="00A87D42"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23776" behindDoc="0" locked="0" layoutInCell="1" allowOverlap="1" wp14:anchorId="290C7D2A" wp14:editId="35299B65">
              <wp:simplePos x="635" y="635"/>
              <wp:positionH relativeFrom="rightMargin">
                <wp:align>right</wp:align>
              </wp:positionH>
              <wp:positionV relativeFrom="paragraph">
                <wp:posOffset>635</wp:posOffset>
              </wp:positionV>
              <wp:extent cx="443865" cy="443865"/>
              <wp:effectExtent l="0" t="0" r="0" b="16510"/>
              <wp:wrapSquare wrapText="bothSides"/>
              <wp:docPr id="2300" name="Textové pole 2300"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343308" w14:textId="65969E3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90C7D2A" id="_x0000_t202" coordsize="21600,21600" o:spt="202" path="m,l,21600r21600,l21600,xe">
              <v:stroke joinstyle="miter"/>
              <v:path gradientshapeok="t" o:connecttype="rect"/>
            </v:shapetype>
            <v:shape id="Textové pole 2300" o:spid="_x0000_s1039" type="#_x0000_t202" alt="CHRÁNĚNÉ" style="position:absolute;left:0;text-align:left;margin-left:-16.25pt;margin-top:.05pt;width:34.95pt;height:34.95pt;z-index:2517237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AJ2DutCgIAABwE&#13;&#10;AAAOAAAAAAAAAAAAAAAAAC4CAABkcnMvZTJvRG9jLnhtbFBLAQItABQABgAIAAAAIQApexMi3gAA&#13;&#10;AAgBAAAPAAAAAAAAAAAAAAAAAGQEAABkcnMvZG93bnJldi54bWxQSwUGAAAAAAQABADzAAAAbwUA&#13;&#10;AAAA&#13;&#10;" filled="f" stroked="f">
              <v:textbox style="mso-fit-shape-to-text:t" inset="0,0,5pt,0">
                <w:txbxContent>
                  <w:p w14:paraId="58343308" w14:textId="65969E3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A87D42">
      <w:rPr>
        <w:rFonts w:cs="Arial"/>
        <w:b/>
        <w:i/>
        <w:noProof/>
        <w:color w:val="808080"/>
        <w:sz w:val="20"/>
        <w:szCs w:val="20"/>
        <w:lang w:eastAsia="cs-CZ"/>
      </w:rPr>
      <w:drawing>
        <wp:anchor distT="0" distB="0" distL="114300" distR="114300" simplePos="0" relativeHeight="251674624" behindDoc="0" locked="0" layoutInCell="1" allowOverlap="1" wp14:anchorId="23E6BC54" wp14:editId="65D3A8CC">
          <wp:simplePos x="0" y="0"/>
          <wp:positionH relativeFrom="margin">
            <wp:posOffset>4062730</wp:posOffset>
          </wp:positionH>
          <wp:positionV relativeFrom="margin">
            <wp:posOffset>-682625</wp:posOffset>
          </wp:positionV>
          <wp:extent cx="1697990" cy="405765"/>
          <wp:effectExtent l="0" t="0" r="0" b="0"/>
          <wp:wrapNone/>
          <wp:docPr id="2344" name="Obrázek 234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A87D42">
      <w:rPr>
        <w:sz w:val="16"/>
        <w:szCs w:val="16"/>
      </w:rPr>
      <w:t>Přílohy smlouvy o energetických službách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6C3D" w14:textId="1B634808" w:rsidR="00D02ED7" w:rsidRDefault="00D02ED7">
    <w:pPr>
      <w:pStyle w:val="Header"/>
    </w:pPr>
    <w:r>
      <w:rPr>
        <w:noProof/>
      </w:rPr>
      <mc:AlternateContent>
        <mc:Choice Requires="wps">
          <w:drawing>
            <wp:anchor distT="0" distB="0" distL="0" distR="0" simplePos="0" relativeHeight="251721728" behindDoc="0" locked="0" layoutInCell="1" allowOverlap="1" wp14:anchorId="4ACF272F" wp14:editId="5DCB4C10">
              <wp:simplePos x="635" y="635"/>
              <wp:positionH relativeFrom="rightMargin">
                <wp:align>right</wp:align>
              </wp:positionH>
              <wp:positionV relativeFrom="paragraph">
                <wp:posOffset>635</wp:posOffset>
              </wp:positionV>
              <wp:extent cx="443865" cy="443865"/>
              <wp:effectExtent l="0" t="0" r="0" b="16510"/>
              <wp:wrapSquare wrapText="bothSides"/>
              <wp:docPr id="2298" name="Textové pole 2298"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6C6A1" w14:textId="415EF1D8"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ACF272F" id="_x0000_t202" coordsize="21600,21600" o:spt="202" path="m,l,21600r21600,l21600,xe">
              <v:stroke joinstyle="miter"/>
              <v:path gradientshapeok="t" o:connecttype="rect"/>
            </v:shapetype>
            <v:shape id="Textové pole 2298" o:spid="_x0000_s1040" type="#_x0000_t202" alt="CHRÁNĚNÉ" style="position:absolute;left:0;text-align:left;margin-left:-16.25pt;margin-top:.05pt;width:34.95pt;height:34.95pt;z-index:2517217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Bz+Z9gCgIAABwE&#13;&#10;AAAOAAAAAAAAAAAAAAAAAC4CAABkcnMvZTJvRG9jLnhtbFBLAQItABQABgAIAAAAIQApexMi3gAA&#13;&#10;AAgBAAAPAAAAAAAAAAAAAAAAAGQEAABkcnMvZG93bnJldi54bWxQSwUGAAAAAAQABADzAAAAbwUA&#13;&#10;AAAA&#13;&#10;" filled="f" stroked="f">
              <v:textbox style="mso-fit-shape-to-text:t" inset="0,0,5pt,0">
                <w:txbxContent>
                  <w:p w14:paraId="45E6C6A1" w14:textId="415EF1D8"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33F8" w14:textId="7729F416" w:rsidR="00D02ED7" w:rsidRDefault="00D02ED7">
    <w:pPr>
      <w:pStyle w:val="Header"/>
    </w:pPr>
    <w:r>
      <w:rPr>
        <w:noProof/>
      </w:rPr>
      <mc:AlternateContent>
        <mc:Choice Requires="wps">
          <w:drawing>
            <wp:anchor distT="0" distB="0" distL="0" distR="0" simplePos="0" relativeHeight="251725824" behindDoc="0" locked="0" layoutInCell="1" allowOverlap="1" wp14:anchorId="1F85DDC4" wp14:editId="41C68A4F">
              <wp:simplePos x="635" y="635"/>
              <wp:positionH relativeFrom="rightMargin">
                <wp:align>right</wp:align>
              </wp:positionH>
              <wp:positionV relativeFrom="paragraph">
                <wp:posOffset>635</wp:posOffset>
              </wp:positionV>
              <wp:extent cx="443865" cy="443865"/>
              <wp:effectExtent l="0" t="0" r="0" b="16510"/>
              <wp:wrapSquare wrapText="bothSides"/>
              <wp:docPr id="2302" name="Textové pole 2302"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95497" w14:textId="344EE0F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F85DDC4" id="_x0000_t202" coordsize="21600,21600" o:spt="202" path="m,l,21600r21600,l21600,xe">
              <v:stroke joinstyle="miter"/>
              <v:path gradientshapeok="t" o:connecttype="rect"/>
            </v:shapetype>
            <v:shape id="Textové pole 2302" o:spid="_x0000_s1041" type="#_x0000_t202" alt="CHRÁNĚNÉ" style="position:absolute;left:0;text-align:left;margin-left:-16.25pt;margin-top:.05pt;width:34.95pt;height:34.95pt;z-index:2517258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AWQ7UKCgIAABwE&#13;&#10;AAAOAAAAAAAAAAAAAAAAAC4CAABkcnMvZTJvRG9jLnhtbFBLAQItABQABgAIAAAAIQApexMi3gAA&#13;&#10;AAgBAAAPAAAAAAAAAAAAAAAAAGQEAABkcnMvZG93bnJldi54bWxQSwUGAAAAAAQABADzAAAAbwUA&#13;&#10;AAAA&#13;&#10;" filled="f" stroked="f">
              <v:textbox style="mso-fit-shape-to-text:t" inset="0,0,5pt,0">
                <w:txbxContent>
                  <w:p w14:paraId="2B995497" w14:textId="344EE0F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FA1D" w14:textId="4C70C4A2" w:rsidR="00233F4B"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26848" behindDoc="0" locked="0" layoutInCell="1" allowOverlap="1" wp14:anchorId="1D344901" wp14:editId="2FDFA8A6">
              <wp:simplePos x="635" y="635"/>
              <wp:positionH relativeFrom="rightMargin">
                <wp:align>right</wp:align>
              </wp:positionH>
              <wp:positionV relativeFrom="paragraph">
                <wp:posOffset>635</wp:posOffset>
              </wp:positionV>
              <wp:extent cx="443865" cy="443865"/>
              <wp:effectExtent l="0" t="0" r="0" b="16510"/>
              <wp:wrapSquare wrapText="bothSides"/>
              <wp:docPr id="2303" name="Textové pole 2303"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BF4B80" w14:textId="02C04C8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D344901" id="_x0000_t202" coordsize="21600,21600" o:spt="202" path="m,l,21600r21600,l21600,xe">
              <v:stroke joinstyle="miter"/>
              <v:path gradientshapeok="t" o:connecttype="rect"/>
            </v:shapetype>
            <v:shape id="Textové pole 2303" o:spid="_x0000_s1042" type="#_x0000_t202" alt="CHRÁNĚNÉ" style="position:absolute;left:0;text-align:left;margin-left:-16.25pt;margin-top:.05pt;width:34.95pt;height:34.95pt;z-index:2517268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C5jcq0CgIAABwE&#13;&#10;AAAOAAAAAAAAAAAAAAAAAC4CAABkcnMvZTJvRG9jLnhtbFBLAQItABQABgAIAAAAIQApexMi3gAA&#13;&#10;AAgBAAAPAAAAAAAAAAAAAAAAAGQEAABkcnMvZG93bnJldi54bWxQSwUGAAAAAAQABADzAAAAbwUA&#13;&#10;AAAA&#13;&#10;" filled="f" stroked="f">
              <v:textbox style="mso-fit-shape-to-text:t" inset="0,0,5pt,0">
                <w:txbxContent>
                  <w:p w14:paraId="61BF4B80" w14:textId="02C04C8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233F4B">
      <w:rPr>
        <w:rFonts w:cs="Arial"/>
        <w:b/>
        <w:i/>
        <w:noProof/>
        <w:color w:val="808080"/>
        <w:sz w:val="20"/>
        <w:szCs w:val="20"/>
        <w:lang w:eastAsia="cs-CZ"/>
      </w:rPr>
      <w:drawing>
        <wp:anchor distT="0" distB="0" distL="114300" distR="114300" simplePos="0" relativeHeight="251699200" behindDoc="0" locked="0" layoutInCell="1" allowOverlap="1" wp14:anchorId="4B4A0858" wp14:editId="722F01B1">
          <wp:simplePos x="0" y="0"/>
          <wp:positionH relativeFrom="margin">
            <wp:posOffset>4062730</wp:posOffset>
          </wp:positionH>
          <wp:positionV relativeFrom="margin">
            <wp:posOffset>-682625</wp:posOffset>
          </wp:positionV>
          <wp:extent cx="1697990" cy="405765"/>
          <wp:effectExtent l="0" t="0" r="0" b="0"/>
          <wp:wrapNone/>
          <wp:docPr id="2345" name="Obrázek 234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233F4B">
      <w:rPr>
        <w:sz w:val="16"/>
        <w:szCs w:val="16"/>
      </w:rPr>
      <w:t>Přílohy smlouvy o energetických službách</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DEF2" w14:textId="0FBF9F2A" w:rsidR="00D02ED7" w:rsidRDefault="00D02ED7">
    <w:pPr>
      <w:pStyle w:val="Header"/>
    </w:pPr>
    <w:r>
      <w:rPr>
        <w:noProof/>
      </w:rPr>
      <mc:AlternateContent>
        <mc:Choice Requires="wps">
          <w:drawing>
            <wp:anchor distT="0" distB="0" distL="0" distR="0" simplePos="0" relativeHeight="251724800" behindDoc="0" locked="0" layoutInCell="1" allowOverlap="1" wp14:anchorId="4549BAA7" wp14:editId="31C666F8">
              <wp:simplePos x="635" y="635"/>
              <wp:positionH relativeFrom="rightMargin">
                <wp:align>right</wp:align>
              </wp:positionH>
              <wp:positionV relativeFrom="paragraph">
                <wp:posOffset>635</wp:posOffset>
              </wp:positionV>
              <wp:extent cx="443865" cy="443865"/>
              <wp:effectExtent l="0" t="0" r="0" b="16510"/>
              <wp:wrapSquare wrapText="bothSides"/>
              <wp:docPr id="2301" name="Textové pole 2301"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3FD92D" w14:textId="6A7B67DD"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549BAA7" id="_x0000_t202" coordsize="21600,21600" o:spt="202" path="m,l,21600r21600,l21600,xe">
              <v:stroke joinstyle="miter"/>
              <v:path gradientshapeok="t" o:connecttype="rect"/>
            </v:shapetype>
            <v:shape id="Textové pole 2301" o:spid="_x0000_s1043" type="#_x0000_t202" alt="CHRÁNĚNÉ" style="position:absolute;left:0;text-align:left;margin-left:-16.25pt;margin-top:.05pt;width:34.95pt;height:34.95pt;z-index:2517248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DcN+DeCgIAABwE&#13;&#10;AAAOAAAAAAAAAAAAAAAAAC4CAABkcnMvZTJvRG9jLnhtbFBLAQItABQABgAIAAAAIQApexMi3gAA&#13;&#10;AAgBAAAPAAAAAAAAAAAAAAAAAGQEAABkcnMvZG93bnJldi54bWxQSwUGAAAAAAQABADzAAAAbwUA&#13;&#10;AAAA&#13;&#10;" filled="f" stroked="f">
              <v:textbox style="mso-fit-shape-to-text:t" inset="0,0,5pt,0">
                <w:txbxContent>
                  <w:p w14:paraId="563FD92D" w14:textId="6A7B67DD"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6584" w14:textId="491815CA" w:rsidR="00D02ED7" w:rsidRDefault="00D02ED7">
    <w:pPr>
      <w:pStyle w:val="Header"/>
    </w:pPr>
    <w:r>
      <w:rPr>
        <w:noProof/>
      </w:rPr>
      <mc:AlternateContent>
        <mc:Choice Requires="wps">
          <w:drawing>
            <wp:anchor distT="0" distB="0" distL="0" distR="0" simplePos="0" relativeHeight="251728896" behindDoc="0" locked="0" layoutInCell="1" allowOverlap="1" wp14:anchorId="3C08D1E8" wp14:editId="17448D93">
              <wp:simplePos x="635" y="635"/>
              <wp:positionH relativeFrom="rightMargin">
                <wp:align>right</wp:align>
              </wp:positionH>
              <wp:positionV relativeFrom="paragraph">
                <wp:posOffset>635</wp:posOffset>
              </wp:positionV>
              <wp:extent cx="443865" cy="443865"/>
              <wp:effectExtent l="0" t="0" r="0" b="16510"/>
              <wp:wrapSquare wrapText="bothSides"/>
              <wp:docPr id="452" name="Textové pole 452"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DA7490" w14:textId="40B6B751"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C08D1E8" id="_x0000_t202" coordsize="21600,21600" o:spt="202" path="m,l,21600r21600,l21600,xe">
              <v:stroke joinstyle="miter"/>
              <v:path gradientshapeok="t" o:connecttype="rect"/>
            </v:shapetype>
            <v:shape id="Textové pole 452" o:spid="_x0000_s1044" type="#_x0000_t202" alt="CHRÁNĚNÉ" style="position:absolute;left:0;text-align:left;margin-left:-16.25pt;margin-top:.05pt;width:34.95pt;height:34.95pt;z-index:2517288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AMyfP0CgIAABwE&#13;&#10;AAAOAAAAAAAAAAAAAAAAAC4CAABkcnMvZTJvRG9jLnhtbFBLAQItABQABgAIAAAAIQApexMi3gAA&#13;&#10;AAgBAAAPAAAAAAAAAAAAAAAAAGQEAABkcnMvZG93bnJldi54bWxQSwUGAAAAAAQABADzAAAAbwUA&#13;&#10;AAAA&#13;&#10;" filled="f" stroked="f">
              <v:textbox style="mso-fit-shape-to-text:t" inset="0,0,5pt,0">
                <w:txbxContent>
                  <w:p w14:paraId="7DDA7490" w14:textId="40B6B751"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692E" w14:textId="3865538D" w:rsidR="004C2587"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02272" behindDoc="0" locked="0" layoutInCell="1" allowOverlap="1" wp14:anchorId="22432643" wp14:editId="1D8238F3">
              <wp:simplePos x="904875" y="447675"/>
              <wp:positionH relativeFrom="rightMargin">
                <wp:align>right</wp:align>
              </wp:positionH>
              <wp:positionV relativeFrom="paragraph">
                <wp:posOffset>635</wp:posOffset>
              </wp:positionV>
              <wp:extent cx="443865" cy="443865"/>
              <wp:effectExtent l="0" t="0" r="0" b="16510"/>
              <wp:wrapSquare wrapText="bothSides"/>
              <wp:docPr id="2265" name="Textové pole 2265"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FAF144" w14:textId="5906AA6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2432643" id="_x0000_t202" coordsize="21600,21600" o:spt="202" path="m,l,21600r21600,l21600,xe">
              <v:stroke joinstyle="miter"/>
              <v:path gradientshapeok="t" o:connecttype="rect"/>
            </v:shapetype>
            <v:shape id="Textové pole 2265" o:spid="_x0000_s1027" type="#_x0000_t202" alt="CHRÁNĚNÉ" style="position:absolute;left:0;text-align:left;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" filled="f" stroked="f">
              <v:textbox style="mso-fit-shape-to-text:t" inset="0,0,5pt,0">
                <w:txbxContent>
                  <w:p w14:paraId="7FFAF144" w14:textId="5906AA6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4C2587">
      <w:rPr>
        <w:rFonts w:cs="Arial"/>
        <w:b/>
        <w:i/>
        <w:noProof/>
        <w:color w:val="808080"/>
        <w:sz w:val="20"/>
        <w:szCs w:val="20"/>
        <w:lang w:eastAsia="cs-CZ"/>
      </w:rPr>
      <w:drawing>
        <wp:anchor distT="0" distB="0" distL="114300" distR="114300" simplePos="0" relativeHeight="251659264" behindDoc="0" locked="0" layoutInCell="1" allowOverlap="1" wp14:anchorId="476EC3C8" wp14:editId="7F59A0BA">
          <wp:simplePos x="0" y="0"/>
          <wp:positionH relativeFrom="margin">
            <wp:posOffset>4062730</wp:posOffset>
          </wp:positionH>
          <wp:positionV relativeFrom="margin">
            <wp:posOffset>-682625</wp:posOffset>
          </wp:positionV>
          <wp:extent cx="1697990" cy="405765"/>
          <wp:effectExtent l="0" t="0" r="0" b="0"/>
          <wp:wrapNone/>
          <wp:docPr id="2327" name="Obrázek 23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4C2587">
      <w:rPr>
        <w:sz w:val="16"/>
        <w:szCs w:val="16"/>
      </w:rPr>
      <w:t>Přílohy smlouvy o energetických službách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6288" w14:textId="33C97F99" w:rsidR="00AF3D8B"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29920" behindDoc="0" locked="0" layoutInCell="1" allowOverlap="1" wp14:anchorId="5430EB52" wp14:editId="5F70A57F">
              <wp:simplePos x="635" y="635"/>
              <wp:positionH relativeFrom="rightMargin">
                <wp:align>right</wp:align>
              </wp:positionH>
              <wp:positionV relativeFrom="paragraph">
                <wp:posOffset>635</wp:posOffset>
              </wp:positionV>
              <wp:extent cx="443865" cy="443865"/>
              <wp:effectExtent l="0" t="0" r="0" b="16510"/>
              <wp:wrapSquare wrapText="bothSides"/>
              <wp:docPr id="453" name="Textové pole 453"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DF238" w14:textId="7DA21D2A"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430EB52" id="_x0000_t202" coordsize="21600,21600" o:spt="202" path="m,l,21600r21600,l21600,xe">
              <v:stroke joinstyle="miter"/>
              <v:path gradientshapeok="t" o:connecttype="rect"/>
            </v:shapetype>
            <v:shape id="Textové pole 453" o:spid="_x0000_s1045" type="#_x0000_t202" alt="CHRÁNĚNÉ" style="position:absolute;left:0;text-align:left;margin-left:-16.25pt;margin-top:.05pt;width:34.95pt;height:34.95pt;z-index:2517299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Bpc9meCgIAABwE&#13;&#10;AAAOAAAAAAAAAAAAAAAAAC4CAABkcnMvZTJvRG9jLnhtbFBLAQItABQABgAIAAAAIQApexMi3gAA&#13;&#10;AAgBAAAPAAAAAAAAAAAAAAAAAGQEAABkcnMvZG93bnJldi54bWxQSwUGAAAAAAQABADzAAAAbwUA&#13;&#10;AAAA&#13;&#10;" filled="f" stroked="f">
              <v:textbox style="mso-fit-shape-to-text:t" inset="0,0,5pt,0">
                <w:txbxContent>
                  <w:p w14:paraId="20DDF238" w14:textId="7DA21D2A"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AF3D8B">
      <w:rPr>
        <w:rFonts w:cs="Arial"/>
        <w:b/>
        <w:i/>
        <w:noProof/>
        <w:color w:val="808080"/>
        <w:sz w:val="20"/>
        <w:szCs w:val="20"/>
        <w:lang w:eastAsia="cs-CZ"/>
      </w:rPr>
      <w:drawing>
        <wp:anchor distT="0" distB="0" distL="114300" distR="114300" simplePos="0" relativeHeight="251686912" behindDoc="0" locked="0" layoutInCell="1" allowOverlap="1" wp14:anchorId="5A56BD1E" wp14:editId="4170AD38">
          <wp:simplePos x="0" y="0"/>
          <wp:positionH relativeFrom="margin">
            <wp:align>right</wp:align>
          </wp:positionH>
          <wp:positionV relativeFrom="margin">
            <wp:posOffset>-682625</wp:posOffset>
          </wp:positionV>
          <wp:extent cx="1697990" cy="405765"/>
          <wp:effectExtent l="0" t="0" r="0" b="0"/>
          <wp:wrapNone/>
          <wp:docPr id="2346" name="Obrázek 234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AF3D8B">
      <w:rPr>
        <w:sz w:val="16"/>
        <w:szCs w:val="16"/>
      </w:rPr>
      <w:t>Přílohy smlouvy o energetických službách</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1657" w14:textId="25CFCF8B" w:rsidR="00D02ED7" w:rsidRDefault="00D02ED7">
    <w:pPr>
      <w:pStyle w:val="Header"/>
    </w:pPr>
    <w:r>
      <w:rPr>
        <w:noProof/>
      </w:rPr>
      <mc:AlternateContent>
        <mc:Choice Requires="wps">
          <w:drawing>
            <wp:anchor distT="0" distB="0" distL="0" distR="0" simplePos="0" relativeHeight="251727872" behindDoc="0" locked="0" layoutInCell="1" allowOverlap="1" wp14:anchorId="3059BE1F" wp14:editId="7F22DFD1">
              <wp:simplePos x="635" y="635"/>
              <wp:positionH relativeFrom="rightMargin">
                <wp:align>right</wp:align>
              </wp:positionH>
              <wp:positionV relativeFrom="paragraph">
                <wp:posOffset>635</wp:posOffset>
              </wp:positionV>
              <wp:extent cx="443865" cy="443865"/>
              <wp:effectExtent l="0" t="0" r="0" b="16510"/>
              <wp:wrapSquare wrapText="bothSides"/>
              <wp:docPr id="449" name="Textové pole 449"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C0930E" w14:textId="7DD6586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059BE1F" id="_x0000_t202" coordsize="21600,21600" o:spt="202" path="m,l,21600r21600,l21600,xe">
              <v:stroke joinstyle="miter"/>
              <v:path gradientshapeok="t" o:connecttype="rect"/>
            </v:shapetype>
            <v:shape id="Textové pole 449" o:spid="_x0000_s1046" type="#_x0000_t202" alt="CHRÁNĚNÉ" style="position:absolute;left:0;text-align:left;margin-left:-16.25pt;margin-top:.05pt;width:34.95pt;height:34.95pt;z-index:2517278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" filled="f" stroked="f">
              <v:textbox style="mso-fit-shape-to-text:t" inset="0,0,5pt,0">
                <w:txbxContent>
                  <w:p w14:paraId="33C0930E" w14:textId="7DD6586C"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27A1" w14:textId="037CD647" w:rsidR="00D02ED7" w:rsidRDefault="00D02ED7">
    <w:pPr>
      <w:pStyle w:val="Header"/>
    </w:pPr>
    <w:r>
      <w:rPr>
        <w:noProof/>
      </w:rPr>
      <mc:AlternateContent>
        <mc:Choice Requires="wps">
          <w:drawing>
            <wp:anchor distT="0" distB="0" distL="0" distR="0" simplePos="0" relativeHeight="251738112" behindDoc="0" locked="0" layoutInCell="1" allowOverlap="1" wp14:anchorId="6735030F" wp14:editId="3830E2BD">
              <wp:simplePos x="635" y="635"/>
              <wp:positionH relativeFrom="rightMargin">
                <wp:align>right</wp:align>
              </wp:positionH>
              <wp:positionV relativeFrom="paragraph">
                <wp:posOffset>635</wp:posOffset>
              </wp:positionV>
              <wp:extent cx="443865" cy="443865"/>
              <wp:effectExtent l="0" t="0" r="0" b="16510"/>
              <wp:wrapSquare wrapText="bothSides"/>
              <wp:docPr id="462" name="Textové pole 462"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436CD3" w14:textId="36B2C01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735030F" id="_x0000_t202" coordsize="21600,21600" o:spt="202" path="m,l,21600r21600,l21600,xe">
              <v:stroke joinstyle="miter"/>
              <v:path gradientshapeok="t" o:connecttype="rect"/>
            </v:shapetype>
            <v:shape id="Textové pole 462" o:spid="_x0000_s1047" type="#_x0000_t202" alt="CHRÁNĚNÉ" style="position:absolute;left:0;text-align:left;margin-left:-16.25pt;margin-top:.05pt;width:34.95pt;height:34.95pt;z-index:2517381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B0bbk/CgIAABwE&#13;&#10;AAAOAAAAAAAAAAAAAAAAAC4CAABkcnMvZTJvRG9jLnhtbFBLAQItABQABgAIAAAAIQApexMi3gAA&#13;&#10;AAgBAAAPAAAAAAAAAAAAAAAAAGQEAABkcnMvZG93bnJldi54bWxQSwUGAAAAAAQABADzAAAAbwUA&#13;&#10;AAAA&#13;&#10;" filled="f" stroked="f">
              <v:textbox style="mso-fit-shape-to-text:t" inset="0,0,5pt,0">
                <w:txbxContent>
                  <w:p w14:paraId="75436CD3" w14:textId="36B2C01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C8F8" w14:textId="67C75A75" w:rsidR="00EB0BE5"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39136" behindDoc="0" locked="0" layoutInCell="1" allowOverlap="1" wp14:anchorId="65E61BC2" wp14:editId="326CA201">
              <wp:simplePos x="635" y="635"/>
              <wp:positionH relativeFrom="rightMargin">
                <wp:align>right</wp:align>
              </wp:positionH>
              <wp:positionV relativeFrom="paragraph">
                <wp:posOffset>635</wp:posOffset>
              </wp:positionV>
              <wp:extent cx="443865" cy="443865"/>
              <wp:effectExtent l="0" t="0" r="0" b="16510"/>
              <wp:wrapSquare wrapText="bothSides"/>
              <wp:docPr id="463" name="Textové pole 463"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B6565" w14:textId="6A8D9C12"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5E61BC2" id="_x0000_t202" coordsize="21600,21600" o:spt="202" path="m,l,21600r21600,l21600,xe">
              <v:stroke joinstyle="miter"/>
              <v:path gradientshapeok="t" o:connecttype="rect"/>
            </v:shapetype>
            <v:shape id="Textové pole 463" o:spid="_x0000_s1048" type="#_x0000_t202" alt="CHRÁNĚNÉ" style="position:absolute;left:0;text-align:left;margin-left:-16.25pt;margin-top:.05pt;width:34.95pt;height:34.95pt;z-index:2517391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" filled="f" stroked="f">
              <v:textbox style="mso-fit-shape-to-text:t" inset="0,0,5pt,0">
                <w:txbxContent>
                  <w:p w14:paraId="3E9B6565" w14:textId="6A8D9C12"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EB0BE5">
      <w:rPr>
        <w:rFonts w:cs="Arial"/>
        <w:b/>
        <w:i/>
        <w:noProof/>
        <w:color w:val="808080"/>
        <w:sz w:val="20"/>
        <w:szCs w:val="20"/>
        <w:lang w:eastAsia="cs-CZ"/>
      </w:rPr>
      <w:drawing>
        <wp:anchor distT="0" distB="0" distL="114300" distR="114300" simplePos="0" relativeHeight="251684864" behindDoc="0" locked="0" layoutInCell="1" allowOverlap="1" wp14:anchorId="614A8844" wp14:editId="035A7F0F">
          <wp:simplePos x="0" y="0"/>
          <wp:positionH relativeFrom="margin">
            <wp:posOffset>4062730</wp:posOffset>
          </wp:positionH>
          <wp:positionV relativeFrom="margin">
            <wp:posOffset>-682625</wp:posOffset>
          </wp:positionV>
          <wp:extent cx="1697990" cy="405765"/>
          <wp:effectExtent l="0" t="0" r="0" b="0"/>
          <wp:wrapNone/>
          <wp:docPr id="2349" name="Obrázek 234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EB0BE5">
      <w:rPr>
        <w:sz w:val="16"/>
        <w:szCs w:val="16"/>
      </w:rPr>
      <w:t>Přílohy smlouvy o energetických službách</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7F1F" w14:textId="71F9EA26" w:rsidR="00D02ED7" w:rsidRDefault="00D02ED7">
    <w:pPr>
      <w:pStyle w:val="Header"/>
    </w:pPr>
    <w:r>
      <w:rPr>
        <w:noProof/>
      </w:rPr>
      <mc:AlternateContent>
        <mc:Choice Requires="wps">
          <w:drawing>
            <wp:anchor distT="0" distB="0" distL="0" distR="0" simplePos="0" relativeHeight="251737088" behindDoc="0" locked="0" layoutInCell="1" allowOverlap="1" wp14:anchorId="1B989B82" wp14:editId="6454F50D">
              <wp:simplePos x="635" y="635"/>
              <wp:positionH relativeFrom="rightMargin">
                <wp:align>right</wp:align>
              </wp:positionH>
              <wp:positionV relativeFrom="paragraph">
                <wp:posOffset>635</wp:posOffset>
              </wp:positionV>
              <wp:extent cx="443865" cy="443865"/>
              <wp:effectExtent l="0" t="0" r="0" b="16510"/>
              <wp:wrapSquare wrapText="bothSides"/>
              <wp:docPr id="461" name="Textové pole 461"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F5DD55" w14:textId="5238F8A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B989B82" id="_x0000_t202" coordsize="21600,21600" o:spt="202" path="m,l,21600r21600,l21600,xe">
              <v:stroke joinstyle="miter"/>
              <v:path gradientshapeok="t" o:connecttype="rect"/>
            </v:shapetype>
            <v:shape id="Textové pole 461" o:spid="_x0000_s1049" type="#_x0000_t202" alt="CHRÁNĚNÉ" style="position:absolute;left:0;text-align:left;margin-left:-16.25pt;margin-top:.05pt;width:34.95pt;height:34.95pt;z-index:2517370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" filled="f" stroked="f">
              <v:textbox style="mso-fit-shape-to-text:t" inset="0,0,5pt,0">
                <w:txbxContent>
                  <w:p w14:paraId="6BF5DD55" w14:textId="5238F8AB"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4B35" w14:textId="278D1B59" w:rsidR="000B040D" w:rsidRDefault="00D02ED7">
    <w:pPr>
      <w:pStyle w:val="Header"/>
    </w:pPr>
    <w:r>
      <w:rPr>
        <w:noProof/>
      </w:rPr>
      <mc:AlternateContent>
        <mc:Choice Requires="wps">
          <w:drawing>
            <wp:anchor distT="0" distB="0" distL="0" distR="0" simplePos="0" relativeHeight="251700224" behindDoc="0" locked="0" layoutInCell="1" allowOverlap="1" wp14:anchorId="6B5EF01C" wp14:editId="2262FE5B">
              <wp:simplePos x="635" y="635"/>
              <wp:positionH relativeFrom="rightMargin">
                <wp:align>right</wp:align>
              </wp:positionH>
              <wp:positionV relativeFrom="paragraph">
                <wp:posOffset>635</wp:posOffset>
              </wp:positionV>
              <wp:extent cx="443865" cy="443865"/>
              <wp:effectExtent l="0" t="0" r="0" b="16510"/>
              <wp:wrapSquare wrapText="bothSides"/>
              <wp:docPr id="50" name="Textové pole 50"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BE7E92" w14:textId="570AA657"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B5EF01C" id="_x0000_t202" coordsize="21600,21600" o:spt="202" path="m,l,21600r21600,l21600,xe">
              <v:stroke joinstyle="miter"/>
              <v:path gradientshapeok="t" o:connecttype="rect"/>
            </v:shapetype>
            <v:shape id="Textové pole 50" o:spid="_x0000_s1028" type="#_x0000_t202" alt="CHRÁNĚNÉ" style="position:absolute;left:0;text-align:left;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C+RsFkCgIAABsE&#13;&#10;AAAOAAAAAAAAAAAAAAAAAC4CAABkcnMvZTJvRG9jLnhtbFBLAQItABQABgAIAAAAIQApexMi3gAA&#13;&#10;AAgBAAAPAAAAAAAAAAAAAAAAAGQEAABkcnMvZG93bnJldi54bWxQSwUGAAAAAAQABADzAAAAbwUA&#13;&#10;AAAA&#13;&#10;" filled="f" stroked="f">
              <v:textbox style="mso-fit-shape-to-text:t" inset="0,0,5pt,0">
                <w:txbxContent>
                  <w:p w14:paraId="70BE7E92" w14:textId="570AA657"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8C16" w14:textId="2337C921" w:rsidR="00D02ED7" w:rsidRDefault="00D02ED7">
    <w:pPr>
      <w:pStyle w:val="Header"/>
    </w:pPr>
    <w:r>
      <w:rPr>
        <w:noProof/>
      </w:rPr>
      <mc:AlternateContent>
        <mc:Choice Requires="wps">
          <w:drawing>
            <wp:anchor distT="0" distB="0" distL="0" distR="0" simplePos="0" relativeHeight="251704320" behindDoc="0" locked="0" layoutInCell="1" allowOverlap="1" wp14:anchorId="2E2BADEA" wp14:editId="123D28EE">
              <wp:simplePos x="635" y="635"/>
              <wp:positionH relativeFrom="rightMargin">
                <wp:align>right</wp:align>
              </wp:positionH>
              <wp:positionV relativeFrom="paragraph">
                <wp:posOffset>635</wp:posOffset>
              </wp:positionV>
              <wp:extent cx="443865" cy="443865"/>
              <wp:effectExtent l="0" t="0" r="0" b="16510"/>
              <wp:wrapSquare wrapText="bothSides"/>
              <wp:docPr id="2268" name="Textové pole 2268"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FF141" w14:textId="46D70DD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E2BADEA" id="_x0000_t202" coordsize="21600,21600" o:spt="202" path="m,l,21600r21600,l21600,xe">
              <v:stroke joinstyle="miter"/>
              <v:path gradientshapeok="t" o:connecttype="rect"/>
            </v:shapetype>
            <v:shape id="Textové pole 2268" o:spid="_x0000_s1029" type="#_x0000_t202" alt="CHRÁNĚNÉ"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Db/OsOCgIAABsE&#13;&#10;AAAOAAAAAAAAAAAAAAAAAC4CAABkcnMvZTJvRG9jLnhtbFBLAQItABQABgAIAAAAIQApexMi3gAA&#13;&#10;AAgBAAAPAAAAAAAAAAAAAAAAAGQEAABkcnMvZG93bnJldi54bWxQSwUGAAAAAAQABADzAAAAbwUA&#13;&#10;AAAA&#13;&#10;" filled="f" stroked="f">
              <v:textbox style="mso-fit-shape-to-text:t" inset="0,0,5pt,0">
                <w:txbxContent>
                  <w:p w14:paraId="05FFF141" w14:textId="46D70DD3"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3925" w14:textId="7CD77A6E" w:rsidR="001C4AFA" w:rsidRDefault="00D02ED7" w:rsidP="004C258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05344" behindDoc="0" locked="0" layoutInCell="1" allowOverlap="1" wp14:anchorId="7180C9BD" wp14:editId="77B0C76B">
              <wp:simplePos x="635" y="635"/>
              <wp:positionH relativeFrom="rightMargin">
                <wp:align>right</wp:align>
              </wp:positionH>
              <wp:positionV relativeFrom="paragraph">
                <wp:posOffset>635</wp:posOffset>
              </wp:positionV>
              <wp:extent cx="443865" cy="443865"/>
              <wp:effectExtent l="0" t="0" r="0" b="16510"/>
              <wp:wrapSquare wrapText="bothSides"/>
              <wp:docPr id="2269" name="Textové pole 2269"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C7667" w14:textId="4EE72BFA"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80C9BD" id="_x0000_t202" coordsize="21600,21600" o:spt="202" path="m,l,21600r21600,l21600,xe">
              <v:stroke joinstyle="miter"/>
              <v:path gradientshapeok="t" o:connecttype="rect"/>
            </v:shapetype>
            <v:shape id="Textové pole 2269" o:spid="_x0000_s1030" type="#_x0000_t202" alt="CHRÁNĚNÉ" style="position:absolute;left:0;text-align:left;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" filled="f" stroked="f">
              <v:textbox style="mso-fit-shape-to-text:t" inset="0,0,5pt,0">
                <w:txbxContent>
                  <w:p w14:paraId="50CC7667" w14:textId="4EE72BFA"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1C4AFA">
      <w:rPr>
        <w:rFonts w:cs="Arial"/>
        <w:b/>
        <w:i/>
        <w:noProof/>
        <w:color w:val="808080"/>
        <w:sz w:val="20"/>
        <w:szCs w:val="20"/>
        <w:lang w:eastAsia="cs-CZ"/>
      </w:rPr>
      <w:drawing>
        <wp:anchor distT="0" distB="0" distL="114300" distR="114300" simplePos="0" relativeHeight="251661312" behindDoc="0" locked="0" layoutInCell="1" allowOverlap="1" wp14:anchorId="36FCD9FC" wp14:editId="372ACE8D">
          <wp:simplePos x="0" y="0"/>
          <wp:positionH relativeFrom="margin">
            <wp:posOffset>7373620</wp:posOffset>
          </wp:positionH>
          <wp:positionV relativeFrom="margin">
            <wp:posOffset>-825500</wp:posOffset>
          </wp:positionV>
          <wp:extent cx="1697990" cy="405765"/>
          <wp:effectExtent l="0" t="0" r="0" b="0"/>
          <wp:wrapNone/>
          <wp:docPr id="2328" name="Obrázek 23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C4AFA">
      <w:rPr>
        <w:sz w:val="16"/>
        <w:szCs w:val="16"/>
      </w:rPr>
      <w:t>Přílohy smlouvy o energetických službách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9A00" w14:textId="4553E7DF" w:rsidR="00D02ED7" w:rsidRDefault="00D02ED7">
    <w:pPr>
      <w:pStyle w:val="Header"/>
    </w:pPr>
    <w:r>
      <w:rPr>
        <w:noProof/>
      </w:rPr>
      <mc:AlternateContent>
        <mc:Choice Requires="wps">
          <w:drawing>
            <wp:anchor distT="0" distB="0" distL="0" distR="0" simplePos="0" relativeHeight="251703296" behindDoc="0" locked="0" layoutInCell="1" allowOverlap="1" wp14:anchorId="3EF338EB" wp14:editId="4B82EAFE">
              <wp:simplePos x="635" y="635"/>
              <wp:positionH relativeFrom="rightMargin">
                <wp:align>right</wp:align>
              </wp:positionH>
              <wp:positionV relativeFrom="paragraph">
                <wp:posOffset>635</wp:posOffset>
              </wp:positionV>
              <wp:extent cx="443865" cy="443865"/>
              <wp:effectExtent l="0" t="0" r="0" b="16510"/>
              <wp:wrapSquare wrapText="bothSides"/>
              <wp:docPr id="2267" name="Textové pole 2267"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0F6365" w14:textId="5764E152"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EF338EB" id="_x0000_t202" coordsize="21600,21600" o:spt="202" path="m,l,21600r21600,l21600,xe">
              <v:stroke joinstyle="miter"/>
              <v:path gradientshapeok="t" o:connecttype="rect"/>
            </v:shapetype>
            <v:shape id="Textové pole 2267" o:spid="_x0000_s1031" type="#_x0000_t202" alt="CHRÁNĚNÉ" style="position:absolute;left:0;text-align:left;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DEZ2WpCgIAABsE&#13;&#10;AAAOAAAAAAAAAAAAAAAAAC4CAABkcnMvZTJvRG9jLnhtbFBLAQItABQABgAIAAAAIQApexMi3gAA&#13;&#10;AAgBAAAPAAAAAAAAAAAAAAAAAGQEAABkcnMvZG93bnJldi54bWxQSwUGAAAAAAQABADzAAAAbwUA&#13;&#10;AAAA&#13;&#10;" filled="f" stroked="f">
              <v:textbox style="mso-fit-shape-to-text:t" inset="0,0,5pt,0">
                <w:txbxContent>
                  <w:p w14:paraId="460F6365" w14:textId="5764E152"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9B57" w14:textId="62D7832C" w:rsidR="00D02ED7" w:rsidRDefault="00D02ED7">
    <w:pPr>
      <w:pStyle w:val="Header"/>
    </w:pPr>
    <w:r>
      <w:rPr>
        <w:noProof/>
      </w:rPr>
      <mc:AlternateContent>
        <mc:Choice Requires="wps">
          <w:drawing>
            <wp:anchor distT="0" distB="0" distL="0" distR="0" simplePos="0" relativeHeight="251707392" behindDoc="0" locked="0" layoutInCell="1" allowOverlap="1" wp14:anchorId="00D02992" wp14:editId="5CDF57FB">
              <wp:simplePos x="635" y="635"/>
              <wp:positionH relativeFrom="rightMargin">
                <wp:align>right</wp:align>
              </wp:positionH>
              <wp:positionV relativeFrom="paragraph">
                <wp:posOffset>635</wp:posOffset>
              </wp:positionV>
              <wp:extent cx="443865" cy="443865"/>
              <wp:effectExtent l="0" t="0" r="0" b="16510"/>
              <wp:wrapSquare wrapText="bothSides"/>
              <wp:docPr id="2271" name="Textové pole 2271"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5033CC" w14:textId="1BDFD86E"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0D02992" id="_x0000_t202" coordsize="21600,21600" o:spt="202" path="m,l,21600r21600,l21600,xe">
              <v:stroke joinstyle="miter"/>
              <v:path gradientshapeok="t" o:connecttype="rect"/>
            </v:shapetype>
            <v:shape id="Textové pole 2271" o:spid="_x0000_s1032" type="#_x0000_t202" alt="CHRÁNĚNÉ" style="position:absolute;left:0;text-align:left;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BrqRoXCgIAABsE&#13;&#10;AAAOAAAAAAAAAAAAAAAAAC4CAABkcnMvZTJvRG9jLnhtbFBLAQItABQABgAIAAAAIQApexMi3gAA&#13;&#10;AAgBAAAPAAAAAAAAAAAAAAAAAGQEAABkcnMvZG93bnJldi54bWxQSwUGAAAAAAQABADzAAAAbwUA&#13;&#10;AAAA&#13;&#10;" filled="f" stroked="f">
              <v:textbox style="mso-fit-shape-to-text:t" inset="0,0,5pt,0">
                <w:txbxContent>
                  <w:p w14:paraId="2C5033CC" w14:textId="1BDFD86E"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3E7B" w14:textId="327DB806" w:rsidR="00761253" w:rsidRDefault="00D02ED7" w:rsidP="00D434C7">
    <w:pPr>
      <w:pStyle w:val="Header"/>
      <w:pBdr>
        <w:bottom w:val="single" w:sz="4" w:space="1" w:color="auto"/>
      </w:pBdr>
      <w:spacing w:before="120" w:after="60"/>
      <w:rPr>
        <w:sz w:val="16"/>
        <w:szCs w:val="16"/>
      </w:rPr>
    </w:pPr>
    <w:r>
      <w:rPr>
        <w:rFonts w:cs="Arial"/>
        <w:b/>
        <w:i/>
        <w:noProof/>
        <w:color w:val="808080"/>
        <w:sz w:val="20"/>
        <w:szCs w:val="20"/>
        <w:lang w:eastAsia="cs-CZ"/>
      </w:rPr>
      <mc:AlternateContent>
        <mc:Choice Requires="wps">
          <w:drawing>
            <wp:anchor distT="0" distB="0" distL="0" distR="0" simplePos="0" relativeHeight="251708416" behindDoc="0" locked="0" layoutInCell="1" allowOverlap="1" wp14:anchorId="1C09916D" wp14:editId="5430CB59">
              <wp:simplePos x="635" y="635"/>
              <wp:positionH relativeFrom="rightMargin">
                <wp:align>right</wp:align>
              </wp:positionH>
              <wp:positionV relativeFrom="paragraph">
                <wp:posOffset>635</wp:posOffset>
              </wp:positionV>
              <wp:extent cx="443865" cy="443865"/>
              <wp:effectExtent l="0" t="0" r="0" b="16510"/>
              <wp:wrapSquare wrapText="bothSides"/>
              <wp:docPr id="2272" name="Textové pole 2272"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489DB" w14:textId="14296550"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C09916D" id="_x0000_t202" coordsize="21600,21600" o:spt="202" path="m,l,21600r21600,l21600,xe">
              <v:stroke joinstyle="miter"/>
              <v:path gradientshapeok="t" o:connecttype="rect"/>
            </v:shapetype>
            <v:shape id="Textové pole 2272" o:spid="_x0000_s1033" type="#_x0000_t202" alt="CHRÁNĚNÉ" style="position:absolute;left:0;text-align:left;margin-left:-16.25pt;margin-top:.05pt;width:34.95pt;height:34.95pt;z-index:2517084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AOEzB9CgIAABsE&#13;&#10;AAAOAAAAAAAAAAAAAAAAAC4CAABkcnMvZTJvRG9jLnhtbFBLAQItABQABgAIAAAAIQApexMi3gAA&#13;&#10;AAgBAAAPAAAAAAAAAAAAAAAAAGQEAABkcnMvZG93bnJldi54bWxQSwUGAAAAAAQABADzAAAAbwUA&#13;&#10;AAAA&#13;&#10;" filled="f" stroked="f">
              <v:textbox style="mso-fit-shape-to-text:t" inset="0,0,5pt,0">
                <w:txbxContent>
                  <w:p w14:paraId="470489DB" w14:textId="14296550"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r w:rsidR="00761253">
      <w:rPr>
        <w:rFonts w:cs="Arial"/>
        <w:b/>
        <w:i/>
        <w:noProof/>
        <w:color w:val="808080"/>
        <w:sz w:val="20"/>
        <w:szCs w:val="20"/>
        <w:lang w:eastAsia="cs-CZ"/>
      </w:rPr>
      <w:drawing>
        <wp:anchor distT="0" distB="0" distL="114300" distR="114300" simplePos="0" relativeHeight="251665408" behindDoc="0" locked="0" layoutInCell="1" allowOverlap="1" wp14:anchorId="6DA00C20" wp14:editId="2FFE1852">
          <wp:simplePos x="0" y="0"/>
          <wp:positionH relativeFrom="margin">
            <wp:posOffset>4062730</wp:posOffset>
          </wp:positionH>
          <wp:positionV relativeFrom="margin">
            <wp:posOffset>-682625</wp:posOffset>
          </wp:positionV>
          <wp:extent cx="1697990" cy="405765"/>
          <wp:effectExtent l="0" t="0" r="0" b="0"/>
          <wp:wrapNone/>
          <wp:docPr id="2329" name="Obrázek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761253">
      <w:rPr>
        <w:sz w:val="16"/>
        <w:szCs w:val="16"/>
      </w:rPr>
      <w:t>Přílohy smlouvy o energetických službách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B245" w14:textId="34CF5C2F" w:rsidR="00D02ED7" w:rsidRDefault="00D02ED7">
    <w:pPr>
      <w:pStyle w:val="Header"/>
    </w:pPr>
    <w:r>
      <w:rPr>
        <w:noProof/>
      </w:rPr>
      <mc:AlternateContent>
        <mc:Choice Requires="wps">
          <w:drawing>
            <wp:anchor distT="0" distB="0" distL="0" distR="0" simplePos="0" relativeHeight="251706368" behindDoc="0" locked="0" layoutInCell="1" allowOverlap="1" wp14:anchorId="12105915" wp14:editId="755D5BCB">
              <wp:simplePos x="635" y="635"/>
              <wp:positionH relativeFrom="rightMargin">
                <wp:align>right</wp:align>
              </wp:positionH>
              <wp:positionV relativeFrom="paragraph">
                <wp:posOffset>635</wp:posOffset>
              </wp:positionV>
              <wp:extent cx="443865" cy="443865"/>
              <wp:effectExtent l="0" t="0" r="0" b="16510"/>
              <wp:wrapSquare wrapText="bothSides"/>
              <wp:docPr id="2270" name="Textové pole 2270" descr="CHRÁNĚ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1C647" w14:textId="44F03708"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2105915" id="_x0000_t202" coordsize="21600,21600" o:spt="202" path="m,l,21600r21600,l21600,xe">
              <v:stroke joinstyle="miter"/>
              <v:path gradientshapeok="t" o:connecttype="rect"/>
            </v:shapetype>
            <v:shape id="Textové pole 2270" o:spid="_x0000_s1034" type="#_x0000_t202" alt="CHRÁNĚNÉ" style="position:absolute;left:0;text-align:left;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" filled="f" stroked="f">
              <v:textbox style="mso-fit-shape-to-text:t" inset="0,0,5pt,0">
                <w:txbxContent>
                  <w:p w14:paraId="0011C647" w14:textId="44F03708" w:rsidR="00D02ED7" w:rsidRPr="00D02ED7" w:rsidRDefault="00D02ED7">
                    <w:pPr>
                      <w:rPr>
                        <w:rFonts w:eastAsia="Calibri" w:cs="Calibri"/>
                        <w:noProof/>
                        <w:color w:val="000000"/>
                        <w:sz w:val="20"/>
                        <w:szCs w:val="20"/>
                      </w:rPr>
                    </w:pPr>
                    <w:r w:rsidRPr="00D02ED7">
                      <w:rPr>
                        <w:rFonts w:eastAsia="Calibri" w:cs="Calibri"/>
                        <w:noProof/>
                        <w:color w:val="000000"/>
                        <w:sz w:val="20"/>
                        <w:szCs w:val="20"/>
                      </w:rPr>
                      <w:t>CHRÁNĚNÉ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EBB"/>
    <w:multiLevelType w:val="hybridMultilevel"/>
    <w:tmpl w:val="F17A6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56002D"/>
    <w:multiLevelType w:val="multilevel"/>
    <w:tmpl w:val="B6D2168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073FEF"/>
    <w:multiLevelType w:val="hybridMultilevel"/>
    <w:tmpl w:val="FCE4774E"/>
    <w:lvl w:ilvl="0" w:tplc="0405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DD3A3C"/>
    <w:multiLevelType w:val="hybridMultilevel"/>
    <w:tmpl w:val="A2D0800E"/>
    <w:lvl w:ilvl="0" w:tplc="79DA1DB4">
      <w:start w:val="1"/>
      <w:numFmt w:val="decimal"/>
      <w:pStyle w:val="NumberText"/>
      <w:lvlText w:val="%1."/>
      <w:lvlJc w:val="left"/>
      <w:pPr>
        <w:tabs>
          <w:tab w:val="num" w:pos="1287"/>
        </w:tabs>
        <w:ind w:left="128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69F257E"/>
    <w:multiLevelType w:val="hybridMultilevel"/>
    <w:tmpl w:val="F74CC44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683F2B"/>
    <w:multiLevelType w:val="hybridMultilevel"/>
    <w:tmpl w:val="76C86FA2"/>
    <w:lvl w:ilvl="0" w:tplc="6256FD7E">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F1039E"/>
    <w:multiLevelType w:val="multilevel"/>
    <w:tmpl w:val="E55EC7FE"/>
    <w:lvl w:ilvl="0">
      <w:start w:val="1"/>
      <w:numFmt w:val="decimal"/>
      <w:lvlText w:val="%1."/>
      <w:lvlJc w:val="left"/>
      <w:pPr>
        <w:ind w:left="720" w:hanging="360"/>
      </w:pPr>
      <w:rPr>
        <w:rFonts w:hint="default"/>
      </w:rPr>
    </w:lvl>
    <w:lvl w:ilvl="1">
      <w:start w:val="1"/>
      <w:numFmt w:val="decimal"/>
      <w:isLgl/>
      <w:lvlText w:val="%1.%2."/>
      <w:lvlJc w:val="left"/>
      <w:pPr>
        <w:ind w:left="546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312599"/>
    <w:multiLevelType w:val="multilevel"/>
    <w:tmpl w:val="1D00F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AE5E17"/>
    <w:multiLevelType w:val="hybridMultilevel"/>
    <w:tmpl w:val="81BEBA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BB6FEB"/>
    <w:multiLevelType w:val="hybridMultilevel"/>
    <w:tmpl w:val="073A9EA0"/>
    <w:lvl w:ilvl="0" w:tplc="D4BA99AA">
      <w:start w:val="1"/>
      <w:numFmt w:val="upperLetter"/>
      <w:pStyle w:val="Heading2"/>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923943"/>
    <w:multiLevelType w:val="hybridMultilevel"/>
    <w:tmpl w:val="88407662"/>
    <w:lvl w:ilvl="0" w:tplc="FFFFFFFF">
      <w:start w:val="1"/>
      <w:numFmt w:val="upp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19CC6279"/>
    <w:multiLevelType w:val="multilevel"/>
    <w:tmpl w:val="936AEC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52766A"/>
    <w:multiLevelType w:val="hybridMultilevel"/>
    <w:tmpl w:val="903A6C56"/>
    <w:lvl w:ilvl="0" w:tplc="1F9E654A">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634356"/>
    <w:multiLevelType w:val="hybridMultilevel"/>
    <w:tmpl w:val="1D78D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3908BD"/>
    <w:multiLevelType w:val="multilevel"/>
    <w:tmpl w:val="8D64ABF2"/>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B52D76"/>
    <w:multiLevelType w:val="hybridMultilevel"/>
    <w:tmpl w:val="02C6E0E2"/>
    <w:lvl w:ilvl="0" w:tplc="F4EE01E4">
      <w:start w:val="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 w15:restartNumberingAfterBreak="0">
    <w:nsid w:val="2ED264DD"/>
    <w:multiLevelType w:val="hybridMultilevel"/>
    <w:tmpl w:val="E94A5F20"/>
    <w:lvl w:ilvl="0" w:tplc="4814A936">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2624F8"/>
    <w:multiLevelType w:val="hybridMultilevel"/>
    <w:tmpl w:val="0A327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2F05031"/>
    <w:multiLevelType w:val="hybridMultilevel"/>
    <w:tmpl w:val="FA2068EA"/>
    <w:lvl w:ilvl="0" w:tplc="401E471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A167CF"/>
    <w:multiLevelType w:val="hybridMultilevel"/>
    <w:tmpl w:val="6F4E7E0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15:restartNumberingAfterBreak="0">
    <w:nsid w:val="3B154D65"/>
    <w:multiLevelType w:val="hybridMultilevel"/>
    <w:tmpl w:val="38FA58C2"/>
    <w:lvl w:ilvl="0" w:tplc="BE56803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746FA5"/>
    <w:multiLevelType w:val="multilevel"/>
    <w:tmpl w:val="DF38F85C"/>
    <w:lvl w:ilvl="0">
      <w:start w:val="4"/>
      <w:numFmt w:val="decimal"/>
      <w:lvlText w:val="%1"/>
      <w:lvlJc w:val="left"/>
      <w:pPr>
        <w:ind w:left="36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740A2E"/>
    <w:multiLevelType w:val="hybridMultilevel"/>
    <w:tmpl w:val="73E0B832"/>
    <w:lvl w:ilvl="0" w:tplc="1F9E654A">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4D22B4"/>
    <w:multiLevelType w:val="hybridMultilevel"/>
    <w:tmpl w:val="DD546EE8"/>
    <w:lvl w:ilvl="0" w:tplc="926480FE">
      <w:start w:val="1"/>
      <w:numFmt w:val="lowerLette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493A781F"/>
    <w:multiLevelType w:val="hybridMultilevel"/>
    <w:tmpl w:val="03147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967970"/>
    <w:multiLevelType w:val="hybridMultilevel"/>
    <w:tmpl w:val="0EBCB1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4126C2"/>
    <w:multiLevelType w:val="hybridMultilevel"/>
    <w:tmpl w:val="2A320F4C"/>
    <w:lvl w:ilvl="0" w:tplc="9EE2AB3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44A5646"/>
    <w:multiLevelType w:val="hybridMultilevel"/>
    <w:tmpl w:val="0B0627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86A2C5E"/>
    <w:multiLevelType w:val="multilevel"/>
    <w:tmpl w:val="E55EC7F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783862"/>
    <w:multiLevelType w:val="hybridMultilevel"/>
    <w:tmpl w:val="2D6026C4"/>
    <w:lvl w:ilvl="0" w:tplc="7C68246E">
      <w:start w:val="1"/>
      <w:numFmt w:val="decimal"/>
      <w:lvlText w:val="%1.2"/>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979362A"/>
    <w:multiLevelType w:val="hybridMultilevel"/>
    <w:tmpl w:val="637E3F46"/>
    <w:lvl w:ilvl="0" w:tplc="F4EE01E4">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7A2D94"/>
    <w:multiLevelType w:val="hybridMultilevel"/>
    <w:tmpl w:val="767E5A3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9DA0C05"/>
    <w:multiLevelType w:val="hybridMultilevel"/>
    <w:tmpl w:val="4672D040"/>
    <w:lvl w:ilvl="0" w:tplc="D35632D0">
      <w:numFmt w:val="bullet"/>
      <w:lvlText w:val="-"/>
      <w:lvlJc w:val="left"/>
      <w:pPr>
        <w:ind w:left="720" w:hanging="360"/>
      </w:pPr>
      <w:rPr>
        <w:rFonts w:ascii="Myriad Pro" w:eastAsiaTheme="minorHAnsi" w:hAnsi="Myriad Pro"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pStyle w:val="Nadpis31"/>
      <w:lvlText w:val=""/>
      <w:lvlJc w:val="left"/>
      <w:pPr>
        <w:ind w:left="2160" w:hanging="360"/>
      </w:pPr>
      <w:rPr>
        <w:rFonts w:ascii="Wingdings" w:hAnsi="Wingdings" w:hint="default"/>
      </w:rPr>
    </w:lvl>
    <w:lvl w:ilvl="3" w:tplc="04050001" w:tentative="1">
      <w:start w:val="1"/>
      <w:numFmt w:val="bullet"/>
      <w:pStyle w:val="Nadpis41"/>
      <w:lvlText w:val=""/>
      <w:lvlJc w:val="left"/>
      <w:pPr>
        <w:ind w:left="2880" w:hanging="360"/>
      </w:pPr>
      <w:rPr>
        <w:rFonts w:ascii="Symbol" w:hAnsi="Symbol" w:hint="default"/>
      </w:rPr>
    </w:lvl>
    <w:lvl w:ilvl="4" w:tplc="04050003" w:tentative="1">
      <w:start w:val="1"/>
      <w:numFmt w:val="bullet"/>
      <w:pStyle w:val="Nadpis51"/>
      <w:lvlText w:val="o"/>
      <w:lvlJc w:val="left"/>
      <w:pPr>
        <w:ind w:left="3600" w:hanging="360"/>
      </w:pPr>
      <w:rPr>
        <w:rFonts w:ascii="Courier New" w:hAnsi="Courier New" w:cs="Courier New" w:hint="default"/>
      </w:rPr>
    </w:lvl>
    <w:lvl w:ilvl="5" w:tplc="04050005" w:tentative="1">
      <w:start w:val="1"/>
      <w:numFmt w:val="bullet"/>
      <w:pStyle w:val="Heading6"/>
      <w:lvlText w:val=""/>
      <w:lvlJc w:val="left"/>
      <w:pPr>
        <w:ind w:left="4320" w:hanging="360"/>
      </w:pPr>
      <w:rPr>
        <w:rFonts w:ascii="Wingdings" w:hAnsi="Wingdings" w:hint="default"/>
      </w:rPr>
    </w:lvl>
    <w:lvl w:ilvl="6" w:tplc="04050001" w:tentative="1">
      <w:start w:val="1"/>
      <w:numFmt w:val="bullet"/>
      <w:pStyle w:val="Heading7"/>
      <w:lvlText w:val=""/>
      <w:lvlJc w:val="left"/>
      <w:pPr>
        <w:ind w:left="5040" w:hanging="360"/>
      </w:pPr>
      <w:rPr>
        <w:rFonts w:ascii="Symbol" w:hAnsi="Symbol" w:hint="default"/>
      </w:rPr>
    </w:lvl>
    <w:lvl w:ilvl="7" w:tplc="04050003" w:tentative="1">
      <w:start w:val="1"/>
      <w:numFmt w:val="bullet"/>
      <w:pStyle w:val="Heading8"/>
      <w:lvlText w:val="o"/>
      <w:lvlJc w:val="left"/>
      <w:pPr>
        <w:ind w:left="5760" w:hanging="360"/>
      </w:pPr>
      <w:rPr>
        <w:rFonts w:ascii="Courier New" w:hAnsi="Courier New" w:cs="Courier New" w:hint="default"/>
      </w:rPr>
    </w:lvl>
    <w:lvl w:ilvl="8" w:tplc="04050005" w:tentative="1">
      <w:start w:val="1"/>
      <w:numFmt w:val="bullet"/>
      <w:pStyle w:val="Heading9"/>
      <w:lvlText w:val=""/>
      <w:lvlJc w:val="left"/>
      <w:pPr>
        <w:ind w:left="6480" w:hanging="360"/>
      </w:pPr>
      <w:rPr>
        <w:rFonts w:ascii="Wingdings" w:hAnsi="Wingdings" w:hint="default"/>
      </w:rPr>
    </w:lvl>
  </w:abstractNum>
  <w:abstractNum w:abstractNumId="33" w15:restartNumberingAfterBreak="0">
    <w:nsid w:val="6C251E1C"/>
    <w:multiLevelType w:val="hybridMultilevel"/>
    <w:tmpl w:val="88407662"/>
    <w:lvl w:ilvl="0" w:tplc="E3AE1B84">
      <w:start w:val="1"/>
      <w:numFmt w:val="upperLetter"/>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4" w15:restartNumberingAfterBreak="0">
    <w:nsid w:val="70D02D4C"/>
    <w:multiLevelType w:val="hybridMultilevel"/>
    <w:tmpl w:val="166CA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CB37AA"/>
    <w:multiLevelType w:val="hybridMultilevel"/>
    <w:tmpl w:val="B0CE75A4"/>
    <w:lvl w:ilvl="0" w:tplc="E3AE1B84">
      <w:start w:val="1"/>
      <w:numFmt w:val="upperLetter"/>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6" w15:restartNumberingAfterBreak="0">
    <w:nsid w:val="72CF5211"/>
    <w:multiLevelType w:val="hybridMultilevel"/>
    <w:tmpl w:val="2F260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5686949"/>
    <w:multiLevelType w:val="hybridMultilevel"/>
    <w:tmpl w:val="A5D45C68"/>
    <w:lvl w:ilvl="0" w:tplc="91ECB672">
      <w:start w:val="1"/>
      <w:numFmt w:val="bullet"/>
      <w:lvlText w:val=""/>
      <w:lvlJc w:val="left"/>
      <w:pPr>
        <w:ind w:left="928"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786176C8"/>
    <w:multiLevelType w:val="hybridMultilevel"/>
    <w:tmpl w:val="6A76D20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9" w15:restartNumberingAfterBreak="0">
    <w:nsid w:val="79806699"/>
    <w:multiLevelType w:val="hybridMultilevel"/>
    <w:tmpl w:val="91028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A44582E"/>
    <w:multiLevelType w:val="hybridMultilevel"/>
    <w:tmpl w:val="CAE8CD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DAC15B9"/>
    <w:multiLevelType w:val="hybridMultilevel"/>
    <w:tmpl w:val="E582683C"/>
    <w:lvl w:ilvl="0" w:tplc="9AD09A3C">
      <w:start w:val="1"/>
      <w:numFmt w:val="decimal"/>
      <w:lvlText w:val="Příloha č. %1"/>
      <w:lvlJc w:val="left"/>
      <w:pPr>
        <w:ind w:left="1068" w:hanging="360"/>
      </w:pPr>
      <w:rPr>
        <w:rFonts w:ascii="Arial" w:hAnsi="Arial" w:hint="default"/>
        <w:b/>
        <w:i w:val="0"/>
        <w:sz w:val="36"/>
        <w:szCs w:val="36"/>
      </w:rPr>
    </w:lvl>
    <w:lvl w:ilvl="1" w:tplc="04050019">
      <w:start w:val="1"/>
      <w:numFmt w:val="lowerLetter"/>
      <w:lvlText w:val="%2."/>
      <w:lvlJc w:val="left"/>
      <w:pPr>
        <w:ind w:left="1788" w:hanging="360"/>
      </w:pPr>
    </w:lvl>
    <w:lvl w:ilvl="2" w:tplc="108651B0">
      <w:numFmt w:val="bullet"/>
      <w:lvlText w:val="-"/>
      <w:lvlJc w:val="left"/>
      <w:pPr>
        <w:ind w:left="2688" w:hanging="360"/>
      </w:pPr>
      <w:rPr>
        <w:rFonts w:ascii="Arial" w:eastAsiaTheme="minorHAnsi" w:hAnsi="Arial" w:cs="Arial" w:hint="default"/>
      </w:rPr>
    </w:lvl>
    <w:lvl w:ilvl="3" w:tplc="CA12D28A">
      <w:start w:val="1"/>
      <w:numFmt w:val="decimal"/>
      <w:lvlText w:val="%4."/>
      <w:lvlJc w:val="left"/>
      <w:pPr>
        <w:ind w:left="3228" w:hanging="360"/>
      </w:pPr>
      <w:rPr>
        <w:rFonts w:hint="default"/>
        <w:sz w:val="28"/>
        <w:szCs w:val="28"/>
      </w:rPr>
    </w:lvl>
    <w:lvl w:ilvl="4" w:tplc="8996E048">
      <w:start w:val="1"/>
      <w:numFmt w:val="upperLetter"/>
      <w:lvlText w:val="%5)"/>
      <w:lvlJc w:val="left"/>
      <w:pPr>
        <w:ind w:left="3948" w:hanging="360"/>
      </w:pPr>
      <w:rPr>
        <w:rFonts w:hint="default"/>
      </w:rPr>
    </w:lvl>
    <w:lvl w:ilvl="5" w:tplc="0405001B">
      <w:start w:val="1"/>
      <w:numFmt w:val="lowerRoman"/>
      <w:lvlText w:val="%6."/>
      <w:lvlJc w:val="right"/>
      <w:pPr>
        <w:ind w:left="4668" w:hanging="180"/>
      </w:pPr>
    </w:lvl>
    <w:lvl w:ilvl="6" w:tplc="59B0336C">
      <w:start w:val="3"/>
      <w:numFmt w:val="decimal"/>
      <w:lvlText w:val="%7"/>
      <w:lvlJc w:val="left"/>
      <w:pPr>
        <w:ind w:left="5388" w:hanging="360"/>
      </w:pPr>
      <w:rPr>
        <w:rFonts w:hint="default"/>
      </w:r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16cid:durableId="812671707">
    <w:abstractNumId w:val="3"/>
  </w:num>
  <w:num w:numId="2" w16cid:durableId="1728992443">
    <w:abstractNumId w:val="12"/>
  </w:num>
  <w:num w:numId="3" w16cid:durableId="977226193">
    <w:abstractNumId w:val="22"/>
  </w:num>
  <w:num w:numId="4" w16cid:durableId="8526095">
    <w:abstractNumId w:val="9"/>
  </w:num>
  <w:num w:numId="5" w16cid:durableId="230047553">
    <w:abstractNumId w:val="28"/>
  </w:num>
  <w:num w:numId="6" w16cid:durableId="348920163">
    <w:abstractNumId w:val="32"/>
  </w:num>
  <w:num w:numId="7" w16cid:durableId="2117827919">
    <w:abstractNumId w:val="24"/>
  </w:num>
  <w:num w:numId="8" w16cid:durableId="661351440">
    <w:abstractNumId w:val="25"/>
  </w:num>
  <w:num w:numId="9" w16cid:durableId="871308112">
    <w:abstractNumId w:val="18"/>
  </w:num>
  <w:num w:numId="10" w16cid:durableId="1000424013">
    <w:abstractNumId w:val="15"/>
  </w:num>
  <w:num w:numId="11" w16cid:durableId="1636376688">
    <w:abstractNumId w:val="6"/>
  </w:num>
  <w:num w:numId="12" w16cid:durableId="429080668">
    <w:abstractNumId w:val="37"/>
  </w:num>
  <w:num w:numId="13" w16cid:durableId="945501646">
    <w:abstractNumId w:val="38"/>
  </w:num>
  <w:num w:numId="14" w16cid:durableId="1322348743">
    <w:abstractNumId w:val="1"/>
  </w:num>
  <w:num w:numId="15" w16cid:durableId="1849363714">
    <w:abstractNumId w:val="11"/>
  </w:num>
  <w:num w:numId="16" w16cid:durableId="2121948363">
    <w:abstractNumId w:val="7"/>
  </w:num>
  <w:num w:numId="17" w16cid:durableId="1743679705">
    <w:abstractNumId w:val="21"/>
  </w:num>
  <w:num w:numId="18" w16cid:durableId="1200508959">
    <w:abstractNumId w:val="35"/>
  </w:num>
  <w:num w:numId="19" w16cid:durableId="2061245493">
    <w:abstractNumId w:val="19"/>
  </w:num>
  <w:num w:numId="20" w16cid:durableId="1748842420">
    <w:abstractNumId w:val="31"/>
  </w:num>
  <w:num w:numId="21" w16cid:durableId="2022967204">
    <w:abstractNumId w:val="2"/>
  </w:num>
  <w:num w:numId="22" w16cid:durableId="646134366">
    <w:abstractNumId w:val="33"/>
  </w:num>
  <w:num w:numId="23" w16cid:durableId="1046486242">
    <w:abstractNumId w:val="40"/>
  </w:num>
  <w:num w:numId="24" w16cid:durableId="145318859">
    <w:abstractNumId w:val="14"/>
  </w:num>
  <w:num w:numId="25" w16cid:durableId="1919363811">
    <w:abstractNumId w:val="10"/>
  </w:num>
  <w:num w:numId="26" w16cid:durableId="461965269">
    <w:abstractNumId w:val="23"/>
  </w:num>
  <w:num w:numId="27" w16cid:durableId="927076861">
    <w:abstractNumId w:val="41"/>
  </w:num>
  <w:num w:numId="28" w16cid:durableId="947198355">
    <w:abstractNumId w:val="8"/>
  </w:num>
  <w:num w:numId="29" w16cid:durableId="1653946532">
    <w:abstractNumId w:val="27"/>
  </w:num>
  <w:num w:numId="30" w16cid:durableId="1702166598">
    <w:abstractNumId w:val="4"/>
  </w:num>
  <w:num w:numId="31" w16cid:durableId="1937014302">
    <w:abstractNumId w:val="29"/>
  </w:num>
  <w:num w:numId="32" w16cid:durableId="1286082728">
    <w:abstractNumId w:val="5"/>
  </w:num>
  <w:num w:numId="33" w16cid:durableId="1696611462">
    <w:abstractNumId w:val="36"/>
  </w:num>
  <w:num w:numId="34" w16cid:durableId="2073117208">
    <w:abstractNumId w:val="16"/>
  </w:num>
  <w:num w:numId="35" w16cid:durableId="513298898">
    <w:abstractNumId w:val="20"/>
  </w:num>
  <w:num w:numId="36" w16cid:durableId="1089814476">
    <w:abstractNumId w:val="30"/>
  </w:num>
  <w:num w:numId="37" w16cid:durableId="1563760181">
    <w:abstractNumId w:val="26"/>
  </w:num>
  <w:num w:numId="38" w16cid:durableId="106849154">
    <w:abstractNumId w:val="39"/>
  </w:num>
  <w:num w:numId="39" w16cid:durableId="730857492">
    <w:abstractNumId w:val="13"/>
  </w:num>
  <w:num w:numId="40" w16cid:durableId="223416241">
    <w:abstractNumId w:val="17"/>
  </w:num>
  <w:num w:numId="41" w16cid:durableId="859775984">
    <w:abstractNumId w:val="34"/>
  </w:num>
  <w:num w:numId="42" w16cid:durableId="2111663521">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307"/>
    <w:rsid w:val="00003902"/>
    <w:rsid w:val="00004DE0"/>
    <w:rsid w:val="00006CAC"/>
    <w:rsid w:val="000155D0"/>
    <w:rsid w:val="0002205A"/>
    <w:rsid w:val="00022614"/>
    <w:rsid w:val="00030DF9"/>
    <w:rsid w:val="000322D7"/>
    <w:rsid w:val="00033C05"/>
    <w:rsid w:val="00036BEF"/>
    <w:rsid w:val="00040587"/>
    <w:rsid w:val="0004662C"/>
    <w:rsid w:val="00046D10"/>
    <w:rsid w:val="00047684"/>
    <w:rsid w:val="000521EF"/>
    <w:rsid w:val="000646A7"/>
    <w:rsid w:val="00072AA8"/>
    <w:rsid w:val="00083ECD"/>
    <w:rsid w:val="00084729"/>
    <w:rsid w:val="00096AD6"/>
    <w:rsid w:val="000A114F"/>
    <w:rsid w:val="000A21F8"/>
    <w:rsid w:val="000B040D"/>
    <w:rsid w:val="000B0970"/>
    <w:rsid w:val="000B1A28"/>
    <w:rsid w:val="000B38F3"/>
    <w:rsid w:val="000B430D"/>
    <w:rsid w:val="000B5DA2"/>
    <w:rsid w:val="000B5DDF"/>
    <w:rsid w:val="000C073D"/>
    <w:rsid w:val="000C33E2"/>
    <w:rsid w:val="000C4900"/>
    <w:rsid w:val="000D077E"/>
    <w:rsid w:val="000D2BE9"/>
    <w:rsid w:val="000D3914"/>
    <w:rsid w:val="000D3985"/>
    <w:rsid w:val="000E0AC6"/>
    <w:rsid w:val="000E3680"/>
    <w:rsid w:val="000E4469"/>
    <w:rsid w:val="000E69C5"/>
    <w:rsid w:val="000F0924"/>
    <w:rsid w:val="000F136F"/>
    <w:rsid w:val="000F3114"/>
    <w:rsid w:val="000F50EA"/>
    <w:rsid w:val="00102D08"/>
    <w:rsid w:val="00103C54"/>
    <w:rsid w:val="00106D43"/>
    <w:rsid w:val="001104C5"/>
    <w:rsid w:val="00115B0A"/>
    <w:rsid w:val="00117854"/>
    <w:rsid w:val="001257FA"/>
    <w:rsid w:val="001266D4"/>
    <w:rsid w:val="00126A25"/>
    <w:rsid w:val="00133BB7"/>
    <w:rsid w:val="00137CDE"/>
    <w:rsid w:val="00140041"/>
    <w:rsid w:val="00144389"/>
    <w:rsid w:val="0014543A"/>
    <w:rsid w:val="00151AB1"/>
    <w:rsid w:val="0015317F"/>
    <w:rsid w:val="00156733"/>
    <w:rsid w:val="00156A74"/>
    <w:rsid w:val="00162F2A"/>
    <w:rsid w:val="00172BE6"/>
    <w:rsid w:val="0017348B"/>
    <w:rsid w:val="0017450E"/>
    <w:rsid w:val="00176ACC"/>
    <w:rsid w:val="00176FDB"/>
    <w:rsid w:val="00180378"/>
    <w:rsid w:val="00180FEE"/>
    <w:rsid w:val="00181CB7"/>
    <w:rsid w:val="001849A4"/>
    <w:rsid w:val="0018512A"/>
    <w:rsid w:val="00197747"/>
    <w:rsid w:val="00197EBB"/>
    <w:rsid w:val="001A1AC4"/>
    <w:rsid w:val="001A6446"/>
    <w:rsid w:val="001B0FD6"/>
    <w:rsid w:val="001B11A5"/>
    <w:rsid w:val="001B29B2"/>
    <w:rsid w:val="001B36CE"/>
    <w:rsid w:val="001C0878"/>
    <w:rsid w:val="001C26E6"/>
    <w:rsid w:val="001C3166"/>
    <w:rsid w:val="001C48BE"/>
    <w:rsid w:val="001C4AFA"/>
    <w:rsid w:val="001D11C1"/>
    <w:rsid w:val="001D4123"/>
    <w:rsid w:val="001D45FC"/>
    <w:rsid w:val="001D6536"/>
    <w:rsid w:val="001D67FA"/>
    <w:rsid w:val="001D77A6"/>
    <w:rsid w:val="001D7DED"/>
    <w:rsid w:val="001E22FA"/>
    <w:rsid w:val="001E61F2"/>
    <w:rsid w:val="001E6940"/>
    <w:rsid w:val="001E7227"/>
    <w:rsid w:val="001F4DEE"/>
    <w:rsid w:val="0021033F"/>
    <w:rsid w:val="002130F3"/>
    <w:rsid w:val="00217ACF"/>
    <w:rsid w:val="00223E2C"/>
    <w:rsid w:val="00225C23"/>
    <w:rsid w:val="00230D27"/>
    <w:rsid w:val="0023211E"/>
    <w:rsid w:val="00232808"/>
    <w:rsid w:val="002333CC"/>
    <w:rsid w:val="00233F4B"/>
    <w:rsid w:val="002434CA"/>
    <w:rsid w:val="00243F5E"/>
    <w:rsid w:val="00244CA2"/>
    <w:rsid w:val="00246CF3"/>
    <w:rsid w:val="00254E55"/>
    <w:rsid w:val="0026361C"/>
    <w:rsid w:val="0026377F"/>
    <w:rsid w:val="0026743E"/>
    <w:rsid w:val="00270C10"/>
    <w:rsid w:val="00272EBA"/>
    <w:rsid w:val="00275DA5"/>
    <w:rsid w:val="00285B3C"/>
    <w:rsid w:val="002872BD"/>
    <w:rsid w:val="00287AFE"/>
    <w:rsid w:val="002A2854"/>
    <w:rsid w:val="002A2F8D"/>
    <w:rsid w:val="002B26D4"/>
    <w:rsid w:val="002B79E2"/>
    <w:rsid w:val="002C1315"/>
    <w:rsid w:val="002C2ABD"/>
    <w:rsid w:val="002C2D59"/>
    <w:rsid w:val="002C6409"/>
    <w:rsid w:val="002D07F2"/>
    <w:rsid w:val="002D48A1"/>
    <w:rsid w:val="002D7435"/>
    <w:rsid w:val="002E1BA1"/>
    <w:rsid w:val="002E2639"/>
    <w:rsid w:val="002E3571"/>
    <w:rsid w:val="002E64A5"/>
    <w:rsid w:val="002F021D"/>
    <w:rsid w:val="00302DEA"/>
    <w:rsid w:val="00304C2B"/>
    <w:rsid w:val="00310C46"/>
    <w:rsid w:val="00311B34"/>
    <w:rsid w:val="00312C7B"/>
    <w:rsid w:val="0031731A"/>
    <w:rsid w:val="0031761F"/>
    <w:rsid w:val="00322C1B"/>
    <w:rsid w:val="003237B2"/>
    <w:rsid w:val="00324A3C"/>
    <w:rsid w:val="00331F98"/>
    <w:rsid w:val="0033452C"/>
    <w:rsid w:val="00334B6D"/>
    <w:rsid w:val="0034263B"/>
    <w:rsid w:val="0034652A"/>
    <w:rsid w:val="00346C86"/>
    <w:rsid w:val="00347CE7"/>
    <w:rsid w:val="003536AD"/>
    <w:rsid w:val="00354883"/>
    <w:rsid w:val="00356DBC"/>
    <w:rsid w:val="00357E15"/>
    <w:rsid w:val="003600A5"/>
    <w:rsid w:val="003613D8"/>
    <w:rsid w:val="003776D8"/>
    <w:rsid w:val="00381149"/>
    <w:rsid w:val="00383365"/>
    <w:rsid w:val="00383885"/>
    <w:rsid w:val="0038488F"/>
    <w:rsid w:val="003849AC"/>
    <w:rsid w:val="00384DF1"/>
    <w:rsid w:val="00387525"/>
    <w:rsid w:val="003904E3"/>
    <w:rsid w:val="00391993"/>
    <w:rsid w:val="00393E58"/>
    <w:rsid w:val="003A0886"/>
    <w:rsid w:val="003A6815"/>
    <w:rsid w:val="003B2E32"/>
    <w:rsid w:val="003B2F92"/>
    <w:rsid w:val="003C232C"/>
    <w:rsid w:val="003C2579"/>
    <w:rsid w:val="003C4676"/>
    <w:rsid w:val="003C76ED"/>
    <w:rsid w:val="003C78EA"/>
    <w:rsid w:val="003D2FD5"/>
    <w:rsid w:val="003E1A79"/>
    <w:rsid w:val="003E37AD"/>
    <w:rsid w:val="003E3AEC"/>
    <w:rsid w:val="003F5926"/>
    <w:rsid w:val="00403835"/>
    <w:rsid w:val="00403E7A"/>
    <w:rsid w:val="00407820"/>
    <w:rsid w:val="00407AB2"/>
    <w:rsid w:val="00410597"/>
    <w:rsid w:val="00413F81"/>
    <w:rsid w:val="004143A6"/>
    <w:rsid w:val="004155E0"/>
    <w:rsid w:val="00424B12"/>
    <w:rsid w:val="00425412"/>
    <w:rsid w:val="004325AB"/>
    <w:rsid w:val="00433A57"/>
    <w:rsid w:val="004378D1"/>
    <w:rsid w:val="00437DC4"/>
    <w:rsid w:val="00437F3F"/>
    <w:rsid w:val="004430A3"/>
    <w:rsid w:val="0044428C"/>
    <w:rsid w:val="0045492B"/>
    <w:rsid w:val="0046058D"/>
    <w:rsid w:val="0046101A"/>
    <w:rsid w:val="00461B50"/>
    <w:rsid w:val="004624B1"/>
    <w:rsid w:val="004674A9"/>
    <w:rsid w:val="00470267"/>
    <w:rsid w:val="00474BD4"/>
    <w:rsid w:val="00474CF8"/>
    <w:rsid w:val="004810BD"/>
    <w:rsid w:val="0048463F"/>
    <w:rsid w:val="004916B8"/>
    <w:rsid w:val="0049179A"/>
    <w:rsid w:val="00492A5A"/>
    <w:rsid w:val="00493585"/>
    <w:rsid w:val="0049577A"/>
    <w:rsid w:val="00495B55"/>
    <w:rsid w:val="004A1981"/>
    <w:rsid w:val="004A2DFB"/>
    <w:rsid w:val="004A66C3"/>
    <w:rsid w:val="004B1F9C"/>
    <w:rsid w:val="004B38FC"/>
    <w:rsid w:val="004B65E8"/>
    <w:rsid w:val="004B6713"/>
    <w:rsid w:val="004B6718"/>
    <w:rsid w:val="004B7249"/>
    <w:rsid w:val="004C2587"/>
    <w:rsid w:val="004D27EF"/>
    <w:rsid w:val="004D638B"/>
    <w:rsid w:val="004D6861"/>
    <w:rsid w:val="004D75FF"/>
    <w:rsid w:val="004F073A"/>
    <w:rsid w:val="004F1E24"/>
    <w:rsid w:val="004F44A2"/>
    <w:rsid w:val="004F48BF"/>
    <w:rsid w:val="004F786D"/>
    <w:rsid w:val="004F7AC4"/>
    <w:rsid w:val="00510F51"/>
    <w:rsid w:val="00512874"/>
    <w:rsid w:val="005147E1"/>
    <w:rsid w:val="00517CFD"/>
    <w:rsid w:val="00520A4E"/>
    <w:rsid w:val="00520D90"/>
    <w:rsid w:val="00523228"/>
    <w:rsid w:val="0052548F"/>
    <w:rsid w:val="00526F1D"/>
    <w:rsid w:val="00531235"/>
    <w:rsid w:val="00534064"/>
    <w:rsid w:val="0053620F"/>
    <w:rsid w:val="00537200"/>
    <w:rsid w:val="0054104F"/>
    <w:rsid w:val="00541CAF"/>
    <w:rsid w:val="00545E94"/>
    <w:rsid w:val="005462C2"/>
    <w:rsid w:val="0054729F"/>
    <w:rsid w:val="00552A5A"/>
    <w:rsid w:val="005555A5"/>
    <w:rsid w:val="00555CA1"/>
    <w:rsid w:val="00557966"/>
    <w:rsid w:val="005601A3"/>
    <w:rsid w:val="00563247"/>
    <w:rsid w:val="00564EEA"/>
    <w:rsid w:val="00565C37"/>
    <w:rsid w:val="00567787"/>
    <w:rsid w:val="00576515"/>
    <w:rsid w:val="0057678B"/>
    <w:rsid w:val="00586866"/>
    <w:rsid w:val="0058699C"/>
    <w:rsid w:val="00594AAE"/>
    <w:rsid w:val="0059744E"/>
    <w:rsid w:val="005A2475"/>
    <w:rsid w:val="005A2D30"/>
    <w:rsid w:val="005B6CFF"/>
    <w:rsid w:val="005B76CF"/>
    <w:rsid w:val="005C6649"/>
    <w:rsid w:val="005C6C5E"/>
    <w:rsid w:val="005C7C01"/>
    <w:rsid w:val="005C7CAA"/>
    <w:rsid w:val="005D0588"/>
    <w:rsid w:val="005D1163"/>
    <w:rsid w:val="005D7F49"/>
    <w:rsid w:val="005E41B5"/>
    <w:rsid w:val="005F0D9B"/>
    <w:rsid w:val="005F534F"/>
    <w:rsid w:val="005F5D56"/>
    <w:rsid w:val="005F667E"/>
    <w:rsid w:val="005F6B53"/>
    <w:rsid w:val="005F6C01"/>
    <w:rsid w:val="005F76EE"/>
    <w:rsid w:val="006078B6"/>
    <w:rsid w:val="00622EE2"/>
    <w:rsid w:val="00624EED"/>
    <w:rsid w:val="0062507D"/>
    <w:rsid w:val="00627F63"/>
    <w:rsid w:val="0063304E"/>
    <w:rsid w:val="00637DF8"/>
    <w:rsid w:val="00640A7B"/>
    <w:rsid w:val="006420D7"/>
    <w:rsid w:val="00643839"/>
    <w:rsid w:val="0064462D"/>
    <w:rsid w:val="006472D8"/>
    <w:rsid w:val="006528B7"/>
    <w:rsid w:val="006539A5"/>
    <w:rsid w:val="00654DD3"/>
    <w:rsid w:val="00670F82"/>
    <w:rsid w:val="00675C1D"/>
    <w:rsid w:val="0067635F"/>
    <w:rsid w:val="00680267"/>
    <w:rsid w:val="00680705"/>
    <w:rsid w:val="00680721"/>
    <w:rsid w:val="00680B02"/>
    <w:rsid w:val="00681FAB"/>
    <w:rsid w:val="00682BF6"/>
    <w:rsid w:val="00683005"/>
    <w:rsid w:val="00683E44"/>
    <w:rsid w:val="00685965"/>
    <w:rsid w:val="006869E2"/>
    <w:rsid w:val="00690670"/>
    <w:rsid w:val="006912F8"/>
    <w:rsid w:val="00693DA0"/>
    <w:rsid w:val="00697A69"/>
    <w:rsid w:val="006A01EE"/>
    <w:rsid w:val="006A1F31"/>
    <w:rsid w:val="006A280D"/>
    <w:rsid w:val="006A36DB"/>
    <w:rsid w:val="006A5C0C"/>
    <w:rsid w:val="006A626E"/>
    <w:rsid w:val="006C5615"/>
    <w:rsid w:val="006D25B2"/>
    <w:rsid w:val="006D6156"/>
    <w:rsid w:val="006E7260"/>
    <w:rsid w:val="006F2474"/>
    <w:rsid w:val="006F5720"/>
    <w:rsid w:val="00701279"/>
    <w:rsid w:val="007025A8"/>
    <w:rsid w:val="0071125B"/>
    <w:rsid w:val="00714639"/>
    <w:rsid w:val="007154D4"/>
    <w:rsid w:val="00721202"/>
    <w:rsid w:val="00722607"/>
    <w:rsid w:val="007266E8"/>
    <w:rsid w:val="0072701F"/>
    <w:rsid w:val="00727E9D"/>
    <w:rsid w:val="00727F17"/>
    <w:rsid w:val="00730253"/>
    <w:rsid w:val="00731209"/>
    <w:rsid w:val="00732ED1"/>
    <w:rsid w:val="00740F46"/>
    <w:rsid w:val="00741A0C"/>
    <w:rsid w:val="007469FC"/>
    <w:rsid w:val="0076113C"/>
    <w:rsid w:val="00761253"/>
    <w:rsid w:val="007614BB"/>
    <w:rsid w:val="00762251"/>
    <w:rsid w:val="00764802"/>
    <w:rsid w:val="0077203B"/>
    <w:rsid w:val="007769B7"/>
    <w:rsid w:val="0077790F"/>
    <w:rsid w:val="007837C9"/>
    <w:rsid w:val="00783DB3"/>
    <w:rsid w:val="0078631E"/>
    <w:rsid w:val="00790467"/>
    <w:rsid w:val="0079078A"/>
    <w:rsid w:val="00790BD8"/>
    <w:rsid w:val="00793DFC"/>
    <w:rsid w:val="0079400C"/>
    <w:rsid w:val="00796477"/>
    <w:rsid w:val="00796A6C"/>
    <w:rsid w:val="007A00F4"/>
    <w:rsid w:val="007A7CDA"/>
    <w:rsid w:val="007B3513"/>
    <w:rsid w:val="007B4E54"/>
    <w:rsid w:val="007B61D2"/>
    <w:rsid w:val="007B6AF7"/>
    <w:rsid w:val="007B7165"/>
    <w:rsid w:val="007C3990"/>
    <w:rsid w:val="007C6FCC"/>
    <w:rsid w:val="007D0B9C"/>
    <w:rsid w:val="007D2B94"/>
    <w:rsid w:val="007D63DA"/>
    <w:rsid w:val="007E0DD6"/>
    <w:rsid w:val="007E2756"/>
    <w:rsid w:val="007E46B6"/>
    <w:rsid w:val="007E574F"/>
    <w:rsid w:val="007E6E82"/>
    <w:rsid w:val="007F03F4"/>
    <w:rsid w:val="007F11C0"/>
    <w:rsid w:val="007F175E"/>
    <w:rsid w:val="007F18C0"/>
    <w:rsid w:val="007F2606"/>
    <w:rsid w:val="007F47C2"/>
    <w:rsid w:val="007F6156"/>
    <w:rsid w:val="00806669"/>
    <w:rsid w:val="00807116"/>
    <w:rsid w:val="00817D31"/>
    <w:rsid w:val="00817DAF"/>
    <w:rsid w:val="00821C54"/>
    <w:rsid w:val="008221D1"/>
    <w:rsid w:val="0082387F"/>
    <w:rsid w:val="00826283"/>
    <w:rsid w:val="00827A78"/>
    <w:rsid w:val="008316C5"/>
    <w:rsid w:val="00831E44"/>
    <w:rsid w:val="008422A6"/>
    <w:rsid w:val="00844777"/>
    <w:rsid w:val="00845AEF"/>
    <w:rsid w:val="00845B8A"/>
    <w:rsid w:val="00847803"/>
    <w:rsid w:val="0085198A"/>
    <w:rsid w:val="00872269"/>
    <w:rsid w:val="00872B11"/>
    <w:rsid w:val="00875A58"/>
    <w:rsid w:val="008851EB"/>
    <w:rsid w:val="00887553"/>
    <w:rsid w:val="00890AFE"/>
    <w:rsid w:val="00890B1A"/>
    <w:rsid w:val="00892E0F"/>
    <w:rsid w:val="00894E47"/>
    <w:rsid w:val="00895DAC"/>
    <w:rsid w:val="0089608A"/>
    <w:rsid w:val="008A07DE"/>
    <w:rsid w:val="008A18B3"/>
    <w:rsid w:val="008A2AC8"/>
    <w:rsid w:val="008A3084"/>
    <w:rsid w:val="008A32F6"/>
    <w:rsid w:val="008A4A73"/>
    <w:rsid w:val="008A6C08"/>
    <w:rsid w:val="008B0599"/>
    <w:rsid w:val="008B0BB8"/>
    <w:rsid w:val="008B0D5A"/>
    <w:rsid w:val="008B14C5"/>
    <w:rsid w:val="008B4893"/>
    <w:rsid w:val="008B50F8"/>
    <w:rsid w:val="008C05F7"/>
    <w:rsid w:val="008C0D29"/>
    <w:rsid w:val="008C2176"/>
    <w:rsid w:val="008C218D"/>
    <w:rsid w:val="008C5DC7"/>
    <w:rsid w:val="008C5F7F"/>
    <w:rsid w:val="008D0B9D"/>
    <w:rsid w:val="008D3D49"/>
    <w:rsid w:val="008D46A6"/>
    <w:rsid w:val="008E3E5E"/>
    <w:rsid w:val="008E4103"/>
    <w:rsid w:val="008E56A5"/>
    <w:rsid w:val="008E68F2"/>
    <w:rsid w:val="00903E59"/>
    <w:rsid w:val="0091592E"/>
    <w:rsid w:val="00920868"/>
    <w:rsid w:val="009217C8"/>
    <w:rsid w:val="0092596E"/>
    <w:rsid w:val="00930881"/>
    <w:rsid w:val="00932184"/>
    <w:rsid w:val="00942680"/>
    <w:rsid w:val="00946D94"/>
    <w:rsid w:val="009474D3"/>
    <w:rsid w:val="00947D8F"/>
    <w:rsid w:val="00955C32"/>
    <w:rsid w:val="00963414"/>
    <w:rsid w:val="00971450"/>
    <w:rsid w:val="00972831"/>
    <w:rsid w:val="00977F1D"/>
    <w:rsid w:val="00985C3E"/>
    <w:rsid w:val="00990974"/>
    <w:rsid w:val="00992857"/>
    <w:rsid w:val="009A3A9B"/>
    <w:rsid w:val="009A668D"/>
    <w:rsid w:val="009B6F4C"/>
    <w:rsid w:val="009C1A62"/>
    <w:rsid w:val="009C447D"/>
    <w:rsid w:val="009C5A6B"/>
    <w:rsid w:val="009C5B71"/>
    <w:rsid w:val="009C7BC7"/>
    <w:rsid w:val="009D2B3B"/>
    <w:rsid w:val="009D40A6"/>
    <w:rsid w:val="009D72AE"/>
    <w:rsid w:val="009E18EE"/>
    <w:rsid w:val="009F21D9"/>
    <w:rsid w:val="009F4A52"/>
    <w:rsid w:val="009F4CC5"/>
    <w:rsid w:val="00A0206F"/>
    <w:rsid w:val="00A02658"/>
    <w:rsid w:val="00A027C6"/>
    <w:rsid w:val="00A038F9"/>
    <w:rsid w:val="00A05A5C"/>
    <w:rsid w:val="00A10AD0"/>
    <w:rsid w:val="00A10C3A"/>
    <w:rsid w:val="00A15004"/>
    <w:rsid w:val="00A15A7E"/>
    <w:rsid w:val="00A16D96"/>
    <w:rsid w:val="00A178BD"/>
    <w:rsid w:val="00A2095C"/>
    <w:rsid w:val="00A22575"/>
    <w:rsid w:val="00A27B97"/>
    <w:rsid w:val="00A327BB"/>
    <w:rsid w:val="00A3488B"/>
    <w:rsid w:val="00A3529D"/>
    <w:rsid w:val="00A404D0"/>
    <w:rsid w:val="00A43514"/>
    <w:rsid w:val="00A442B1"/>
    <w:rsid w:val="00A512FA"/>
    <w:rsid w:val="00A51E17"/>
    <w:rsid w:val="00A53B05"/>
    <w:rsid w:val="00A650AA"/>
    <w:rsid w:val="00A654BD"/>
    <w:rsid w:val="00A67CB5"/>
    <w:rsid w:val="00A70342"/>
    <w:rsid w:val="00A753A5"/>
    <w:rsid w:val="00A753BF"/>
    <w:rsid w:val="00A75D08"/>
    <w:rsid w:val="00A807CA"/>
    <w:rsid w:val="00A80890"/>
    <w:rsid w:val="00A85985"/>
    <w:rsid w:val="00A87028"/>
    <w:rsid w:val="00A8766A"/>
    <w:rsid w:val="00A87929"/>
    <w:rsid w:val="00A87D42"/>
    <w:rsid w:val="00A93C0F"/>
    <w:rsid w:val="00AA1CF7"/>
    <w:rsid w:val="00AA20A9"/>
    <w:rsid w:val="00AA3202"/>
    <w:rsid w:val="00AA3D05"/>
    <w:rsid w:val="00AA3F2B"/>
    <w:rsid w:val="00AA523E"/>
    <w:rsid w:val="00AA586C"/>
    <w:rsid w:val="00AA6D0C"/>
    <w:rsid w:val="00AB0051"/>
    <w:rsid w:val="00AB5352"/>
    <w:rsid w:val="00AB63CD"/>
    <w:rsid w:val="00AB7A42"/>
    <w:rsid w:val="00AC0307"/>
    <w:rsid w:val="00AC0970"/>
    <w:rsid w:val="00AC3F75"/>
    <w:rsid w:val="00AC6EDD"/>
    <w:rsid w:val="00AC7BC6"/>
    <w:rsid w:val="00AD2D86"/>
    <w:rsid w:val="00AD385E"/>
    <w:rsid w:val="00AD7BEF"/>
    <w:rsid w:val="00AF04A5"/>
    <w:rsid w:val="00AF1459"/>
    <w:rsid w:val="00AF3D8B"/>
    <w:rsid w:val="00AF4446"/>
    <w:rsid w:val="00B0223A"/>
    <w:rsid w:val="00B03C92"/>
    <w:rsid w:val="00B05AAC"/>
    <w:rsid w:val="00B2283A"/>
    <w:rsid w:val="00B23639"/>
    <w:rsid w:val="00B26C33"/>
    <w:rsid w:val="00B40E14"/>
    <w:rsid w:val="00B42325"/>
    <w:rsid w:val="00B42A80"/>
    <w:rsid w:val="00B457DE"/>
    <w:rsid w:val="00B45898"/>
    <w:rsid w:val="00B511D0"/>
    <w:rsid w:val="00B52731"/>
    <w:rsid w:val="00B56AAF"/>
    <w:rsid w:val="00B67B12"/>
    <w:rsid w:val="00B7276C"/>
    <w:rsid w:val="00B73CB0"/>
    <w:rsid w:val="00B7539E"/>
    <w:rsid w:val="00B75AF6"/>
    <w:rsid w:val="00B81069"/>
    <w:rsid w:val="00B855F8"/>
    <w:rsid w:val="00B8654B"/>
    <w:rsid w:val="00B9389E"/>
    <w:rsid w:val="00B9416F"/>
    <w:rsid w:val="00BA7D60"/>
    <w:rsid w:val="00BB23E1"/>
    <w:rsid w:val="00BB4A30"/>
    <w:rsid w:val="00BB4A41"/>
    <w:rsid w:val="00BB536A"/>
    <w:rsid w:val="00BB6204"/>
    <w:rsid w:val="00BB6BD5"/>
    <w:rsid w:val="00BB6C06"/>
    <w:rsid w:val="00BB756C"/>
    <w:rsid w:val="00BB76F2"/>
    <w:rsid w:val="00BB78DD"/>
    <w:rsid w:val="00BC2A7D"/>
    <w:rsid w:val="00BC3A2E"/>
    <w:rsid w:val="00BC402E"/>
    <w:rsid w:val="00BD0562"/>
    <w:rsid w:val="00BD0601"/>
    <w:rsid w:val="00BD1089"/>
    <w:rsid w:val="00BD36FC"/>
    <w:rsid w:val="00BD4CB4"/>
    <w:rsid w:val="00BD50A4"/>
    <w:rsid w:val="00BD51D0"/>
    <w:rsid w:val="00BE0B72"/>
    <w:rsid w:val="00BE1EF1"/>
    <w:rsid w:val="00BE4481"/>
    <w:rsid w:val="00BE591C"/>
    <w:rsid w:val="00BE6E3C"/>
    <w:rsid w:val="00BE72F9"/>
    <w:rsid w:val="00BF40AE"/>
    <w:rsid w:val="00BF46B7"/>
    <w:rsid w:val="00BF5F71"/>
    <w:rsid w:val="00BF6B8E"/>
    <w:rsid w:val="00BF7440"/>
    <w:rsid w:val="00BF7ADA"/>
    <w:rsid w:val="00C019D9"/>
    <w:rsid w:val="00C03181"/>
    <w:rsid w:val="00C032DF"/>
    <w:rsid w:val="00C03579"/>
    <w:rsid w:val="00C048E9"/>
    <w:rsid w:val="00C06F90"/>
    <w:rsid w:val="00C130AA"/>
    <w:rsid w:val="00C22DE1"/>
    <w:rsid w:val="00C23F7E"/>
    <w:rsid w:val="00C25315"/>
    <w:rsid w:val="00C26A99"/>
    <w:rsid w:val="00C347FF"/>
    <w:rsid w:val="00C3514A"/>
    <w:rsid w:val="00C40732"/>
    <w:rsid w:val="00C41B89"/>
    <w:rsid w:val="00C41DF8"/>
    <w:rsid w:val="00C44F5E"/>
    <w:rsid w:val="00C46653"/>
    <w:rsid w:val="00C53AA5"/>
    <w:rsid w:val="00C55B87"/>
    <w:rsid w:val="00C627CC"/>
    <w:rsid w:val="00C73315"/>
    <w:rsid w:val="00C74F7C"/>
    <w:rsid w:val="00C76995"/>
    <w:rsid w:val="00C84E96"/>
    <w:rsid w:val="00C93EB9"/>
    <w:rsid w:val="00C958FF"/>
    <w:rsid w:val="00CA0CE4"/>
    <w:rsid w:val="00CA23CC"/>
    <w:rsid w:val="00CA2FB8"/>
    <w:rsid w:val="00CA64BA"/>
    <w:rsid w:val="00CA765E"/>
    <w:rsid w:val="00CD0804"/>
    <w:rsid w:val="00CD0B13"/>
    <w:rsid w:val="00CD0F47"/>
    <w:rsid w:val="00CD7B69"/>
    <w:rsid w:val="00CE3E9D"/>
    <w:rsid w:val="00CF4352"/>
    <w:rsid w:val="00D02646"/>
    <w:rsid w:val="00D02ED7"/>
    <w:rsid w:val="00D0746E"/>
    <w:rsid w:val="00D1123F"/>
    <w:rsid w:val="00D120DA"/>
    <w:rsid w:val="00D17C28"/>
    <w:rsid w:val="00D20A08"/>
    <w:rsid w:val="00D21576"/>
    <w:rsid w:val="00D23A1C"/>
    <w:rsid w:val="00D30725"/>
    <w:rsid w:val="00D3383C"/>
    <w:rsid w:val="00D33D0B"/>
    <w:rsid w:val="00D42101"/>
    <w:rsid w:val="00D43339"/>
    <w:rsid w:val="00D46E16"/>
    <w:rsid w:val="00D47B34"/>
    <w:rsid w:val="00D51C6B"/>
    <w:rsid w:val="00D51DCB"/>
    <w:rsid w:val="00D5282B"/>
    <w:rsid w:val="00D578FE"/>
    <w:rsid w:val="00D65C66"/>
    <w:rsid w:val="00D679BD"/>
    <w:rsid w:val="00D866FE"/>
    <w:rsid w:val="00D87BE8"/>
    <w:rsid w:val="00D9228E"/>
    <w:rsid w:val="00D943B6"/>
    <w:rsid w:val="00D969C2"/>
    <w:rsid w:val="00DA0ED0"/>
    <w:rsid w:val="00DA14C8"/>
    <w:rsid w:val="00DA26A0"/>
    <w:rsid w:val="00DA37ED"/>
    <w:rsid w:val="00DA4B94"/>
    <w:rsid w:val="00DA5040"/>
    <w:rsid w:val="00DB6C27"/>
    <w:rsid w:val="00DB77F0"/>
    <w:rsid w:val="00DC0E10"/>
    <w:rsid w:val="00DC14A6"/>
    <w:rsid w:val="00DC2462"/>
    <w:rsid w:val="00DC76CD"/>
    <w:rsid w:val="00DD1D09"/>
    <w:rsid w:val="00DD44E3"/>
    <w:rsid w:val="00DD6019"/>
    <w:rsid w:val="00DD6279"/>
    <w:rsid w:val="00DE09A1"/>
    <w:rsid w:val="00DE6947"/>
    <w:rsid w:val="00DF11EB"/>
    <w:rsid w:val="00DF49DA"/>
    <w:rsid w:val="00E0227F"/>
    <w:rsid w:val="00E0270F"/>
    <w:rsid w:val="00E05B01"/>
    <w:rsid w:val="00E06261"/>
    <w:rsid w:val="00E078B9"/>
    <w:rsid w:val="00E11BB1"/>
    <w:rsid w:val="00E11C21"/>
    <w:rsid w:val="00E14674"/>
    <w:rsid w:val="00E16D29"/>
    <w:rsid w:val="00E21BF6"/>
    <w:rsid w:val="00E27D84"/>
    <w:rsid w:val="00E41615"/>
    <w:rsid w:val="00E46100"/>
    <w:rsid w:val="00E55AC6"/>
    <w:rsid w:val="00E6127B"/>
    <w:rsid w:val="00E64D9B"/>
    <w:rsid w:val="00E65DE4"/>
    <w:rsid w:val="00E71C5C"/>
    <w:rsid w:val="00E812B6"/>
    <w:rsid w:val="00E844AB"/>
    <w:rsid w:val="00E85FB0"/>
    <w:rsid w:val="00E906BB"/>
    <w:rsid w:val="00E91061"/>
    <w:rsid w:val="00E912D4"/>
    <w:rsid w:val="00E91784"/>
    <w:rsid w:val="00E933A1"/>
    <w:rsid w:val="00E95545"/>
    <w:rsid w:val="00E95B59"/>
    <w:rsid w:val="00EA07D1"/>
    <w:rsid w:val="00EA2870"/>
    <w:rsid w:val="00EA368C"/>
    <w:rsid w:val="00EA434B"/>
    <w:rsid w:val="00EA53D2"/>
    <w:rsid w:val="00EA7F96"/>
    <w:rsid w:val="00EB0BE5"/>
    <w:rsid w:val="00EB0FFC"/>
    <w:rsid w:val="00EB409C"/>
    <w:rsid w:val="00EB5618"/>
    <w:rsid w:val="00EB6817"/>
    <w:rsid w:val="00EB6A01"/>
    <w:rsid w:val="00EC012C"/>
    <w:rsid w:val="00EC19CB"/>
    <w:rsid w:val="00EC2AD0"/>
    <w:rsid w:val="00ED23A3"/>
    <w:rsid w:val="00ED5598"/>
    <w:rsid w:val="00ED5694"/>
    <w:rsid w:val="00ED757D"/>
    <w:rsid w:val="00ED79C8"/>
    <w:rsid w:val="00EE0B79"/>
    <w:rsid w:val="00EE10DB"/>
    <w:rsid w:val="00EE33E1"/>
    <w:rsid w:val="00EF17B1"/>
    <w:rsid w:val="00F065CB"/>
    <w:rsid w:val="00F1409D"/>
    <w:rsid w:val="00F14B6C"/>
    <w:rsid w:val="00F17E61"/>
    <w:rsid w:val="00F27D4B"/>
    <w:rsid w:val="00F34E35"/>
    <w:rsid w:val="00F370E2"/>
    <w:rsid w:val="00F413CB"/>
    <w:rsid w:val="00F4358B"/>
    <w:rsid w:val="00F44D83"/>
    <w:rsid w:val="00F466A9"/>
    <w:rsid w:val="00F477D8"/>
    <w:rsid w:val="00F47BE3"/>
    <w:rsid w:val="00F50558"/>
    <w:rsid w:val="00F50F37"/>
    <w:rsid w:val="00F52F95"/>
    <w:rsid w:val="00F53EAF"/>
    <w:rsid w:val="00F5556E"/>
    <w:rsid w:val="00F5602E"/>
    <w:rsid w:val="00F56603"/>
    <w:rsid w:val="00F57F1D"/>
    <w:rsid w:val="00F73EA2"/>
    <w:rsid w:val="00F74E57"/>
    <w:rsid w:val="00F831E3"/>
    <w:rsid w:val="00F833BA"/>
    <w:rsid w:val="00F83450"/>
    <w:rsid w:val="00F83505"/>
    <w:rsid w:val="00F93286"/>
    <w:rsid w:val="00FA06BD"/>
    <w:rsid w:val="00FA3C84"/>
    <w:rsid w:val="00FA4CC2"/>
    <w:rsid w:val="00FA66E8"/>
    <w:rsid w:val="00FB146F"/>
    <w:rsid w:val="00FB7886"/>
    <w:rsid w:val="00FC0390"/>
    <w:rsid w:val="00FC0DAE"/>
    <w:rsid w:val="00FC1440"/>
    <w:rsid w:val="00FD0CBC"/>
    <w:rsid w:val="00FD7B2B"/>
    <w:rsid w:val="00FD7B97"/>
    <w:rsid w:val="00FE2739"/>
    <w:rsid w:val="00FE2D92"/>
    <w:rsid w:val="00FF0A26"/>
    <w:rsid w:val="00FF53ED"/>
    <w:rsid w:val="00FF6D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43148"/>
  <w15:docId w15:val="{A9CCF86A-0B8B-4618-AEC2-2DA47373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iPriority="4" w:unhideWhenUsed="1" w:qFormat="1"/>
    <w:lsdException w:name="heading 7" w:locked="1" w:semiHidden="1" w:uiPriority="4" w:unhideWhenUsed="1" w:qFormat="1"/>
    <w:lsdException w:name="heading 8" w:locked="1" w:semiHidden="1" w:uiPriority="4" w:unhideWhenUsed="1" w:qFormat="1"/>
    <w:lsdException w:name="heading 9" w:locked="1"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jc w:val="both"/>
    </w:pPr>
    <w:rPr>
      <w:rFonts w:eastAsia="Times New Roman"/>
      <w:sz w:val="22"/>
      <w:szCs w:val="22"/>
      <w:lang w:eastAsia="en-US"/>
    </w:rPr>
  </w:style>
  <w:style w:type="paragraph" w:styleId="Heading1">
    <w:name w:val="heading 1"/>
    <w:basedOn w:val="Normal"/>
    <w:next w:val="Normal"/>
    <w:link w:val="Heading1Char"/>
    <w:qFormat/>
    <w:pPr>
      <w:keepNext/>
      <w:keepLines/>
      <w:pageBreakBefore/>
      <w:spacing w:before="240"/>
      <w:outlineLvl w:val="0"/>
    </w:pPr>
    <w:rPr>
      <w:rFonts w:eastAsia="Calibri"/>
      <w:b/>
      <w:bCs/>
      <w:sz w:val="28"/>
      <w:szCs w:val="28"/>
    </w:rPr>
  </w:style>
  <w:style w:type="paragraph" w:styleId="Heading2">
    <w:name w:val="heading 2"/>
    <w:link w:val="Heading2Char"/>
    <w:autoRedefine/>
    <w:qFormat/>
    <w:rsid w:val="00E41615"/>
    <w:pPr>
      <w:keepNext/>
      <w:keepLines/>
      <w:numPr>
        <w:numId w:val="4"/>
      </w:numPr>
      <w:spacing w:before="200"/>
      <w:ind w:left="567" w:hanging="567"/>
      <w:outlineLvl w:val="1"/>
    </w:pPr>
    <w:rPr>
      <w:b/>
      <w:bCs/>
      <w:sz w:val="32"/>
      <w:szCs w:val="32"/>
      <w:lang w:eastAsia="en-US"/>
    </w:rPr>
  </w:style>
  <w:style w:type="paragraph" w:styleId="Heading3">
    <w:name w:val="heading 3"/>
    <w:basedOn w:val="Normal"/>
    <w:next w:val="Normal"/>
    <w:link w:val="Heading3Char"/>
    <w:qFormat/>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locked/>
    <w:pPr>
      <w:tabs>
        <w:tab w:val="num" w:pos="737"/>
      </w:tabs>
      <w:spacing w:line="288" w:lineRule="auto"/>
      <w:ind w:left="737" w:hanging="737"/>
      <w:outlineLvl w:val="3"/>
    </w:pPr>
    <w:rPr>
      <w:rFonts w:ascii="Arial" w:hAnsi="Arial"/>
      <w:bCs/>
      <w:szCs w:val="28"/>
      <w:lang w:eastAsia="cs-CZ"/>
    </w:rPr>
  </w:style>
  <w:style w:type="paragraph" w:styleId="Heading6">
    <w:name w:val="heading 6"/>
    <w:basedOn w:val="Normal"/>
    <w:next w:val="Normal"/>
    <w:link w:val="Heading6Char"/>
    <w:uiPriority w:val="4"/>
    <w:qFormat/>
    <w:locked/>
    <w:rsid w:val="00990974"/>
    <w:pPr>
      <w:numPr>
        <w:ilvl w:val="5"/>
        <w:numId w:val="6"/>
      </w:numPr>
      <w:spacing w:before="240" w:after="60"/>
      <w:ind w:left="4968" w:hanging="708"/>
      <w:outlineLvl w:val="5"/>
    </w:pPr>
    <w:rPr>
      <w:rFonts w:ascii="Myriad Pro" w:hAnsi="Myriad Pro"/>
      <w:i/>
      <w:szCs w:val="20"/>
      <w:lang w:eastAsia="cs-CZ"/>
    </w:rPr>
  </w:style>
  <w:style w:type="paragraph" w:styleId="Heading7">
    <w:name w:val="heading 7"/>
    <w:basedOn w:val="Normal"/>
    <w:next w:val="Normal"/>
    <w:link w:val="Heading7Char"/>
    <w:uiPriority w:val="4"/>
    <w:qFormat/>
    <w:locked/>
    <w:rsid w:val="00990974"/>
    <w:pPr>
      <w:numPr>
        <w:ilvl w:val="6"/>
        <w:numId w:val="6"/>
      </w:numPr>
      <w:spacing w:before="240" w:after="60"/>
      <w:ind w:left="5676" w:hanging="708"/>
      <w:outlineLvl w:val="6"/>
    </w:pPr>
    <w:rPr>
      <w:rFonts w:ascii="Myriad Pro" w:hAnsi="Myriad Pro"/>
      <w:sz w:val="20"/>
      <w:szCs w:val="20"/>
      <w:lang w:eastAsia="cs-CZ"/>
    </w:rPr>
  </w:style>
  <w:style w:type="paragraph" w:styleId="Heading8">
    <w:name w:val="heading 8"/>
    <w:basedOn w:val="Normal"/>
    <w:next w:val="Normal"/>
    <w:link w:val="Heading8Char"/>
    <w:uiPriority w:val="4"/>
    <w:qFormat/>
    <w:locked/>
    <w:rsid w:val="00990974"/>
    <w:pPr>
      <w:numPr>
        <w:ilvl w:val="7"/>
        <w:numId w:val="6"/>
      </w:numPr>
      <w:spacing w:before="240" w:after="60"/>
      <w:ind w:left="6384" w:hanging="708"/>
      <w:outlineLvl w:val="7"/>
    </w:pPr>
    <w:rPr>
      <w:rFonts w:ascii="Myriad Pro" w:hAnsi="Myriad Pro"/>
      <w:i/>
      <w:sz w:val="20"/>
      <w:szCs w:val="20"/>
      <w:lang w:eastAsia="cs-CZ"/>
    </w:rPr>
  </w:style>
  <w:style w:type="paragraph" w:styleId="Heading9">
    <w:name w:val="heading 9"/>
    <w:basedOn w:val="Normal"/>
    <w:next w:val="Normal"/>
    <w:link w:val="Heading9Char"/>
    <w:uiPriority w:val="4"/>
    <w:qFormat/>
    <w:locked/>
    <w:rsid w:val="00990974"/>
    <w:pPr>
      <w:numPr>
        <w:ilvl w:val="8"/>
        <w:numId w:val="6"/>
      </w:numPr>
      <w:spacing w:before="240" w:after="60"/>
      <w:ind w:left="7092" w:hanging="708"/>
      <w:outlineLvl w:val="8"/>
    </w:pPr>
    <w:rPr>
      <w:rFonts w:ascii="Myriad Pro" w:hAnsi="Myriad Pro"/>
      <w:sz w:val="18"/>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OBody">
    <w:name w:val="EVO Body"/>
    <w:basedOn w:val="Normal"/>
    <w:link w:val="EVOBodyChar"/>
    <w:pPr>
      <w:tabs>
        <w:tab w:val="left" w:pos="720"/>
        <w:tab w:val="left" w:pos="1440"/>
        <w:tab w:val="left" w:pos="2160"/>
        <w:tab w:val="left" w:pos="2880"/>
        <w:tab w:val="left" w:pos="3600"/>
        <w:tab w:val="left" w:pos="4320"/>
        <w:tab w:val="left" w:pos="5040"/>
        <w:tab w:val="left" w:pos="5760"/>
        <w:tab w:val="left" w:pos="6480"/>
        <w:tab w:val="left" w:pos="10800"/>
      </w:tabs>
      <w:overflowPunct w:val="0"/>
      <w:autoSpaceDE w:val="0"/>
      <w:autoSpaceDN w:val="0"/>
      <w:adjustRightInd w:val="0"/>
      <w:spacing w:before="80" w:after="80"/>
      <w:jc w:val="left"/>
      <w:textAlignment w:val="baseline"/>
    </w:pPr>
    <w:rPr>
      <w:rFonts w:ascii="Arial" w:eastAsia="Calibri" w:hAnsi="Arial" w:cs="Arial"/>
      <w:noProof/>
      <w:color w:val="000000"/>
      <w:lang w:val="en-US"/>
    </w:rPr>
  </w:style>
  <w:style w:type="character" w:customStyle="1" w:styleId="EVOBodyChar">
    <w:name w:val="EVO Body Char"/>
    <w:basedOn w:val="DefaultParagraphFont"/>
    <w:link w:val="EVOBody"/>
    <w:locked/>
    <w:rPr>
      <w:rFonts w:ascii="Arial" w:hAnsi="Arial" w:cs="Arial"/>
      <w:noProof/>
      <w:color w:val="000000"/>
      <w:lang w:val="en-US"/>
    </w:rPr>
  </w:style>
  <w:style w:type="paragraph" w:customStyle="1" w:styleId="NumberText">
    <w:name w:val="Number Text"/>
    <w:basedOn w:val="Normal"/>
    <w:pPr>
      <w:numPr>
        <w:numId w:val="1"/>
      </w:numPr>
      <w:spacing w:before="0"/>
      <w:jc w:val="left"/>
    </w:pPr>
    <w:rPr>
      <w:rFonts w:ascii="Microsoft Sans Serif" w:eastAsia="Calibri" w:hAnsi="Microsoft Sans Serif"/>
      <w:sz w:val="24"/>
      <w:szCs w:val="24"/>
      <w:lang w:eastAsia="cs-CZ"/>
    </w:rPr>
  </w:style>
  <w:style w:type="paragraph" w:customStyle="1" w:styleId="Default">
    <w:name w:val="Default"/>
    <w:pPr>
      <w:autoSpaceDE w:val="0"/>
      <w:autoSpaceDN w:val="0"/>
      <w:adjustRightInd w:val="0"/>
    </w:pPr>
    <w:rPr>
      <w:rFonts w:cs="Calibri"/>
      <w:color w:val="000000"/>
      <w:sz w:val="24"/>
      <w:szCs w:val="24"/>
    </w:rPr>
  </w:style>
  <w:style w:type="paragraph" w:customStyle="1" w:styleId="ClientName">
    <w:name w:val="Client Name"/>
    <w:basedOn w:val="Heading2"/>
    <w:pPr>
      <w:keepLines w:val="0"/>
      <w:spacing w:before="0" w:after="120"/>
      <w:jc w:val="center"/>
    </w:pPr>
    <w:rPr>
      <w:rFonts w:ascii="Arial" w:eastAsia="MS Mincho" w:hAnsi="Arial" w:cs="Arial"/>
      <w:spacing w:val="10"/>
      <w:sz w:val="48"/>
      <w:szCs w:val="24"/>
    </w:rPr>
  </w:style>
  <w:style w:type="character" w:customStyle="1" w:styleId="Heading2Char">
    <w:name w:val="Heading 2 Char"/>
    <w:basedOn w:val="DefaultParagraphFont"/>
    <w:link w:val="Heading2"/>
    <w:locked/>
    <w:rsid w:val="00E41615"/>
    <w:rPr>
      <w:b/>
      <w:bCs/>
      <w:sz w:val="32"/>
      <w:szCs w:val="32"/>
      <w:lang w:eastAsia="en-US"/>
    </w:rPr>
  </w:style>
  <w:style w:type="paragraph" w:styleId="BalloonText">
    <w:name w:val="Balloon Text"/>
    <w:basedOn w:val="Normal"/>
    <w:link w:val="BalloonTextChar"/>
    <w:semiHidden/>
    <w:pPr>
      <w:spacing w:before="0"/>
    </w:pPr>
    <w:rPr>
      <w:rFonts w:ascii="Tahoma" w:hAnsi="Tahoma" w:cs="Tahoma"/>
      <w:sz w:val="16"/>
      <w:szCs w:val="16"/>
    </w:rPr>
  </w:style>
  <w:style w:type="character" w:customStyle="1" w:styleId="BalloonTextChar">
    <w:name w:val="Balloon Text Char"/>
    <w:basedOn w:val="DefaultParagraphFont"/>
    <w:link w:val="BalloonText"/>
    <w:semiHidden/>
    <w:locked/>
    <w:rPr>
      <w:rFonts w:ascii="Tahoma" w:hAnsi="Tahoma" w:cs="Tahoma"/>
      <w:sz w:val="16"/>
      <w:szCs w:val="16"/>
    </w:rPr>
  </w:style>
  <w:style w:type="paragraph" w:customStyle="1" w:styleId="Odstavecseseznamem1">
    <w:name w:val="Odstavec se seznamem1"/>
    <w:basedOn w:val="Normal"/>
    <w:pPr>
      <w:ind w:left="720"/>
      <w:contextualSpacing/>
    </w:pPr>
  </w:style>
  <w:style w:type="paragraph" w:styleId="Header">
    <w:name w:val="header"/>
    <w:basedOn w:val="Normal"/>
    <w:link w:val="HeaderChar"/>
    <w:uiPriority w:val="99"/>
    <w:pPr>
      <w:tabs>
        <w:tab w:val="center" w:pos="4536"/>
        <w:tab w:val="right" w:pos="9072"/>
      </w:tabs>
      <w:spacing w:before="0"/>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536"/>
        <w:tab w:val="right" w:pos="9072"/>
      </w:tabs>
      <w:spacing w:before="0"/>
    </w:pPr>
  </w:style>
  <w:style w:type="character" w:customStyle="1" w:styleId="FooterChar">
    <w:name w:val="Footer Char"/>
    <w:basedOn w:val="DefaultParagraphFont"/>
    <w:link w:val="Footer"/>
    <w:uiPriority w:val="99"/>
    <w:locked/>
    <w:rPr>
      <w:rFonts w:cs="Times New Roman"/>
    </w:rPr>
  </w:style>
  <w:style w:type="paragraph" w:styleId="NormalWeb">
    <w:name w:val="Normal (Web)"/>
    <w:basedOn w:val="Normal"/>
    <w:semiHidden/>
    <w:pPr>
      <w:spacing w:before="100" w:beforeAutospacing="1" w:after="100" w:afterAutospacing="1"/>
      <w:jc w:val="left"/>
    </w:pPr>
    <w:rPr>
      <w:rFonts w:ascii="Times New Roman" w:eastAsia="Calibri" w:hAnsi="Times New Roman"/>
      <w:sz w:val="24"/>
      <w:szCs w:val="24"/>
      <w:lang w:eastAsia="cs-CZ"/>
    </w:rPr>
  </w:style>
  <w:style w:type="character" w:customStyle="1" w:styleId="Heading1Char">
    <w:name w:val="Heading 1 Char"/>
    <w:basedOn w:val="DefaultParagraphFont"/>
    <w:link w:val="Heading1"/>
    <w:locked/>
    <w:rPr>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FootnoteTextChar"/>
    <w:semiHidden/>
    <w:pPr>
      <w:spacing w:before="0"/>
      <w:jc w:val="left"/>
    </w:pPr>
    <w:rPr>
      <w:rFonts w:ascii="Times New Roman" w:eastAsia="Calibri" w:hAnsi="Times New Roman"/>
      <w:sz w:val="20"/>
      <w:szCs w:val="20"/>
      <w:lang w:val="en-US"/>
    </w:rPr>
  </w:style>
  <w:style w:type="character" w:customStyle="1" w:styleId="FootnoteTextChar">
    <w:name w:val="Footnote Text Char"/>
    <w:basedOn w:val="DefaultParagraphFont"/>
    <w:link w:val="FootnoteText"/>
    <w:semiHidden/>
    <w:locked/>
    <w:rPr>
      <w:rFonts w:ascii="Times New Roman" w:hAnsi="Times New Roman" w:cs="Times New Roman"/>
      <w:sz w:val="20"/>
      <w:szCs w:val="20"/>
      <w:lang w:val="en-US"/>
    </w:rPr>
  </w:style>
  <w:style w:type="character" w:styleId="FootnoteReference">
    <w:name w:val="footnote reference"/>
    <w:basedOn w:val="DefaultParagraphFont"/>
    <w:semiHidden/>
    <w:rPr>
      <w:rFonts w:cs="Times New Roman"/>
      <w:vertAlign w:val="superscript"/>
    </w:rPr>
  </w:style>
  <w:style w:type="paragraph" w:styleId="Title">
    <w:name w:val="Title"/>
    <w:basedOn w:val="Normal"/>
    <w:next w:val="Normal"/>
    <w:link w:val="TitleChar"/>
    <w:qFormat/>
    <w:pPr>
      <w:pBdr>
        <w:bottom w:val="single" w:sz="8" w:space="4" w:color="4F81BD"/>
      </w:pBdr>
      <w:spacing w:before="0" w:after="300"/>
      <w:contextualSpacing/>
    </w:pPr>
    <w:rPr>
      <w:rFonts w:eastAsia="Calibri"/>
      <w:spacing w:val="5"/>
      <w:kern w:val="28"/>
      <w:sz w:val="40"/>
      <w:szCs w:val="52"/>
    </w:rPr>
  </w:style>
  <w:style w:type="character" w:customStyle="1" w:styleId="TitleChar">
    <w:name w:val="Title Char"/>
    <w:basedOn w:val="DefaultParagraphFont"/>
    <w:link w:val="Title"/>
    <w:locked/>
    <w:rPr>
      <w:spacing w:val="5"/>
      <w:kern w:val="28"/>
      <w:sz w:val="40"/>
      <w:szCs w:val="52"/>
      <w:lang w:eastAsia="en-US"/>
    </w:rPr>
  </w:style>
  <w:style w:type="character" w:customStyle="1" w:styleId="Heading3Char">
    <w:name w:val="Heading 3 Char"/>
    <w:basedOn w:val="DefaultParagraphFont"/>
    <w:link w:val="Heading3"/>
    <w:semiHidden/>
    <w:locked/>
    <w:rPr>
      <w:rFonts w:ascii="Cambria" w:hAnsi="Cambria" w:cs="Times New Roman"/>
      <w:b/>
      <w:bCs/>
      <w:color w:val="4F81BD"/>
    </w:rPr>
  </w:style>
  <w:style w:type="paragraph" w:styleId="TOC1">
    <w:name w:val="toc 1"/>
    <w:basedOn w:val="Normal"/>
    <w:next w:val="Normal"/>
    <w:autoRedefine/>
    <w:uiPriority w:val="39"/>
    <w:rsid w:val="00BD36FC"/>
    <w:pPr>
      <w:tabs>
        <w:tab w:val="right" w:leader="dot" w:pos="9072"/>
      </w:tabs>
      <w:spacing w:after="120"/>
      <w:jc w:val="left"/>
    </w:pPr>
    <w:rPr>
      <w:b/>
      <w:bCs/>
      <w:caps/>
      <w:sz w:val="20"/>
      <w:szCs w:val="20"/>
    </w:rPr>
  </w:style>
  <w:style w:type="paragraph" w:styleId="TOC2">
    <w:name w:val="toc 2"/>
    <w:basedOn w:val="Normal"/>
    <w:next w:val="Normal"/>
    <w:autoRedefine/>
    <w:uiPriority w:val="39"/>
    <w:pPr>
      <w:spacing w:before="0"/>
      <w:ind w:left="220"/>
      <w:jc w:val="left"/>
    </w:pPr>
    <w:rPr>
      <w:smallCaps/>
      <w:sz w:val="20"/>
      <w:szCs w:val="20"/>
    </w:rPr>
  </w:style>
  <w:style w:type="paragraph" w:styleId="TOC3">
    <w:name w:val="toc 3"/>
    <w:basedOn w:val="Normal"/>
    <w:next w:val="Normal"/>
    <w:autoRedefine/>
    <w:pPr>
      <w:spacing w:before="0"/>
      <w:ind w:left="440"/>
      <w:jc w:val="left"/>
    </w:pPr>
    <w:rPr>
      <w:i/>
      <w:iCs/>
      <w:sz w:val="20"/>
      <w:szCs w:val="20"/>
    </w:rPr>
  </w:style>
  <w:style w:type="paragraph" w:styleId="TOC4">
    <w:name w:val="toc 4"/>
    <w:basedOn w:val="Normal"/>
    <w:next w:val="Normal"/>
    <w:autoRedefine/>
    <w:pPr>
      <w:spacing w:before="0"/>
      <w:ind w:left="660"/>
      <w:jc w:val="left"/>
    </w:pPr>
    <w:rPr>
      <w:sz w:val="18"/>
      <w:szCs w:val="18"/>
    </w:rPr>
  </w:style>
  <w:style w:type="paragraph" w:styleId="TOC5">
    <w:name w:val="toc 5"/>
    <w:basedOn w:val="Normal"/>
    <w:next w:val="Normal"/>
    <w:autoRedefine/>
    <w:pPr>
      <w:spacing w:before="0"/>
      <w:ind w:left="880"/>
      <w:jc w:val="left"/>
    </w:pPr>
    <w:rPr>
      <w:sz w:val="18"/>
      <w:szCs w:val="18"/>
    </w:rPr>
  </w:style>
  <w:style w:type="paragraph" w:styleId="TOC6">
    <w:name w:val="toc 6"/>
    <w:basedOn w:val="Normal"/>
    <w:next w:val="Normal"/>
    <w:autoRedefine/>
    <w:pPr>
      <w:spacing w:before="0"/>
      <w:ind w:left="1100"/>
      <w:jc w:val="left"/>
    </w:pPr>
    <w:rPr>
      <w:sz w:val="18"/>
      <w:szCs w:val="18"/>
    </w:rPr>
  </w:style>
  <w:style w:type="paragraph" w:styleId="TOC7">
    <w:name w:val="toc 7"/>
    <w:basedOn w:val="Normal"/>
    <w:next w:val="Normal"/>
    <w:autoRedefine/>
    <w:pPr>
      <w:spacing w:before="0"/>
      <w:ind w:left="1320"/>
      <w:jc w:val="left"/>
    </w:pPr>
    <w:rPr>
      <w:sz w:val="18"/>
      <w:szCs w:val="18"/>
    </w:rPr>
  </w:style>
  <w:style w:type="paragraph" w:styleId="TOC8">
    <w:name w:val="toc 8"/>
    <w:basedOn w:val="Normal"/>
    <w:next w:val="Normal"/>
    <w:autoRedefine/>
    <w:pPr>
      <w:spacing w:before="0"/>
      <w:ind w:left="1540"/>
      <w:jc w:val="left"/>
    </w:pPr>
    <w:rPr>
      <w:sz w:val="18"/>
      <w:szCs w:val="18"/>
    </w:rPr>
  </w:style>
  <w:style w:type="paragraph" w:styleId="TOC9">
    <w:name w:val="toc 9"/>
    <w:basedOn w:val="Normal"/>
    <w:next w:val="Normal"/>
    <w:autoRedefine/>
    <w:pPr>
      <w:spacing w:before="0"/>
      <w:ind w:left="1760"/>
      <w:jc w:val="left"/>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DAM_Titulek,Titulek Tab.,Nadpis tabulky a/nebo grafu"/>
    <w:basedOn w:val="Normal"/>
    <w:next w:val="Normal"/>
    <w:link w:val="CaptionChar"/>
    <w:qFormat/>
    <w:pPr>
      <w:spacing w:before="0" w:after="200"/>
    </w:pPr>
    <w:rPr>
      <w:b/>
      <w:bCs/>
      <w:sz w:val="18"/>
      <w:szCs w:val="18"/>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locked/>
    <w:rPr>
      <w:rFonts w:cs="Times New Roman"/>
      <w:b/>
      <w:bCs/>
      <w:sz w:val="20"/>
      <w:szCs w:val="20"/>
    </w:rPr>
  </w:style>
  <w:style w:type="character" w:customStyle="1" w:styleId="Heading4Char">
    <w:name w:val="Heading 4 Char"/>
    <w:basedOn w:val="DefaultParagraphFont"/>
    <w:link w:val="Heading4"/>
    <w:rPr>
      <w:rFonts w:ascii="Arial" w:eastAsia="Times New Roman" w:hAnsi="Arial"/>
      <w:bCs/>
      <w:sz w:val="22"/>
      <w:szCs w:val="28"/>
    </w:rPr>
  </w:style>
  <w:style w:type="character" w:styleId="PageNumber">
    <w:name w:val="page number"/>
    <w:basedOn w:val="DefaultParagraphFont"/>
    <w:rPr>
      <w:rFonts w:ascii="Arial" w:hAnsi="Arial"/>
      <w:sz w:val="22"/>
    </w:rPr>
  </w:style>
  <w:style w:type="paragraph" w:styleId="ListParagraph">
    <w:name w:val="List Paragraph"/>
    <w:aliases w:val="Odstavec se seznamem a odrážkou,1 úroveň Odstavec se seznamem,List Paragraph (Czech Tourism),Nad,Odstavec cíl se seznamem,Odstavec se seznamem5,Odstavec_muj,Bullet Number,lp1,lp11,List Paragraph11,Use Case List Paragraph"/>
    <w:basedOn w:val="Normal"/>
    <w:link w:val="ListParagraphChar"/>
    <w:uiPriority w:val="34"/>
    <w:qFormat/>
    <w:rsid w:val="00E71C5C"/>
    <w:pPr>
      <w:ind w:left="720"/>
      <w:contextualSpacing/>
    </w:pPr>
  </w:style>
  <w:style w:type="character" w:customStyle="1" w:styleId="ListParagraphChar">
    <w:name w:val="List Paragraph Char"/>
    <w:aliases w:val="Odstavec se seznamem a odrážkou Char,1 úroveň Odstavec se seznamem Char,List Paragraph (Czech Tourism) Char,Nad Char,Odstavec cíl se seznamem Char,Odstavec se seznamem5 Char,Odstavec_muj Char,Bullet Number Char,lp1 Char,lp11 Char"/>
    <w:basedOn w:val="DefaultParagraphFont"/>
    <w:link w:val="ListParagraph"/>
    <w:uiPriority w:val="34"/>
    <w:locked/>
    <w:rsid w:val="00E71C5C"/>
    <w:rPr>
      <w:rFonts w:eastAsia="Times New Roman"/>
      <w:sz w:val="22"/>
      <w:szCs w:val="22"/>
      <w:lang w:eastAsia="en-US"/>
    </w:rPr>
  </w:style>
  <w:style w:type="character" w:customStyle="1" w:styleId="CaptionChar">
    <w:name w:val="Caption Char"/>
    <w:aliases w:val="DAM_Titulek Char,Titulek Tab. Char,Nadpis tabulky a/nebo grafu Char"/>
    <w:basedOn w:val="DefaultParagraphFont"/>
    <w:link w:val="Caption"/>
    <w:rsid w:val="00E71C5C"/>
    <w:rPr>
      <w:rFonts w:eastAsia="Times New Roman"/>
      <w:b/>
      <w:bCs/>
      <w:sz w:val="18"/>
      <w:szCs w:val="18"/>
      <w:lang w:eastAsia="en-US"/>
    </w:rPr>
  </w:style>
  <w:style w:type="paragraph" w:customStyle="1" w:styleId="textnormal">
    <w:name w:val="text_normal"/>
    <w:rsid w:val="00033C05"/>
    <w:pPr>
      <w:pBdr>
        <w:top w:val="nil"/>
        <w:left w:val="nil"/>
        <w:bottom w:val="nil"/>
        <w:right w:val="nil"/>
        <w:between w:val="nil"/>
        <w:bar w:val="nil"/>
      </w:pBdr>
      <w:spacing w:before="120"/>
      <w:jc w:val="both"/>
    </w:pPr>
    <w:rPr>
      <w:rFonts w:cs="Calibri"/>
      <w:color w:val="000000"/>
      <w:sz w:val="22"/>
      <w:szCs w:val="22"/>
      <w:bdr w:val="nil"/>
      <w:lang w:eastAsia="en-US"/>
    </w:rPr>
  </w:style>
  <w:style w:type="character" w:customStyle="1" w:styleId="Heading6Char">
    <w:name w:val="Heading 6 Char"/>
    <w:basedOn w:val="DefaultParagraphFont"/>
    <w:link w:val="Heading6"/>
    <w:uiPriority w:val="4"/>
    <w:rsid w:val="00990974"/>
    <w:rPr>
      <w:rFonts w:ascii="Myriad Pro" w:eastAsia="Times New Roman" w:hAnsi="Myriad Pro"/>
      <w:i/>
      <w:sz w:val="22"/>
    </w:rPr>
  </w:style>
  <w:style w:type="character" w:customStyle="1" w:styleId="Heading7Char">
    <w:name w:val="Heading 7 Char"/>
    <w:basedOn w:val="DefaultParagraphFont"/>
    <w:link w:val="Heading7"/>
    <w:uiPriority w:val="4"/>
    <w:rsid w:val="00990974"/>
    <w:rPr>
      <w:rFonts w:ascii="Myriad Pro" w:eastAsia="Times New Roman" w:hAnsi="Myriad Pro"/>
    </w:rPr>
  </w:style>
  <w:style w:type="character" w:customStyle="1" w:styleId="Heading8Char">
    <w:name w:val="Heading 8 Char"/>
    <w:basedOn w:val="DefaultParagraphFont"/>
    <w:link w:val="Heading8"/>
    <w:uiPriority w:val="4"/>
    <w:rsid w:val="00990974"/>
    <w:rPr>
      <w:rFonts w:ascii="Myriad Pro" w:eastAsia="Times New Roman" w:hAnsi="Myriad Pro"/>
      <w:i/>
    </w:rPr>
  </w:style>
  <w:style w:type="character" w:customStyle="1" w:styleId="Heading9Char">
    <w:name w:val="Heading 9 Char"/>
    <w:basedOn w:val="DefaultParagraphFont"/>
    <w:link w:val="Heading9"/>
    <w:uiPriority w:val="4"/>
    <w:rsid w:val="00990974"/>
    <w:rPr>
      <w:rFonts w:ascii="Myriad Pro" w:eastAsia="Times New Roman" w:hAnsi="Myriad Pro"/>
      <w:sz w:val="18"/>
    </w:rPr>
  </w:style>
  <w:style w:type="paragraph" w:customStyle="1" w:styleId="Nadpis41">
    <w:name w:val="Nadpis 41"/>
    <w:rsid w:val="00990974"/>
    <w:pPr>
      <w:widowControl w:val="0"/>
      <w:numPr>
        <w:ilvl w:val="3"/>
        <w:numId w:val="6"/>
      </w:numPr>
      <w:ind w:left="3552" w:hanging="708"/>
    </w:pPr>
    <w:rPr>
      <w:rFonts w:ascii="Bez Patky" w:eastAsia="Times New Roman" w:hAnsi="Bez Patky"/>
      <w:b/>
      <w:color w:val="000000"/>
      <w:sz w:val="24"/>
    </w:rPr>
  </w:style>
  <w:style w:type="paragraph" w:customStyle="1" w:styleId="Nadpis31">
    <w:name w:val="Nadpis 31"/>
    <w:autoRedefine/>
    <w:rsid w:val="00990974"/>
    <w:pPr>
      <w:widowControl w:val="0"/>
      <w:numPr>
        <w:ilvl w:val="2"/>
        <w:numId w:val="6"/>
      </w:numPr>
      <w:tabs>
        <w:tab w:val="left" w:pos="709"/>
      </w:tabs>
      <w:spacing w:line="360" w:lineRule="auto"/>
      <w:ind w:left="3119" w:hanging="708"/>
    </w:pPr>
    <w:rPr>
      <w:rFonts w:ascii="Arial" w:eastAsia="Times New Roman" w:hAnsi="Arial"/>
      <w:b/>
      <w:bCs/>
      <w:sz w:val="22"/>
      <w:szCs w:val="22"/>
    </w:rPr>
  </w:style>
  <w:style w:type="paragraph" w:customStyle="1" w:styleId="Nadpis51">
    <w:name w:val="Nadpis 51"/>
    <w:rsid w:val="00990974"/>
    <w:pPr>
      <w:widowControl w:val="0"/>
      <w:numPr>
        <w:ilvl w:val="4"/>
        <w:numId w:val="6"/>
      </w:numPr>
      <w:ind w:left="4260" w:hanging="708"/>
    </w:pPr>
    <w:rPr>
      <w:rFonts w:ascii="Bez Patky" w:eastAsia="Times New Roman" w:hAnsi="Bez Patky"/>
      <w:color w:val="000000"/>
      <w:sz w:val="24"/>
    </w:rPr>
  </w:style>
  <w:style w:type="table" w:customStyle="1" w:styleId="Tabulkasmkou4zvraznn11">
    <w:name w:val="Tabulka s mřížkou 4 – zvýraznění 11"/>
    <w:basedOn w:val="TableNormal"/>
    <w:next w:val="TableNormal"/>
    <w:uiPriority w:val="49"/>
    <w:rsid w:val="00576515"/>
    <w:rPr>
      <w:rFonts w:ascii="Arial" w:eastAsia="Arial" w:hAnsi="Arial"/>
      <w:sz w:val="22"/>
      <w:szCs w:val="22"/>
      <w:lang w:eastAsia="en-US"/>
    </w:rPr>
    <w:tblPr>
      <w:tblStyleRowBandSize w:val="1"/>
      <w:tblStyleColBandSize w:val="1"/>
      <w:tblBorders>
        <w:top w:val="single" w:sz="4" w:space="0" w:color="FF925E"/>
        <w:left w:val="single" w:sz="4" w:space="0" w:color="FF925E"/>
        <w:bottom w:val="single" w:sz="4" w:space="0" w:color="FF925E"/>
        <w:right w:val="single" w:sz="4" w:space="0" w:color="FF925E"/>
        <w:insideH w:val="single" w:sz="4" w:space="0" w:color="FF925E"/>
        <w:insideV w:val="single" w:sz="4" w:space="0" w:color="FF925E"/>
      </w:tblBorders>
    </w:tblPr>
    <w:tblStylePr w:type="firstRow">
      <w:rPr>
        <w:b/>
        <w:bCs/>
        <w:color w:val="FFFFFF"/>
      </w:rPr>
      <w:tblPr/>
      <w:tcPr>
        <w:tcBorders>
          <w:top w:val="single" w:sz="4" w:space="0" w:color="F24F00"/>
          <w:left w:val="single" w:sz="4" w:space="0" w:color="F24F00"/>
          <w:bottom w:val="single" w:sz="4" w:space="0" w:color="F24F00"/>
          <w:right w:val="single" w:sz="4" w:space="0" w:color="F24F00"/>
          <w:insideH w:val="nil"/>
          <w:insideV w:val="nil"/>
        </w:tcBorders>
        <w:shd w:val="clear" w:color="auto" w:fill="F24F00"/>
      </w:tcPr>
    </w:tblStylePr>
    <w:tblStylePr w:type="lastRow">
      <w:rPr>
        <w:b/>
        <w:bCs/>
      </w:rPr>
      <w:tblPr/>
      <w:tcPr>
        <w:tcBorders>
          <w:top w:val="double" w:sz="4" w:space="0" w:color="F24F00"/>
        </w:tcBorders>
      </w:tcPr>
    </w:tblStylePr>
    <w:tblStylePr w:type="firstCol">
      <w:rPr>
        <w:b/>
        <w:bCs/>
      </w:rPr>
    </w:tblStylePr>
    <w:tblStylePr w:type="lastCol">
      <w:rPr>
        <w:b/>
        <w:bCs/>
      </w:rPr>
    </w:tblStylePr>
    <w:tblStylePr w:type="band1Vert">
      <w:tblPr/>
      <w:tcPr>
        <w:shd w:val="clear" w:color="auto" w:fill="FFDAC9"/>
      </w:tcPr>
    </w:tblStylePr>
    <w:tblStylePr w:type="band1Horz">
      <w:tblPr/>
      <w:tcPr>
        <w:shd w:val="clear" w:color="auto" w:fill="FFDAC9"/>
      </w:tcPr>
    </w:tblStylePr>
  </w:style>
  <w:style w:type="character" w:customStyle="1" w:styleId="Bodytext2">
    <w:name w:val="Body text (2)_"/>
    <w:basedOn w:val="DefaultParagraphFont"/>
    <w:link w:val="Bodytext20"/>
    <w:rsid w:val="00761253"/>
    <w:rPr>
      <w:rFonts w:ascii="Arial" w:eastAsia="Arial" w:hAnsi="Arial" w:cs="Arial"/>
      <w:shd w:val="clear" w:color="auto" w:fill="FFFFFF"/>
    </w:rPr>
  </w:style>
  <w:style w:type="paragraph" w:customStyle="1" w:styleId="Bodytext20">
    <w:name w:val="Body text (2)"/>
    <w:basedOn w:val="Normal"/>
    <w:link w:val="Bodytext2"/>
    <w:rsid w:val="00761253"/>
    <w:pPr>
      <w:widowControl w:val="0"/>
      <w:shd w:val="clear" w:color="auto" w:fill="FFFFFF"/>
      <w:spacing w:after="120" w:line="302" w:lineRule="exact"/>
      <w:ind w:hanging="580"/>
    </w:pPr>
    <w:rPr>
      <w:rFonts w:ascii="Arial" w:eastAsia="Arial" w:hAnsi="Arial" w:cs="Arial"/>
      <w:sz w:val="20"/>
      <w:szCs w:val="20"/>
      <w:lang w:eastAsia="cs-CZ"/>
    </w:rPr>
  </w:style>
  <w:style w:type="character" w:customStyle="1" w:styleId="Bodytext5">
    <w:name w:val="Body text (5)_"/>
    <w:basedOn w:val="DefaultParagraphFont"/>
    <w:link w:val="Bodytext50"/>
    <w:rsid w:val="00761253"/>
    <w:rPr>
      <w:rFonts w:ascii="Arial" w:eastAsia="Arial" w:hAnsi="Arial" w:cs="Arial"/>
      <w:sz w:val="21"/>
      <w:szCs w:val="21"/>
      <w:shd w:val="clear" w:color="auto" w:fill="FFFFFF"/>
    </w:rPr>
  </w:style>
  <w:style w:type="paragraph" w:customStyle="1" w:styleId="Bodytext50">
    <w:name w:val="Body text (5)"/>
    <w:basedOn w:val="Normal"/>
    <w:link w:val="Bodytext5"/>
    <w:rsid w:val="00761253"/>
    <w:pPr>
      <w:widowControl w:val="0"/>
      <w:shd w:val="clear" w:color="auto" w:fill="FFFFFF"/>
      <w:spacing w:before="0" w:line="288" w:lineRule="exact"/>
      <w:ind w:hanging="580"/>
    </w:pPr>
    <w:rPr>
      <w:rFonts w:ascii="Arial" w:eastAsia="Arial" w:hAnsi="Arial" w:cs="Arial"/>
      <w:sz w:val="21"/>
      <w:szCs w:val="21"/>
      <w:lang w:eastAsia="cs-CZ"/>
    </w:rPr>
  </w:style>
  <w:style w:type="paragraph" w:styleId="NoSpacing">
    <w:name w:val="No Spacing"/>
    <w:uiPriority w:val="1"/>
    <w:qFormat/>
    <w:rsid w:val="003E3AEC"/>
    <w:rPr>
      <w:sz w:val="22"/>
      <w:szCs w:val="22"/>
      <w:lang w:eastAsia="en-US"/>
    </w:rPr>
  </w:style>
  <w:style w:type="paragraph" w:customStyle="1" w:styleId="ENProposalTitle">
    <w:name w:val="EN Proposal Title"/>
    <w:basedOn w:val="Heading3"/>
    <w:rsid w:val="00324A3C"/>
    <w:pPr>
      <w:keepLines w:val="0"/>
      <w:spacing w:before="360" w:line="280" w:lineRule="exact"/>
      <w:ind w:left="2688" w:hanging="360"/>
    </w:pPr>
    <w:rPr>
      <w:rFonts w:ascii="Arial" w:eastAsia="MS Mincho" w:hAnsi="Arial" w:cs="Arial"/>
      <w:i/>
      <w:color w:val="auto"/>
      <w:spacing w:val="10"/>
      <w:sz w:val="24"/>
      <w:szCs w:val="24"/>
    </w:rPr>
  </w:style>
  <w:style w:type="paragraph" w:styleId="Revision">
    <w:name w:val="Revision"/>
    <w:hidden/>
    <w:uiPriority w:val="99"/>
    <w:semiHidden/>
    <w:rsid w:val="006078B6"/>
    <w:rPr>
      <w:rFonts w:eastAsia="Times New Roman"/>
      <w:sz w:val="22"/>
      <w:szCs w:val="22"/>
      <w:lang w:eastAsia="en-US"/>
    </w:rPr>
  </w:style>
  <w:style w:type="character" w:styleId="UnresolvedMention">
    <w:name w:val="Unresolved Mention"/>
    <w:basedOn w:val="DefaultParagraphFont"/>
    <w:uiPriority w:val="99"/>
    <w:semiHidden/>
    <w:unhideWhenUsed/>
    <w:rsid w:val="00E02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6">
          <w:marLeft w:val="835"/>
          <w:marRight w:val="0"/>
          <w:marTop w:val="134"/>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4">
          <w:marLeft w:val="922"/>
          <w:marRight w:val="0"/>
          <w:marTop w:val="0"/>
          <w:marBottom w:val="0"/>
          <w:divBdr>
            <w:top w:val="none" w:sz="0" w:space="0" w:color="auto"/>
            <w:left w:val="none" w:sz="0" w:space="0" w:color="auto"/>
            <w:bottom w:val="none" w:sz="0" w:space="0" w:color="auto"/>
            <w:right w:val="none" w:sz="0" w:space="0" w:color="auto"/>
          </w:divBdr>
        </w:div>
        <w:div w:id="36">
          <w:marLeft w:val="922"/>
          <w:marRight w:val="0"/>
          <w:marTop w:val="0"/>
          <w:marBottom w:val="0"/>
          <w:divBdr>
            <w:top w:val="none" w:sz="0" w:space="0" w:color="auto"/>
            <w:left w:val="none" w:sz="0" w:space="0" w:color="auto"/>
            <w:bottom w:val="none" w:sz="0" w:space="0" w:color="auto"/>
            <w:right w:val="none" w:sz="0" w:space="0" w:color="auto"/>
          </w:divBdr>
        </w:div>
        <w:div w:id="39">
          <w:marLeft w:val="922"/>
          <w:marRight w:val="0"/>
          <w:marTop w:val="0"/>
          <w:marBottom w:val="0"/>
          <w:divBdr>
            <w:top w:val="none" w:sz="0" w:space="0" w:color="auto"/>
            <w:left w:val="none" w:sz="0" w:space="0" w:color="auto"/>
            <w:bottom w:val="none" w:sz="0" w:space="0" w:color="auto"/>
            <w:right w:val="none" w:sz="0" w:space="0" w:color="auto"/>
          </w:divBdr>
        </w:div>
        <w:div w:id="40">
          <w:marLeft w:val="922"/>
          <w:marRight w:val="0"/>
          <w:marTop w:val="0"/>
          <w:marBottom w:val="0"/>
          <w:divBdr>
            <w:top w:val="none" w:sz="0" w:space="0" w:color="auto"/>
            <w:left w:val="none" w:sz="0" w:space="0" w:color="auto"/>
            <w:bottom w:val="none" w:sz="0" w:space="0" w:color="auto"/>
            <w:right w:val="none" w:sz="0" w:space="0" w:color="auto"/>
          </w:divBdr>
        </w:div>
        <w:div w:id="42">
          <w:marLeft w:val="922"/>
          <w:marRight w:val="0"/>
          <w:marTop w:val="0"/>
          <w:marBottom w:val="0"/>
          <w:divBdr>
            <w:top w:val="none" w:sz="0" w:space="0" w:color="auto"/>
            <w:left w:val="none" w:sz="0" w:space="0" w:color="auto"/>
            <w:bottom w:val="none" w:sz="0" w:space="0" w:color="auto"/>
            <w:right w:val="none" w:sz="0" w:space="0" w:color="auto"/>
          </w:divBdr>
        </w:div>
        <w:div w:id="44">
          <w:marLeft w:val="446"/>
          <w:marRight w:val="0"/>
          <w:marTop w:val="0"/>
          <w:marBottom w:val="0"/>
          <w:divBdr>
            <w:top w:val="none" w:sz="0" w:space="0" w:color="auto"/>
            <w:left w:val="none" w:sz="0" w:space="0" w:color="auto"/>
            <w:bottom w:val="none" w:sz="0" w:space="0" w:color="auto"/>
            <w:right w:val="none" w:sz="0" w:space="0" w:color="auto"/>
          </w:divBdr>
        </w:div>
        <w:div w:id="57">
          <w:marLeft w:val="446"/>
          <w:marRight w:val="0"/>
          <w:marTop w:val="0"/>
          <w:marBottom w:val="0"/>
          <w:divBdr>
            <w:top w:val="none" w:sz="0" w:space="0" w:color="auto"/>
            <w:left w:val="none" w:sz="0" w:space="0" w:color="auto"/>
            <w:bottom w:val="none" w:sz="0" w:space="0" w:color="auto"/>
            <w:right w:val="none" w:sz="0" w:space="0" w:color="auto"/>
          </w:divBdr>
        </w:div>
        <w:div w:id="60">
          <w:marLeft w:val="922"/>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9">
          <w:marLeft w:val="547"/>
          <w:marRight w:val="0"/>
          <w:marTop w:val="100"/>
          <w:marBottom w:val="0"/>
          <w:divBdr>
            <w:top w:val="none" w:sz="0" w:space="0" w:color="auto"/>
            <w:left w:val="none" w:sz="0" w:space="0" w:color="auto"/>
            <w:bottom w:val="none" w:sz="0" w:space="0" w:color="auto"/>
            <w:right w:val="none" w:sz="0" w:space="0" w:color="auto"/>
          </w:divBdr>
        </w:div>
        <w:div w:id="18">
          <w:marLeft w:val="547"/>
          <w:marRight w:val="0"/>
          <w:marTop w:val="100"/>
          <w:marBottom w:val="0"/>
          <w:divBdr>
            <w:top w:val="none" w:sz="0" w:space="0" w:color="auto"/>
            <w:left w:val="none" w:sz="0" w:space="0" w:color="auto"/>
            <w:bottom w:val="none" w:sz="0" w:space="0" w:color="auto"/>
            <w:right w:val="none" w:sz="0" w:space="0" w:color="auto"/>
          </w:divBdr>
        </w:div>
        <w:div w:id="29">
          <w:marLeft w:val="547"/>
          <w:marRight w:val="0"/>
          <w:marTop w:val="100"/>
          <w:marBottom w:val="0"/>
          <w:divBdr>
            <w:top w:val="none" w:sz="0" w:space="0" w:color="auto"/>
            <w:left w:val="none" w:sz="0" w:space="0" w:color="auto"/>
            <w:bottom w:val="none" w:sz="0" w:space="0" w:color="auto"/>
            <w:right w:val="none" w:sz="0" w:space="0" w:color="auto"/>
          </w:divBdr>
        </w:div>
        <w:div w:id="30">
          <w:marLeft w:val="547"/>
          <w:marRight w:val="0"/>
          <w:marTop w:val="100"/>
          <w:marBottom w:val="0"/>
          <w:divBdr>
            <w:top w:val="none" w:sz="0" w:space="0" w:color="auto"/>
            <w:left w:val="none" w:sz="0" w:space="0" w:color="auto"/>
            <w:bottom w:val="none" w:sz="0" w:space="0" w:color="auto"/>
            <w:right w:val="none" w:sz="0" w:space="0" w:color="auto"/>
          </w:divBdr>
        </w:div>
        <w:div w:id="38">
          <w:marLeft w:val="547"/>
          <w:marRight w:val="0"/>
          <w:marTop w:val="100"/>
          <w:marBottom w:val="0"/>
          <w:divBdr>
            <w:top w:val="none" w:sz="0" w:space="0" w:color="auto"/>
            <w:left w:val="none" w:sz="0" w:space="0" w:color="auto"/>
            <w:bottom w:val="none" w:sz="0" w:space="0" w:color="auto"/>
            <w:right w:val="none" w:sz="0" w:space="0" w:color="auto"/>
          </w:divBdr>
        </w:div>
        <w:div w:id="52">
          <w:marLeft w:val="547"/>
          <w:marRight w:val="0"/>
          <w:marTop w:val="10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7">
          <w:marLeft w:val="547"/>
          <w:marRight w:val="0"/>
          <w:marTop w:val="134"/>
          <w:marBottom w:val="0"/>
          <w:divBdr>
            <w:top w:val="none" w:sz="0" w:space="0" w:color="auto"/>
            <w:left w:val="none" w:sz="0" w:space="0" w:color="auto"/>
            <w:bottom w:val="none" w:sz="0" w:space="0" w:color="auto"/>
            <w:right w:val="none" w:sz="0" w:space="0" w:color="auto"/>
          </w:divBdr>
        </w:div>
        <w:div w:id="59">
          <w:marLeft w:val="547"/>
          <w:marRight w:val="0"/>
          <w:marTop w:val="134"/>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134"/>
          <w:marBottom w:val="0"/>
          <w:divBdr>
            <w:top w:val="none" w:sz="0" w:space="0" w:color="auto"/>
            <w:left w:val="none" w:sz="0" w:space="0" w:color="auto"/>
            <w:bottom w:val="none" w:sz="0" w:space="0" w:color="auto"/>
            <w:right w:val="none" w:sz="0" w:space="0" w:color="auto"/>
          </w:divBdr>
        </w:div>
        <w:div w:id="10">
          <w:marLeft w:val="547"/>
          <w:marRight w:val="0"/>
          <w:marTop w:val="134"/>
          <w:marBottom w:val="0"/>
          <w:divBdr>
            <w:top w:val="none" w:sz="0" w:space="0" w:color="auto"/>
            <w:left w:val="none" w:sz="0" w:space="0" w:color="auto"/>
            <w:bottom w:val="none" w:sz="0" w:space="0" w:color="auto"/>
            <w:right w:val="none" w:sz="0" w:space="0" w:color="auto"/>
          </w:divBdr>
        </w:div>
        <w:div w:id="33">
          <w:marLeft w:val="547"/>
          <w:marRight w:val="0"/>
          <w:marTop w:val="134"/>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25">
          <w:marLeft w:val="418"/>
          <w:marRight w:val="0"/>
          <w:marTop w:val="134"/>
          <w:marBottom w:val="0"/>
          <w:divBdr>
            <w:top w:val="none" w:sz="0" w:space="0" w:color="auto"/>
            <w:left w:val="none" w:sz="0" w:space="0" w:color="auto"/>
            <w:bottom w:val="none" w:sz="0" w:space="0" w:color="auto"/>
            <w:right w:val="none" w:sz="0" w:space="0" w:color="auto"/>
          </w:divBdr>
        </w:div>
        <w:div w:id="54">
          <w:marLeft w:val="418"/>
          <w:marRight w:val="0"/>
          <w:marTop w:val="134"/>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21">
          <w:marLeft w:val="547"/>
          <w:marRight w:val="0"/>
          <w:marTop w:val="134"/>
          <w:marBottom w:val="0"/>
          <w:divBdr>
            <w:top w:val="none" w:sz="0" w:space="0" w:color="auto"/>
            <w:left w:val="none" w:sz="0" w:space="0" w:color="auto"/>
            <w:bottom w:val="none" w:sz="0" w:space="0" w:color="auto"/>
            <w:right w:val="none" w:sz="0" w:space="0" w:color="auto"/>
          </w:divBdr>
        </w:div>
        <w:div w:id="23">
          <w:marLeft w:val="547"/>
          <w:marRight w:val="0"/>
          <w:marTop w:val="134"/>
          <w:marBottom w:val="0"/>
          <w:divBdr>
            <w:top w:val="none" w:sz="0" w:space="0" w:color="auto"/>
            <w:left w:val="none" w:sz="0" w:space="0" w:color="auto"/>
            <w:bottom w:val="none" w:sz="0" w:space="0" w:color="auto"/>
            <w:right w:val="none" w:sz="0" w:space="0" w:color="auto"/>
          </w:divBdr>
        </w:div>
        <w:div w:id="49">
          <w:marLeft w:val="547"/>
          <w:marRight w:val="0"/>
          <w:marTop w:val="134"/>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5">
          <w:marLeft w:val="1800"/>
          <w:marRight w:val="0"/>
          <w:marTop w:val="115"/>
          <w:marBottom w:val="0"/>
          <w:divBdr>
            <w:top w:val="none" w:sz="0" w:space="0" w:color="auto"/>
            <w:left w:val="none" w:sz="0" w:space="0" w:color="auto"/>
            <w:bottom w:val="none" w:sz="0" w:space="0" w:color="auto"/>
            <w:right w:val="none" w:sz="0" w:space="0" w:color="auto"/>
          </w:divBdr>
        </w:div>
        <w:div w:id="31">
          <w:marLeft w:val="1800"/>
          <w:marRight w:val="0"/>
          <w:marTop w:val="115"/>
          <w:marBottom w:val="0"/>
          <w:divBdr>
            <w:top w:val="none" w:sz="0" w:space="0" w:color="auto"/>
            <w:left w:val="none" w:sz="0" w:space="0" w:color="auto"/>
            <w:bottom w:val="none" w:sz="0" w:space="0" w:color="auto"/>
            <w:right w:val="none" w:sz="0" w:space="0" w:color="auto"/>
          </w:divBdr>
        </w:div>
        <w:div w:id="41">
          <w:marLeft w:val="1800"/>
          <w:marRight w:val="0"/>
          <w:marTop w:val="115"/>
          <w:marBottom w:val="0"/>
          <w:divBdr>
            <w:top w:val="none" w:sz="0" w:space="0" w:color="auto"/>
            <w:left w:val="none" w:sz="0" w:space="0" w:color="auto"/>
            <w:bottom w:val="none" w:sz="0" w:space="0" w:color="auto"/>
            <w:right w:val="none" w:sz="0" w:space="0" w:color="auto"/>
          </w:divBdr>
        </w:div>
        <w:div w:id="45">
          <w:marLeft w:val="1800"/>
          <w:marRight w:val="0"/>
          <w:marTop w:val="115"/>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3">
          <w:marLeft w:val="1166"/>
          <w:marRight w:val="0"/>
          <w:marTop w:val="115"/>
          <w:marBottom w:val="0"/>
          <w:divBdr>
            <w:top w:val="none" w:sz="0" w:space="0" w:color="auto"/>
            <w:left w:val="none" w:sz="0" w:space="0" w:color="auto"/>
            <w:bottom w:val="none" w:sz="0" w:space="0" w:color="auto"/>
            <w:right w:val="none" w:sz="0" w:space="0" w:color="auto"/>
          </w:divBdr>
        </w:div>
        <w:div w:id="11">
          <w:marLeft w:val="1166"/>
          <w:marRight w:val="0"/>
          <w:marTop w:val="115"/>
          <w:marBottom w:val="0"/>
          <w:divBdr>
            <w:top w:val="none" w:sz="0" w:space="0" w:color="auto"/>
            <w:left w:val="none" w:sz="0" w:space="0" w:color="auto"/>
            <w:bottom w:val="none" w:sz="0" w:space="0" w:color="auto"/>
            <w:right w:val="none" w:sz="0" w:space="0" w:color="auto"/>
          </w:divBdr>
        </w:div>
        <w:div w:id="19">
          <w:marLeft w:val="547"/>
          <w:marRight w:val="0"/>
          <w:marTop w:val="115"/>
          <w:marBottom w:val="0"/>
          <w:divBdr>
            <w:top w:val="none" w:sz="0" w:space="0" w:color="auto"/>
            <w:left w:val="none" w:sz="0" w:space="0" w:color="auto"/>
            <w:bottom w:val="none" w:sz="0" w:space="0" w:color="auto"/>
            <w:right w:val="none" w:sz="0" w:space="0" w:color="auto"/>
          </w:divBdr>
        </w:div>
        <w:div w:id="32">
          <w:marLeft w:val="1166"/>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7">
          <w:marLeft w:val="1166"/>
          <w:marRight w:val="0"/>
          <w:marTop w:val="115"/>
          <w:marBottom w:val="0"/>
          <w:divBdr>
            <w:top w:val="none" w:sz="0" w:space="0" w:color="auto"/>
            <w:left w:val="none" w:sz="0" w:space="0" w:color="auto"/>
            <w:bottom w:val="none" w:sz="0" w:space="0" w:color="auto"/>
            <w:right w:val="none" w:sz="0" w:space="0" w:color="auto"/>
          </w:divBdr>
        </w:div>
        <w:div w:id="56">
          <w:marLeft w:val="1166"/>
          <w:marRight w:val="0"/>
          <w:marTop w:val="115"/>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2">
          <w:marLeft w:val="922"/>
          <w:marRight w:val="0"/>
          <w:marTop w:val="0"/>
          <w:marBottom w:val="0"/>
          <w:divBdr>
            <w:top w:val="none" w:sz="0" w:space="0" w:color="auto"/>
            <w:left w:val="none" w:sz="0" w:space="0" w:color="auto"/>
            <w:bottom w:val="none" w:sz="0" w:space="0" w:color="auto"/>
            <w:right w:val="none" w:sz="0" w:space="0" w:color="auto"/>
          </w:divBdr>
        </w:div>
        <w:div w:id="5">
          <w:marLeft w:val="446"/>
          <w:marRight w:val="0"/>
          <w:marTop w:val="0"/>
          <w:marBottom w:val="0"/>
          <w:divBdr>
            <w:top w:val="none" w:sz="0" w:space="0" w:color="auto"/>
            <w:left w:val="none" w:sz="0" w:space="0" w:color="auto"/>
            <w:bottom w:val="none" w:sz="0" w:space="0" w:color="auto"/>
            <w:right w:val="none" w:sz="0" w:space="0" w:color="auto"/>
          </w:divBdr>
        </w:div>
        <w:div w:id="12">
          <w:marLeft w:val="922"/>
          <w:marRight w:val="0"/>
          <w:marTop w:val="0"/>
          <w:marBottom w:val="0"/>
          <w:divBdr>
            <w:top w:val="none" w:sz="0" w:space="0" w:color="auto"/>
            <w:left w:val="none" w:sz="0" w:space="0" w:color="auto"/>
            <w:bottom w:val="none" w:sz="0" w:space="0" w:color="auto"/>
            <w:right w:val="none" w:sz="0" w:space="0" w:color="auto"/>
          </w:divBdr>
        </w:div>
        <w:div w:id="13">
          <w:marLeft w:val="922"/>
          <w:marRight w:val="0"/>
          <w:marTop w:val="0"/>
          <w:marBottom w:val="0"/>
          <w:divBdr>
            <w:top w:val="none" w:sz="0" w:space="0" w:color="auto"/>
            <w:left w:val="none" w:sz="0" w:space="0" w:color="auto"/>
            <w:bottom w:val="none" w:sz="0" w:space="0" w:color="auto"/>
            <w:right w:val="none" w:sz="0" w:space="0" w:color="auto"/>
          </w:divBdr>
        </w:div>
        <w:div w:id="16">
          <w:marLeft w:val="446"/>
          <w:marRight w:val="0"/>
          <w:marTop w:val="0"/>
          <w:marBottom w:val="0"/>
          <w:divBdr>
            <w:top w:val="none" w:sz="0" w:space="0" w:color="auto"/>
            <w:left w:val="none" w:sz="0" w:space="0" w:color="auto"/>
            <w:bottom w:val="none" w:sz="0" w:space="0" w:color="auto"/>
            <w:right w:val="none" w:sz="0" w:space="0" w:color="auto"/>
          </w:divBdr>
        </w:div>
        <w:div w:id="28">
          <w:marLeft w:val="922"/>
          <w:marRight w:val="0"/>
          <w:marTop w:val="0"/>
          <w:marBottom w:val="0"/>
          <w:divBdr>
            <w:top w:val="none" w:sz="0" w:space="0" w:color="auto"/>
            <w:left w:val="none" w:sz="0" w:space="0" w:color="auto"/>
            <w:bottom w:val="none" w:sz="0" w:space="0" w:color="auto"/>
            <w:right w:val="none" w:sz="0" w:space="0" w:color="auto"/>
          </w:divBdr>
        </w:div>
        <w:div w:id="46">
          <w:marLeft w:val="922"/>
          <w:marRight w:val="0"/>
          <w:marTop w:val="0"/>
          <w:marBottom w:val="0"/>
          <w:divBdr>
            <w:top w:val="none" w:sz="0" w:space="0" w:color="auto"/>
            <w:left w:val="none" w:sz="0" w:space="0" w:color="auto"/>
            <w:bottom w:val="none" w:sz="0" w:space="0" w:color="auto"/>
            <w:right w:val="none" w:sz="0" w:space="0" w:color="auto"/>
          </w:divBdr>
        </w:div>
        <w:div w:id="51">
          <w:marLeft w:val="922"/>
          <w:marRight w:val="0"/>
          <w:marTop w:val="0"/>
          <w:marBottom w:val="0"/>
          <w:divBdr>
            <w:top w:val="none" w:sz="0" w:space="0" w:color="auto"/>
            <w:left w:val="none" w:sz="0" w:space="0" w:color="auto"/>
            <w:bottom w:val="none" w:sz="0" w:space="0" w:color="auto"/>
            <w:right w:val="none" w:sz="0" w:space="0" w:color="auto"/>
          </w:divBdr>
        </w:div>
      </w:divsChild>
    </w:div>
    <w:div w:id="787890350">
      <w:bodyDiv w:val="1"/>
      <w:marLeft w:val="0"/>
      <w:marRight w:val="0"/>
      <w:marTop w:val="0"/>
      <w:marBottom w:val="0"/>
      <w:divBdr>
        <w:top w:val="none" w:sz="0" w:space="0" w:color="auto"/>
        <w:left w:val="none" w:sz="0" w:space="0" w:color="auto"/>
        <w:bottom w:val="none" w:sz="0" w:space="0" w:color="auto"/>
        <w:right w:val="none" w:sz="0" w:space="0" w:color="auto"/>
      </w:divBdr>
    </w:div>
    <w:div w:id="835221883">
      <w:bodyDiv w:val="1"/>
      <w:marLeft w:val="0"/>
      <w:marRight w:val="0"/>
      <w:marTop w:val="0"/>
      <w:marBottom w:val="0"/>
      <w:divBdr>
        <w:top w:val="none" w:sz="0" w:space="0" w:color="auto"/>
        <w:left w:val="none" w:sz="0" w:space="0" w:color="auto"/>
        <w:bottom w:val="none" w:sz="0" w:space="0" w:color="auto"/>
        <w:right w:val="none" w:sz="0" w:space="0" w:color="auto"/>
      </w:divBdr>
    </w:div>
    <w:div w:id="1142192378">
      <w:bodyDiv w:val="1"/>
      <w:marLeft w:val="0"/>
      <w:marRight w:val="0"/>
      <w:marTop w:val="0"/>
      <w:marBottom w:val="0"/>
      <w:divBdr>
        <w:top w:val="none" w:sz="0" w:space="0" w:color="auto"/>
        <w:left w:val="none" w:sz="0" w:space="0" w:color="auto"/>
        <w:bottom w:val="none" w:sz="0" w:space="0" w:color="auto"/>
        <w:right w:val="none" w:sz="0" w:space="0" w:color="auto"/>
      </w:divBdr>
    </w:div>
    <w:div w:id="1283732395">
      <w:bodyDiv w:val="1"/>
      <w:marLeft w:val="0"/>
      <w:marRight w:val="0"/>
      <w:marTop w:val="0"/>
      <w:marBottom w:val="0"/>
      <w:divBdr>
        <w:top w:val="none" w:sz="0" w:space="0" w:color="auto"/>
        <w:left w:val="none" w:sz="0" w:space="0" w:color="auto"/>
        <w:bottom w:val="none" w:sz="0" w:space="0" w:color="auto"/>
        <w:right w:val="none" w:sz="0" w:space="0" w:color="auto"/>
      </w:divBdr>
    </w:div>
    <w:div w:id="1780635717">
      <w:bodyDiv w:val="1"/>
      <w:marLeft w:val="0"/>
      <w:marRight w:val="0"/>
      <w:marTop w:val="0"/>
      <w:marBottom w:val="0"/>
      <w:divBdr>
        <w:top w:val="none" w:sz="0" w:space="0" w:color="auto"/>
        <w:left w:val="none" w:sz="0" w:space="0" w:color="auto"/>
        <w:bottom w:val="none" w:sz="0" w:space="0" w:color="auto"/>
        <w:right w:val="none" w:sz="0" w:space="0" w:color="auto"/>
      </w:divBdr>
    </w:div>
    <w:div w:id="1874921850">
      <w:bodyDiv w:val="1"/>
      <w:marLeft w:val="0"/>
      <w:marRight w:val="0"/>
      <w:marTop w:val="0"/>
      <w:marBottom w:val="0"/>
      <w:divBdr>
        <w:top w:val="none" w:sz="0" w:space="0" w:color="auto"/>
        <w:left w:val="none" w:sz="0" w:space="0" w:color="auto"/>
        <w:bottom w:val="none" w:sz="0" w:space="0" w:color="auto"/>
        <w:right w:val="none" w:sz="0" w:space="0" w:color="auto"/>
      </w:divBdr>
    </w:div>
    <w:div w:id="198943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10.xml"/><Relationship Id="rId68" Type="http://schemas.openxmlformats.org/officeDocument/2006/relationships/image" Target="media/image43.emf"/><Relationship Id="rId84" Type="http://schemas.openxmlformats.org/officeDocument/2006/relationships/header" Target="header18.xml"/><Relationship Id="rId89" Type="http://schemas.openxmlformats.org/officeDocument/2006/relationships/image" Target="media/image53.emf"/><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footer" Target="footer4.xml"/><Relationship Id="rId58" Type="http://schemas.openxmlformats.org/officeDocument/2006/relationships/footer" Target="footer5.xml"/><Relationship Id="rId74" Type="http://schemas.openxmlformats.org/officeDocument/2006/relationships/header" Target="header15.xml"/><Relationship Id="rId79" Type="http://schemas.openxmlformats.org/officeDocument/2006/relationships/image" Target="media/image50.emf"/><Relationship Id="rId102"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hyperlink" Target="mailto:petr.sanda@homolka.cz" TargetMode="External"/><Relationship Id="rId22" Type="http://schemas.openxmlformats.org/officeDocument/2006/relationships/header" Target="header2.xml"/><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eader" Target="header11.xml"/><Relationship Id="rId69" Type="http://schemas.openxmlformats.org/officeDocument/2006/relationships/image" Target="media/image44.emf"/><Relationship Id="rId80" Type="http://schemas.openxmlformats.org/officeDocument/2006/relationships/image" Target="media/image51.emf"/><Relationship Id="rId85" Type="http://schemas.openxmlformats.org/officeDocument/2006/relationships/header" Target="header19.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eader" Target="header9.xml"/><Relationship Id="rId103" Type="http://schemas.openxmlformats.org/officeDocument/2006/relationships/header" Target="header24.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header" Target="header6.xml"/><Relationship Id="rId62" Type="http://schemas.openxmlformats.org/officeDocument/2006/relationships/image" Target="media/image41.emf"/><Relationship Id="rId70" Type="http://schemas.openxmlformats.org/officeDocument/2006/relationships/image" Target="media/image45.emf"/><Relationship Id="rId75" Type="http://schemas.openxmlformats.org/officeDocument/2006/relationships/image" Target="media/image46.emf"/><Relationship Id="rId83" Type="http://schemas.openxmlformats.org/officeDocument/2006/relationships/footer" Target="footer8.xml"/><Relationship Id="rId88" Type="http://schemas.openxmlformats.org/officeDocument/2006/relationships/image" Target="media/image52.emf"/><Relationship Id="rId91" Type="http://schemas.openxmlformats.org/officeDocument/2006/relationships/image" Target="media/image55.emf"/><Relationship Id="rId96" Type="http://schemas.openxmlformats.org/officeDocument/2006/relationships/hyperlink" Target="mailto:daniel.zacek@enesa.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8.xm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5.xml"/><Relationship Id="rId60" Type="http://schemas.openxmlformats.org/officeDocument/2006/relationships/image" Target="media/image39.emf"/><Relationship Id="rId65" Type="http://schemas.openxmlformats.org/officeDocument/2006/relationships/footer" Target="footer6.xml"/><Relationship Id="rId73" Type="http://schemas.openxmlformats.org/officeDocument/2006/relationships/footer" Target="footer7.xml"/><Relationship Id="rId78" Type="http://schemas.openxmlformats.org/officeDocument/2006/relationships/image" Target="media/image49.emf"/><Relationship Id="rId81" Type="http://schemas.openxmlformats.org/officeDocument/2006/relationships/header" Target="header16.xml"/><Relationship Id="rId86" Type="http://schemas.openxmlformats.org/officeDocument/2006/relationships/header" Target="header20.xml"/><Relationship Id="rId94" Type="http://schemas.openxmlformats.org/officeDocument/2006/relationships/hyperlink" Target="mailto:petr.poloucek@homolka.cz" TargetMode="External"/><Relationship Id="rId99" Type="http://schemas.openxmlformats.org/officeDocument/2006/relationships/image" Target="media/image57.emf"/><Relationship Id="rId10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38.png"/><Relationship Id="rId76" Type="http://schemas.openxmlformats.org/officeDocument/2006/relationships/image" Target="media/image47.emf"/><Relationship Id="rId97" Type="http://schemas.openxmlformats.org/officeDocument/2006/relationships/hyperlink" Target="mailto:spotreby@enesa.cz" TargetMode="External"/><Relationship Id="rId104"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yperlink" Target="http://www.opzp.cz"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eader" Target="header12.xml"/><Relationship Id="rId87" Type="http://schemas.openxmlformats.org/officeDocument/2006/relationships/header" Target="header21.xml"/><Relationship Id="rId61" Type="http://schemas.openxmlformats.org/officeDocument/2006/relationships/image" Target="media/image40.emf"/><Relationship Id="rId82" Type="http://schemas.openxmlformats.org/officeDocument/2006/relationships/header" Target="header17.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eader" Target="header7.xml"/><Relationship Id="rId77" Type="http://schemas.openxmlformats.org/officeDocument/2006/relationships/image" Target="media/image48.emf"/><Relationship Id="rId100" Type="http://schemas.openxmlformats.org/officeDocument/2006/relationships/header" Target="header22.xml"/><Relationship Id="rId105" Type="http://schemas.openxmlformats.org/officeDocument/2006/relationships/image" Target="media/image59.emf"/><Relationship Id="rId8" Type="http://schemas.openxmlformats.org/officeDocument/2006/relationships/hyperlink" Target="http://www.evo-world.org" TargetMode="External"/><Relationship Id="rId51" Type="http://schemas.openxmlformats.org/officeDocument/2006/relationships/header" Target="header4.xml"/><Relationship Id="rId72" Type="http://schemas.openxmlformats.org/officeDocument/2006/relationships/header" Target="header14.xml"/><Relationship Id="rId93" Type="http://schemas.openxmlformats.org/officeDocument/2006/relationships/image" Target="media/image56.emf"/><Relationship Id="rId98" Type="http://schemas.openxmlformats.org/officeDocument/2006/relationships/hyperlink" Target="mailto:dispecink@enesa.cz,"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33.png"/><Relationship Id="rId67" Type="http://schemas.openxmlformats.org/officeDocument/2006/relationships/image" Target="media/image42.emf"/></Relationships>
</file>

<file path=word/_rels/header11.xml.rels><?xml version="1.0" encoding="UTF-8" standalone="yes"?>
<Relationships xmlns="http://schemas.openxmlformats.org/package/2006/relationships"><Relationship Id="rId1" Type="http://schemas.openxmlformats.org/officeDocument/2006/relationships/image" Target="media/image13.JPG"/></Relationships>
</file>

<file path=word/_rels/header14.xml.rels><?xml version="1.0" encoding="UTF-8" standalone="yes"?>
<Relationships xmlns="http://schemas.openxmlformats.org/package/2006/relationships"><Relationship Id="rId1" Type="http://schemas.openxmlformats.org/officeDocument/2006/relationships/image" Target="media/image13.JPG"/></Relationships>
</file>

<file path=word/_rels/header17.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20.xml.rels><?xml version="1.0" encoding="UTF-8" standalone="yes"?>
<Relationships xmlns="http://schemas.openxmlformats.org/package/2006/relationships"><Relationship Id="rId1" Type="http://schemas.openxmlformats.org/officeDocument/2006/relationships/image" Target="media/image13.JPG"/></Relationships>
</file>

<file path=word/_rels/header23.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3.JP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3755F-5E74-4420-A758-D10A9DED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66</Pages>
  <Words>8322</Words>
  <Characters>47436</Characters>
  <Application>Microsoft Office Word</Application>
  <DocSecurity>0</DocSecurity>
  <Lines>395</Lines>
  <Paragraphs>111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Přílohy ke smlouvě o poskytování energetických služeb se zaručeným výsledkem</vt:lpstr>
      <vt:lpstr>Přílohy ke smlouvě o poskytování energetických služeb se zaručeným výsledkem</vt:lpstr>
    </vt:vector>
  </TitlesOfParts>
  <Company>Enviros s.r.o.</Company>
  <LinksUpToDate>false</LinksUpToDate>
  <CharactersWithSpaces>55647</CharactersWithSpaces>
  <SharedDoc>false</SharedDoc>
  <HLinks>
    <vt:vector size="66" baseType="variant">
      <vt:variant>
        <vt:i4>4718676</vt:i4>
      </vt:variant>
      <vt:variant>
        <vt:i4>72</vt:i4>
      </vt:variant>
      <vt:variant>
        <vt:i4>0</vt:i4>
      </vt:variant>
      <vt:variant>
        <vt:i4>5</vt:i4>
      </vt:variant>
      <vt:variant>
        <vt:lpwstr>http://www.evo-world.org/</vt:lpwstr>
      </vt:variant>
      <vt:variant>
        <vt:lpwstr/>
      </vt:variant>
      <vt:variant>
        <vt:i4>4718676</vt:i4>
      </vt:variant>
      <vt:variant>
        <vt:i4>57</vt:i4>
      </vt:variant>
      <vt:variant>
        <vt:i4>0</vt:i4>
      </vt:variant>
      <vt:variant>
        <vt:i4>5</vt:i4>
      </vt:variant>
      <vt:variant>
        <vt:lpwstr>http://www.evo-world.org/</vt:lpwstr>
      </vt:variant>
      <vt:variant>
        <vt:lpwstr/>
      </vt:variant>
      <vt:variant>
        <vt:i4>1507376</vt:i4>
      </vt:variant>
      <vt:variant>
        <vt:i4>50</vt:i4>
      </vt:variant>
      <vt:variant>
        <vt:i4>0</vt:i4>
      </vt:variant>
      <vt:variant>
        <vt:i4>5</vt:i4>
      </vt:variant>
      <vt:variant>
        <vt:lpwstr/>
      </vt:variant>
      <vt:variant>
        <vt:lpwstr>_Toc341474546</vt:lpwstr>
      </vt:variant>
      <vt:variant>
        <vt:i4>1507376</vt:i4>
      </vt:variant>
      <vt:variant>
        <vt:i4>44</vt:i4>
      </vt:variant>
      <vt:variant>
        <vt:i4>0</vt:i4>
      </vt:variant>
      <vt:variant>
        <vt:i4>5</vt:i4>
      </vt:variant>
      <vt:variant>
        <vt:lpwstr/>
      </vt:variant>
      <vt:variant>
        <vt:lpwstr>_Toc341474545</vt:lpwstr>
      </vt:variant>
      <vt:variant>
        <vt:i4>1507376</vt:i4>
      </vt:variant>
      <vt:variant>
        <vt:i4>38</vt:i4>
      </vt:variant>
      <vt:variant>
        <vt:i4>0</vt:i4>
      </vt:variant>
      <vt:variant>
        <vt:i4>5</vt:i4>
      </vt:variant>
      <vt:variant>
        <vt:lpwstr/>
      </vt:variant>
      <vt:variant>
        <vt:lpwstr>_Toc341474544</vt:lpwstr>
      </vt:variant>
      <vt:variant>
        <vt:i4>1507376</vt:i4>
      </vt:variant>
      <vt:variant>
        <vt:i4>32</vt:i4>
      </vt:variant>
      <vt:variant>
        <vt:i4>0</vt:i4>
      </vt:variant>
      <vt:variant>
        <vt:i4>5</vt:i4>
      </vt:variant>
      <vt:variant>
        <vt:lpwstr/>
      </vt:variant>
      <vt:variant>
        <vt:lpwstr>_Toc341474543</vt:lpwstr>
      </vt:variant>
      <vt:variant>
        <vt:i4>1507376</vt:i4>
      </vt:variant>
      <vt:variant>
        <vt:i4>26</vt:i4>
      </vt:variant>
      <vt:variant>
        <vt:i4>0</vt:i4>
      </vt:variant>
      <vt:variant>
        <vt:i4>5</vt:i4>
      </vt:variant>
      <vt:variant>
        <vt:lpwstr/>
      </vt:variant>
      <vt:variant>
        <vt:lpwstr>_Toc341474542</vt:lpwstr>
      </vt:variant>
      <vt:variant>
        <vt:i4>1507376</vt:i4>
      </vt:variant>
      <vt:variant>
        <vt:i4>20</vt:i4>
      </vt:variant>
      <vt:variant>
        <vt:i4>0</vt:i4>
      </vt:variant>
      <vt:variant>
        <vt:i4>5</vt:i4>
      </vt:variant>
      <vt:variant>
        <vt:lpwstr/>
      </vt:variant>
      <vt:variant>
        <vt:lpwstr>_Toc341474541</vt:lpwstr>
      </vt:variant>
      <vt:variant>
        <vt:i4>1507376</vt:i4>
      </vt:variant>
      <vt:variant>
        <vt:i4>14</vt:i4>
      </vt:variant>
      <vt:variant>
        <vt:i4>0</vt:i4>
      </vt:variant>
      <vt:variant>
        <vt:i4>5</vt:i4>
      </vt:variant>
      <vt:variant>
        <vt:lpwstr/>
      </vt:variant>
      <vt:variant>
        <vt:lpwstr>_Toc341474540</vt:lpwstr>
      </vt:variant>
      <vt:variant>
        <vt:i4>1048624</vt:i4>
      </vt:variant>
      <vt:variant>
        <vt:i4>8</vt:i4>
      </vt:variant>
      <vt:variant>
        <vt:i4>0</vt:i4>
      </vt:variant>
      <vt:variant>
        <vt:i4>5</vt:i4>
      </vt:variant>
      <vt:variant>
        <vt:lpwstr/>
      </vt:variant>
      <vt:variant>
        <vt:lpwstr>_Toc341474539</vt:lpwstr>
      </vt:variant>
      <vt:variant>
        <vt:i4>1048624</vt:i4>
      </vt:variant>
      <vt:variant>
        <vt:i4>2</vt:i4>
      </vt:variant>
      <vt:variant>
        <vt:i4>0</vt:i4>
      </vt:variant>
      <vt:variant>
        <vt:i4>5</vt:i4>
      </vt:variant>
      <vt:variant>
        <vt:lpwstr/>
      </vt:variant>
      <vt:variant>
        <vt:lpwstr>_Toc341474538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ke smlouvě o poskytování energetických služeb se zaručeným výsledkem</dc:title>
  <dc:creator>Enviros</dc:creator>
  <cp:lastModifiedBy>Dušan Mach</cp:lastModifiedBy>
  <cp:revision>36</cp:revision>
  <cp:lastPrinted>2018-09-26T07:38:00Z</cp:lastPrinted>
  <dcterms:created xsi:type="dcterms:W3CDTF">2022-04-28T11:23:00Z</dcterms:created>
  <dcterms:modified xsi:type="dcterms:W3CDTF">2022-08-10T12:20:00Z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32,33,8d9,8db,8dc,8dd,8de,8df,8e0,8e4,8e6,8e8,8f1,8f2,8f3,8f4,8f5,8f6,8f7,8f8,8f9,8fa,8fb,8fc,8fd,8fe,8ff,1c1,1c4,1c5,1c7,1c8,1c9,1ca,1cb,1cc,1cd,1ce,1cf</vt:lpwstr>
  </property>
  <property fmtid="{D5CDD505-2E9C-101B-9397-08002B2CF9AE}" pid="3" name="ClassificationContentMarkingHeaderFontProps">
    <vt:lpwstr>#000000,10,Calibri</vt:lpwstr>
  </property>
  <property fmtid="{D5CDD505-2E9C-101B-9397-08002B2CF9AE}" pid="4" name="ClassificationContentMarkingHeaderText">
    <vt:lpwstr>CHRÁNĚNÉ</vt:lpwstr>
  </property>
  <property fmtid="{D5CDD505-2E9C-101B-9397-08002B2CF9AE}" pid="5" name="MSIP_Label_013ae33e-f19d-4bbf-9291-c1553fd567b7_Enabled">
    <vt:lpwstr>true</vt:lpwstr>
  </property>
  <property fmtid="{D5CDD505-2E9C-101B-9397-08002B2CF9AE}" pid="6" name="MSIP_Label_013ae33e-f19d-4bbf-9291-c1553fd567b7_SetDate">
    <vt:lpwstr>2022-05-02T06:55:04Z</vt:lpwstr>
  </property>
  <property fmtid="{D5CDD505-2E9C-101B-9397-08002B2CF9AE}" pid="7" name="MSIP_Label_013ae33e-f19d-4bbf-9291-c1553fd567b7_Method">
    <vt:lpwstr>Privileged</vt:lpwstr>
  </property>
  <property fmtid="{D5CDD505-2E9C-101B-9397-08002B2CF9AE}" pid="8" name="MSIP_Label_013ae33e-f19d-4bbf-9291-c1553fd567b7_Name">
    <vt:lpwstr>Chráněné</vt:lpwstr>
  </property>
  <property fmtid="{D5CDD505-2E9C-101B-9397-08002B2CF9AE}" pid="9" name="MSIP_Label_013ae33e-f19d-4bbf-9291-c1553fd567b7_SiteId">
    <vt:lpwstr>65afc824-f110-42ab-8a83-247c89d0eed8</vt:lpwstr>
  </property>
  <property fmtid="{D5CDD505-2E9C-101B-9397-08002B2CF9AE}" pid="10" name="MSIP_Label_013ae33e-f19d-4bbf-9291-c1553fd567b7_ActionId">
    <vt:lpwstr>ea33f48f-8894-432c-a694-750e25e0a139</vt:lpwstr>
  </property>
  <property fmtid="{D5CDD505-2E9C-101B-9397-08002B2CF9AE}" pid="11" name="MSIP_Label_013ae33e-f19d-4bbf-9291-c1553fd567b7_ContentBits">
    <vt:lpwstr>1</vt:lpwstr>
  </property>
</Properties>
</file>