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67488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1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79999pt;margin-top:41.929981pt;width:104.95pt;height:29.65pt;mso-position-horizontal-relative:page;mso-position-vertical-relative:page;z-index:-16148480" type="#_x0000_t202" id="docshape1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147968" type="#_x0000_t202" id="docshape2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399994pt;margin-top:83.509979pt;width:184.55pt;height:33.2pt;mso-position-horizontal-relative:page;mso-position-vertical-relative:page;z-index:-16147456" type="#_x0000_t202" id="docshape3" filled="false" stroked="false">
            <v:textbox inset="0,0,0,0">
              <w:txbxContent>
                <w:p>
                  <w:pPr>
                    <w:spacing w:line="290" w:lineRule="exact" w:before="0"/>
                    <w:ind w:left="38" w:right="38" w:firstLine="0"/>
                    <w:jc w:val="center"/>
                    <w:rPr>
                      <w:b/>
                      <w:sz w:val="28"/>
                    </w:rPr>
                  </w:pPr>
                  <w:bookmarkStart w:name="Všeobecné obchodní podmínky" w:id="1"/>
                  <w:bookmarkEnd w:id="1"/>
                  <w:r>
                    <w:rPr/>
                  </w:r>
                  <w:r>
                    <w:rPr>
                      <w:b/>
                      <w:w w:val="85"/>
                      <w:sz w:val="28"/>
                    </w:rPr>
                    <w:t>Všeobecné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obchodní</w:t>
                  </w:r>
                  <w:r>
                    <w:rPr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8"/>
                    </w:rPr>
                    <w:t>podmínky</w:t>
                  </w:r>
                </w:p>
                <w:p>
                  <w:pPr>
                    <w:spacing w:before="21"/>
                    <w:ind w:left="37" w:right="38" w:firstLine="0"/>
                    <w:jc w:val="center"/>
                    <w:rPr>
                      <w:b/>
                      <w:sz w:val="28"/>
                    </w:rPr>
                  </w:pPr>
                  <w:bookmarkStart w:name="Nemocnice Na Homolce" w:id="2"/>
                  <w:bookmarkEnd w:id="2"/>
                  <w:r>
                    <w:rPr/>
                  </w:r>
                  <w:r>
                    <w:rPr>
                      <w:b/>
                      <w:w w:val="85"/>
                      <w:sz w:val="28"/>
                    </w:rPr>
                    <w:t>Nemocnice</w:t>
                  </w:r>
                  <w:r>
                    <w:rPr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Na</w:t>
                  </w:r>
                  <w:r>
                    <w:rPr>
                      <w:b/>
                      <w:spacing w:val="5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8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997pt;margin-top:136.519989pt;width:471.8pt;height:211.65pt;mso-position-horizontal-relative:page;mso-position-vertical-relative:page;z-index:-16146944" type="#_x0000_t202" id="docshape4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707" w:val="left" w:leader="none"/>
                    </w:tabs>
                    <w:spacing w:line="232" w:lineRule="exact" w:before="0"/>
                    <w:ind w:left="3706" w:right="0" w:hanging="179"/>
                    <w:jc w:val="left"/>
                    <w:rPr>
                      <w:b/>
                      <w:sz w:val="22"/>
                    </w:rPr>
                  </w:pPr>
                  <w:bookmarkStart w:name="I. Základní ustanovení" w:id="3"/>
                  <w:bookmarkEnd w:id="3"/>
                  <w:r>
                    <w:rPr>
                      <w:b/>
                      <w:w w:val="85"/>
                      <w:sz w:val="22"/>
                    </w:rPr>
                    <w:t>Z</w:t>
                  </w:r>
                  <w:r>
                    <w:rPr>
                      <w:b/>
                      <w:w w:val="85"/>
                      <w:sz w:val="22"/>
                    </w:rPr>
                    <w:t>ákladní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22"/>
                    </w:rPr>
                    <w:t>ustanovení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0"/>
                    </w:rPr>
                    <w:t>Tyto Všeobecné obchodní podmínky sepsané v souladu s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ustanovením § 1751 a násl. zákona č.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89/2012 Sb.,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občanský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zákoník,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znění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pozdějších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předpisů,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jsou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součástí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všech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smluv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NNH,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jejichž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jsou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přílohou. </w:t>
                  </w:r>
                  <w:r>
                    <w:rPr/>
                    <w:t>Smluvní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strany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těchto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smluv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bezvýhradně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akceptují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ustanovení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těchto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Všeobecných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obchodních </w:t>
                  </w:r>
                  <w:r>
                    <w:rPr>
                      <w:w w:val="95"/>
                    </w:rPr>
                    <w:t>podmínek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uzavírají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tím,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ustanovení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smlouvy,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která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odchylují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od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těchto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Všeobecných obchodních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podmínek,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mají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Všeobecnými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obchodními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podmínkami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přednost.</w:t>
                  </w:r>
                </w:p>
                <w:p>
                  <w:pPr>
                    <w:pStyle w:val="BodyText"/>
                    <w:spacing w:line="254" w:lineRule="auto" w:before="120"/>
                    <w:ind w:right="17"/>
                    <w:jc w:val="both"/>
                  </w:pPr>
                  <w:r>
                    <w:rPr/>
                    <w:t>Nemocnice Na Homolce je státní příspěvková organizace v přímé řídící působnosti Ministerstva </w:t>
                  </w:r>
                  <w:r>
                    <w:rPr>
                      <w:w w:val="95"/>
                    </w:rPr>
                    <w:t>zdravotnictví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České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republiky,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zřízená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rozhodnutím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ministra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zdravotnictví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dne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25.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11.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1990,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čj.: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OP- </w:t>
                  </w:r>
                  <w:r>
                    <w:rPr>
                      <w:w w:val="90"/>
                    </w:rPr>
                    <w:t>054.25.11.90, ve znění změn provedených Opatřením Ministerstva zdravotnictví vydaného pod čj.: MZDR 2610/2020-2/OPR ze dne 4. 5. 2020. Nemocnice Na Homolce je příslušná hospodařit s majetkem, který jí </w:t>
                  </w:r>
                  <w:r>
                    <w:rPr/>
                    <w:t>byl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svěřen.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84" w:val="left" w:leader="none"/>
                    </w:tabs>
                    <w:spacing w:before="124"/>
                    <w:ind w:left="3583" w:right="0" w:hanging="238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w w:val="85"/>
                      <w:sz w:val="22"/>
                    </w:rPr>
                    <w:t>Výklad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pojmů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a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zkratek</w:t>
                  </w:r>
                </w:p>
                <w:p>
                  <w:pPr>
                    <w:pStyle w:val="BodyText"/>
                    <w:spacing w:line="240" w:lineRule="auto" w:before="135"/>
                    <w:jc w:val="both"/>
                  </w:pPr>
                  <w:bookmarkStart w:name="1. Z důvodu standardizace označení smluv" w:id="4"/>
                  <w:bookmarkEnd w:id="4"/>
                  <w:r>
                    <w:rPr/>
                  </w:r>
                  <w:r>
                    <w:rPr>
                      <w:w w:val="95"/>
                    </w:rPr>
                    <w:t>Z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důvodu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w w:val="95"/>
                    </w:rPr>
                    <w:t>standardizace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w w:val="95"/>
                    </w:rPr>
                    <w:t>označení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w w:val="95"/>
                    </w:rPr>
                    <w:t>smluvních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w w:val="95"/>
                    </w:rPr>
                    <w:t>stran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w w:val="95"/>
                    </w:rPr>
                    <w:t>dalších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w w:val="95"/>
                    </w:rPr>
                    <w:t>pojmů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w w:val="95"/>
                    </w:rPr>
                    <w:t>budou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těchto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Všeobecných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obchodních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podmínkách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používány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pojmy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dále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uvedenými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významy: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55.959976pt;width:10.45pt;height:13.05pt;mso-position-horizontal-relative:page;mso-position-vertical-relative:page;z-index:-16146432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29.039978pt;width:10.45pt;height:13.05pt;mso-position-horizontal-relative:page;mso-position-vertical-relative:page;z-index:-16145920" type="#_x0000_t202" id="docshape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321.679993pt;width:10.45pt;height:13.05pt;mso-position-horizontal-relative:page;mso-position-vertical-relative:page;z-index:-16145408" type="#_x0000_t202" id="docshape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352.220673pt;width:8.0500pt;height:29.6pt;mso-position-horizontal-relative:page;mso-position-vertical-relative:page;z-index:-16144896" type="#_x0000_t202" id="docshape8" filled="false" stroked="false">
            <v:textbox inset="0,0,0,0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22"/>
                    </w:rPr>
                  </w:pPr>
                  <w:bookmarkStart w:name=" NNH - Nemocnice Na Homolce," w:id="5"/>
                  <w:bookmarkEnd w:id="5"/>
                  <w:r>
                    <w:rPr/>
                  </w:r>
                  <w:r>
                    <w:rPr>
                      <w:w w:val="94"/>
                      <w:sz w:val="22"/>
                    </w:rPr>
                    <w:t>−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sz w:val="22"/>
                    </w:rPr>
                  </w:pPr>
                  <w:bookmarkStart w:name=" dodavatel - druhá smluvní strana, bez " w:id="6"/>
                  <w:bookmarkEnd w:id="6"/>
                  <w:r>
                    <w:rPr/>
                  </w:r>
                  <w:r>
                    <w:rPr>
                      <w:w w:val="94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71843pt;margin-top:355.039978pt;width:454.3pt;height:122.85pt;mso-position-horizontal-relative:page;mso-position-vertical-relative:page;z-index:-16144384" type="#_x0000_t202" id="docshape9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b/>
                      <w:w w:val="90"/>
                    </w:rPr>
                    <w:t>NNH</w:t>
                  </w:r>
                  <w:r>
                    <w:rPr>
                      <w:b/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-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Nemocnice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Homolce,</w:t>
                  </w:r>
                </w:p>
                <w:p>
                  <w:pPr>
                    <w:pStyle w:val="BodyText"/>
                    <w:spacing w:line="254" w:lineRule="auto" w:before="28"/>
                    <w:ind w:right="17" w:hanging="1"/>
                    <w:jc w:val="both"/>
                  </w:pPr>
                  <w:r>
                    <w:rPr>
                      <w:b/>
                      <w:w w:val="90"/>
                    </w:rPr>
                    <w:t>dodavatel </w:t>
                  </w:r>
                  <w:r>
                    <w:rPr>
                      <w:w w:val="90"/>
                    </w:rPr>
                    <w:t>- druhá smluvní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strana, bez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ohledu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odlišné označení smluvních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 ve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smlouvě.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Pokud vystupuje ve smlouvě více smluvních stran, vztahují se výše uvedená označení na jednotlivé všechny </w:t>
                  </w:r>
                  <w:bookmarkStart w:name=" VOP - Všeobecné obchodní podmínky NNH," w:id="7"/>
                  <w:bookmarkEnd w:id="7"/>
                  <w:r>
                    <w:rPr>
                      <w:w w:val="95"/>
                    </w:rPr>
                    <w:t>s</w:t>
                  </w:r>
                  <w:r>
                    <w:rPr>
                      <w:w w:val="95"/>
                    </w:rPr>
                    <w:t>mluvní strany odlišné od NNH obdobně,</w:t>
                  </w:r>
                </w:p>
                <w:p>
                  <w:pPr>
                    <w:pStyle w:val="BodyText"/>
                    <w:spacing w:line="240" w:lineRule="auto" w:before="13"/>
                    <w:jc w:val="both"/>
                  </w:pPr>
                  <w:bookmarkStart w:name=" smlouva - smlouva včetně jejích případ" w:id="8"/>
                  <w:bookmarkEnd w:id="8"/>
                  <w:r>
                    <w:rPr/>
                  </w:r>
                  <w:r>
                    <w:rPr>
                      <w:b/>
                      <w:w w:val="90"/>
                    </w:rPr>
                    <w:t>VOP</w:t>
                  </w:r>
                  <w:r>
                    <w:rPr>
                      <w:b/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-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Všeobecné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obchodní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podmínky</w:t>
                  </w:r>
                  <w:r>
                    <w:rPr>
                      <w:spacing w:val="-4"/>
                      <w:w w:val="90"/>
                    </w:rPr>
                    <w:t> NNH,</w:t>
                  </w:r>
                </w:p>
                <w:p>
                  <w:pPr>
                    <w:pStyle w:val="BodyText"/>
                    <w:spacing w:line="254" w:lineRule="auto" w:before="26"/>
                    <w:ind w:right="19" w:hanging="1"/>
                    <w:jc w:val="both"/>
                  </w:pPr>
                  <w:r>
                    <w:rPr>
                      <w:b/>
                      <w:w w:val="90"/>
                    </w:rPr>
                    <w:t>smlouva</w:t>
                  </w:r>
                  <w:r>
                    <w:rPr>
                      <w:b/>
                      <w:spacing w:val="-1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-</w:t>
                  </w:r>
                  <w:r>
                    <w:rPr>
                      <w:b/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smlouva včetně jejích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případných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dodatků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příloh, kde smluvní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stranou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je NNH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a kde VOP </w:t>
                  </w:r>
                  <w:r>
                    <w:rPr/>
                    <w:t>takovou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smlouvu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doplňují,</w:t>
                  </w:r>
                </w:p>
                <w:p>
                  <w:pPr>
                    <w:pStyle w:val="BodyText"/>
                    <w:spacing w:line="254" w:lineRule="auto" w:before="13"/>
                    <w:ind w:right="19" w:hanging="1"/>
                    <w:jc w:val="both"/>
                  </w:pPr>
                  <w:bookmarkStart w:name=" objednávka - poptávka po dodávce nebo " w:id="9"/>
                  <w:bookmarkEnd w:id="9"/>
                  <w:r>
                    <w:rPr/>
                  </w:r>
                  <w:r>
                    <w:rPr>
                      <w:b/>
                      <w:spacing w:val="-2"/>
                    </w:rPr>
                    <w:t>objednávka</w:t>
                  </w:r>
                  <w:r>
                    <w:rPr>
                      <w:b/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poptávka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po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dodávce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nebo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službě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pro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jednorázové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účely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menšího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rozsahu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nebo </w:t>
                  </w:r>
                  <w:r>
                    <w:rPr>
                      <w:w w:val="95"/>
                    </w:rPr>
                    <w:t>naplňování rámcových smluv.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407.180695pt;width:8.0500pt;height:29.45pt;mso-position-horizontal-relative:page;mso-position-vertical-relative:page;z-index:-16143872" type="#_x0000_t202" id="docshape10" filled="false" stroked="false">
            <v:textbox inset="0,0,0,0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4"/>
                      <w:sz w:val="22"/>
                    </w:rPr>
                    <w:t>−</w:t>
                  </w:r>
                </w:p>
                <w:p>
                  <w:pPr>
                    <w:spacing w:before="26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4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448.580688pt;width:8.0500pt;height:15.55pt;mso-position-horizontal-relative:page;mso-position-vertical-relative:page;z-index:-16143360" type="#_x0000_t202" id="docshape11" filled="false" stroked="false">
            <v:textbox inset="0,0,0,0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4"/>
                      <w:sz w:val="22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484.279968pt;width:10.45pt;height:13.05pt;mso-position-horizontal-relative:page;mso-position-vertical-relative:page;z-index:-16142848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bookmarkStart w:name="2. V těchto VOP jsou dále užívány násled" w:id="10"/>
                  <w:bookmarkEnd w:id="10"/>
                  <w:r>
                    <w:rPr/>
                  </w: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86238pt;margin-top:484.279968pt;width:354pt;height:13.05pt;mso-position-horizontal-relative:page;mso-position-vertical-relative:page;z-index:-16142336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w w:val="90"/>
                    </w:rPr>
                    <w:t>V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těchto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VOP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jsou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dále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užívány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následující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zkratky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odkazy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právní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předpisy</w:t>
                  </w:r>
                  <w:r>
                    <w:rPr>
                      <w:i/>
                      <w:spacing w:val="-2"/>
                      <w:w w:val="9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503.719971pt;width:11.1pt;height:26.5pt;mso-position-horizontal-relative:page;mso-position-vertical-relative:page;z-index:-16141824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bookmarkStart w:name="a) zákon č. 134/2016 Sb., o zadávání veř" w:id="11"/>
                  <w:bookmarkEnd w:id="11"/>
                  <w:r>
                    <w:rPr/>
                  </w:r>
                  <w:r>
                    <w:rPr>
                      <w:spacing w:val="-5"/>
                    </w:rPr>
                    <w:t>a)</w:t>
                  </w:r>
                </w:p>
                <w:p>
                  <w:pPr>
                    <w:pStyle w:val="BodyText"/>
                    <w:spacing w:line="240" w:lineRule="auto" w:before="16"/>
                  </w:pPr>
                  <w:bookmarkStart w:name="b) zákon č. 340/2015 Sb., o zvláštních p" w:id="12"/>
                  <w:bookmarkEnd w:id="12"/>
                  <w:r>
                    <w:rPr/>
                  </w:r>
                  <w:r>
                    <w:rPr>
                      <w:spacing w:val="-5"/>
                    </w:rPr>
                    <w:t>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71843pt;margin-top:503.719971pt;width:454.3pt;height:180.2pt;mso-position-horizontal-relative:page;mso-position-vertical-relative:page;z-index:-16141312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  <w:w w:val="90"/>
                    </w:rPr>
                    <w:t>zákon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č.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134/2016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Sb.,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zadávání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veřejných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zakázek,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znění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pozdějších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předpisů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(dále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jen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„</w:t>
                  </w:r>
                  <w:r>
                    <w:rPr>
                      <w:b/>
                      <w:spacing w:val="-2"/>
                      <w:w w:val="90"/>
                    </w:rPr>
                    <w:t>ZZVZ</w:t>
                  </w:r>
                  <w:r>
                    <w:rPr>
                      <w:spacing w:val="-2"/>
                      <w:w w:val="90"/>
                    </w:rPr>
                    <w:t>“),</w:t>
                  </w:r>
                </w:p>
                <w:p>
                  <w:pPr>
                    <w:pStyle w:val="BodyText"/>
                    <w:spacing w:line="252" w:lineRule="auto" w:before="16"/>
                  </w:pPr>
                  <w:r>
                    <w:rPr>
                      <w:w w:val="90"/>
                    </w:rPr>
                    <w:t>zákon č. 340/2015 Sb.,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 zvláštních podmínkách účinnosti některých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smluv, uveřejňování těchto smluv a o registru smluv, ve znění pozdějších předpisů (dále jen „</w:t>
                  </w:r>
                  <w:r>
                    <w:rPr>
                      <w:b/>
                      <w:w w:val="90"/>
                    </w:rPr>
                    <w:t>zákon o registru smluv</w:t>
                  </w:r>
                  <w:r>
                    <w:rPr>
                      <w:w w:val="90"/>
                    </w:rPr>
                    <w:t>“),</w:t>
                  </w:r>
                </w:p>
                <w:p>
                  <w:pPr>
                    <w:pStyle w:val="BodyText"/>
                    <w:spacing w:line="254" w:lineRule="auto" w:before="3"/>
                  </w:pPr>
                  <w:bookmarkStart w:name="c) zákon č. 89/2012 Sb., občanský zákoní" w:id="13"/>
                  <w:bookmarkEnd w:id="13"/>
                  <w:r>
                    <w:rPr/>
                  </w:r>
                  <w:bookmarkStart w:name="d) zákon č. 99/1963 Sb., občanský soudní" w:id="14"/>
                  <w:bookmarkEnd w:id="14"/>
                  <w:r>
                    <w:rPr/>
                  </w:r>
                  <w:r>
                    <w:rPr>
                      <w:w w:val="90"/>
                    </w:rPr>
                    <w:t>zákon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č.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89/2012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Sb.,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občanský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zákoník,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znění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pozdějších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předpisů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(dále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jen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„</w:t>
                  </w:r>
                  <w:r>
                    <w:rPr>
                      <w:b/>
                      <w:w w:val="90"/>
                    </w:rPr>
                    <w:t>občanský</w:t>
                  </w:r>
                  <w:r>
                    <w:rPr>
                      <w:b/>
                      <w:spacing w:val="-9"/>
                      <w:w w:val="90"/>
                    </w:rPr>
                    <w:t> </w:t>
                  </w:r>
                  <w:r>
                    <w:rPr>
                      <w:b/>
                      <w:w w:val="90"/>
                    </w:rPr>
                    <w:t>zákoník</w:t>
                  </w:r>
                  <w:r>
                    <w:rPr>
                      <w:w w:val="90"/>
                    </w:rPr>
                    <w:t>“), zákon č. 99/1963 Sb., občanský soudní řád, ve znění pozdějších předpisů (dále jen „</w:t>
                  </w:r>
                  <w:r>
                    <w:rPr>
                      <w:b/>
                      <w:w w:val="90"/>
                    </w:rPr>
                    <w:t>o.s.ř.</w:t>
                  </w:r>
                  <w:r>
                    <w:rPr>
                      <w:w w:val="90"/>
                    </w:rPr>
                    <w:t>“),</w:t>
                  </w:r>
                </w:p>
                <w:p>
                  <w:pPr>
                    <w:pStyle w:val="BodyText"/>
                    <w:spacing w:line="240" w:lineRule="auto" w:before="2"/>
                  </w:pPr>
                  <w:bookmarkStart w:name="e) zákon č. 91/2012 Sb., o mezinárodním " w:id="15"/>
                  <w:bookmarkEnd w:id="15"/>
                  <w:r>
                    <w:rPr/>
                  </w:r>
                  <w:r>
                    <w:rPr>
                      <w:w w:val="95"/>
                    </w:rPr>
                    <w:t>zákon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č.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91/2012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Sb.,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5"/>
                    </w:rPr>
                    <w:t>mezinárodním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právu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soukromém,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znění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pozdějších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5"/>
                    </w:rPr>
                    <w:t>předpisů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(dále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jen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„</w:t>
                  </w:r>
                  <w:r>
                    <w:rPr>
                      <w:b/>
                      <w:spacing w:val="-2"/>
                      <w:sz w:val="22"/>
                    </w:rPr>
                    <w:t>ZMPS</w:t>
                  </w:r>
                  <w:r>
                    <w:rPr>
                      <w:spacing w:val="-2"/>
                      <w:sz w:val="22"/>
                    </w:rPr>
                    <w:t>“),</w:t>
                  </w:r>
                </w:p>
                <w:p>
                  <w:pPr>
                    <w:pStyle w:val="BodyText"/>
                    <w:spacing w:line="254" w:lineRule="auto" w:before="15"/>
                    <w:ind w:right="17"/>
                    <w:jc w:val="both"/>
                  </w:pPr>
                  <w:bookmarkStart w:name="f) nařízení vlády č. 351/2013 Sb., který" w:id="16"/>
                  <w:bookmarkEnd w:id="16"/>
                  <w:r>
                    <w:rPr/>
                  </w:r>
                  <w:r>
                    <w:rPr/>
                    <w:t>nařízení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vlády č. 351/2013 Sb., kterým se určuje výše úroků z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prodlení a nákladů spojených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uplatněním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pohledávky, určuje odměnu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likvidátora, likvidačního správce a člena orgánu právnické </w:t>
                  </w:r>
                  <w:r>
                    <w:rPr>
                      <w:w w:val="90"/>
                    </w:rPr>
                    <w:t>osoby jmenovaného soudem a upravují některých otázky Obchodního věstníku a veřejných rejstříků právnických a fyzických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osob a evidence svěřenských fondů a evidence údajů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o skutečných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majitelích, ve znění pozdějších předpisů (dále jen „</w:t>
                  </w:r>
                  <w:r>
                    <w:rPr>
                      <w:b/>
                      <w:w w:val="90"/>
                    </w:rPr>
                    <w:t>nařízení vlády č. 351/2013 Sb.</w:t>
                  </w:r>
                  <w:r>
                    <w:rPr>
                      <w:w w:val="90"/>
                    </w:rPr>
                    <w:t>“).</w:t>
                  </w:r>
                </w:p>
                <w:p>
                  <w:pPr>
                    <w:spacing w:before="124"/>
                    <w:ind w:left="2316" w:right="0" w:firstLine="0"/>
                    <w:jc w:val="both"/>
                    <w:rPr>
                      <w:b/>
                      <w:sz w:val="22"/>
                    </w:rPr>
                  </w:pPr>
                  <w:bookmarkStart w:name="III. Ustanovení vztahující se ke koupi v" w:id="17"/>
                  <w:bookmarkEnd w:id="17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III.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Ustanovení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vztahující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ke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koupi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4"/>
                      <w:w w:val="85"/>
                      <w:sz w:val="22"/>
                    </w:rPr>
                    <w:t>věci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543.919983pt;width:11.1pt;height:39.950pt;mso-position-horizontal-relative:page;mso-position-vertical-relative:page;z-index:-16140800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w w:val="95"/>
                    </w:rPr>
                    <w:t>c)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5"/>
                    </w:rPr>
                    <w:t>d)</w:t>
                  </w:r>
                </w:p>
                <w:p>
                  <w:pPr>
                    <w:pStyle w:val="BodyText"/>
                    <w:spacing w:line="240" w:lineRule="auto" w:before="15"/>
                  </w:pPr>
                  <w:r>
                    <w:rPr>
                      <w:spacing w:val="-5"/>
                    </w:rPr>
                    <w:t>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597.679993pt;width:8.65pt;height:13.05pt;mso-position-horizontal-relative:page;mso-position-vertical-relative:page;z-index:-16140288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f)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690.200012pt;width:10.45pt;height:13.05pt;mso-position-horizontal-relative:page;mso-position-vertical-relative:page;z-index:-16139776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690.200012pt;width:468.35pt;height:72.8pt;mso-position-horizontal-relative:page;mso-position-vertical-relative:page;z-index:-16139264" type="#_x0000_t202" id="docshape19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5"/>
                    </w:rPr>
                    <w:t>Pokud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5"/>
                    </w:rPr>
                    <w:t>je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5"/>
                    </w:rPr>
                    <w:t>předmětem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95"/>
                    </w:rPr>
                    <w:t>koupě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95"/>
                    </w:rPr>
                    <w:t>věci,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5"/>
                    </w:rPr>
                    <w:t>převodu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5"/>
                    </w:rPr>
                    <w:t>vlastnického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5"/>
                    </w:rPr>
                    <w:t>práva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5"/>
                    </w:rPr>
                    <w:t>věci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95"/>
                    </w:rPr>
                    <w:t>dochází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písemným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protokolárním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90"/>
                    </w:rPr>
                    <w:t>předáním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90"/>
                    </w:rPr>
                    <w:t>věci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NNH.</w:t>
                  </w:r>
                </w:p>
                <w:p>
                  <w:pPr>
                    <w:pStyle w:val="BodyText"/>
                    <w:spacing w:line="254" w:lineRule="auto" w:before="135"/>
                    <w:ind w:right="19"/>
                    <w:jc w:val="both"/>
                  </w:pPr>
                  <w:r>
                    <w:rPr>
                      <w:w w:val="90"/>
                    </w:rPr>
                    <w:t>U koupě věcí provedených na základě objednávky je kupní smlouva uzavřena potvrzením objednávky ze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dodavatele.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Vlastnické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přechází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dodáním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předmětu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koupě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podpisem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dodacího </w:t>
                  </w:r>
                  <w:r>
                    <w:rPr/>
                    <w:t>listu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kontaktní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osobou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NNH.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723.079956pt;width:10.45pt;height:13.05pt;mso-position-horizontal-relative:page;mso-position-vertical-relative:page;z-index:-16138752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138240" type="#_x0000_t202" id="docshape21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137728" type="#_x0000_t202" id="docshape22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3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279999pt;margin-top:41.929981pt;width:104.95pt;height:29.65pt;mso-position-horizontal-relative:page;mso-position-vertical-relative:page;z-index:-16136704" type="#_x0000_t202" id="docshape23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136192" type="#_x0000_t202" id="docshape24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82.879982pt;width:10.45pt;height:13.05pt;mso-position-horizontal-relative:page;mso-position-vertical-relative:page;z-index:-16135680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468.4pt;height:702.7pt;mso-position-horizontal-relative:page;mso-position-vertical-relative:page;z-index:-16135168" type="#_x0000_t202" id="docshape26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0"/>
                    </w:rPr>
                    <w:t>Dodavatel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poskytuje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záruku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za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jakost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smyslu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§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2113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násl.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občanského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zákoníku,</w:t>
                  </w:r>
                  <w:r>
                    <w:rPr/>
                    <w:t> </w:t>
                  </w:r>
                  <w:r>
                    <w:rPr>
                      <w:spacing w:val="-2"/>
                      <w:w w:val="90"/>
                    </w:rPr>
                    <w:t>přičemž</w:t>
                  </w:r>
                </w:p>
                <w:p>
                  <w:pPr>
                    <w:pStyle w:val="BodyText"/>
                    <w:spacing w:line="254" w:lineRule="auto" w:before="16"/>
                    <w:ind w:right="19"/>
                    <w:jc w:val="both"/>
                  </w:pPr>
                  <w:r>
                    <w:rPr>
                      <w:spacing w:val="-2"/>
                      <w:w w:val="95"/>
                    </w:rPr>
                    <w:t>věc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si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musí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záruční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dobu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zachovat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obvyklé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vlastnosti,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které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jsou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vymíněny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kupní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smlouvě.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Záruční </w:t>
                  </w:r>
                  <w:r>
                    <w:rPr>
                      <w:spacing w:val="-2"/>
                    </w:rPr>
                    <w:t>doba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je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zpravidla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sjednána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kupní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smlouvě,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2"/>
                    </w:rPr>
                    <w:t>odchylně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od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těchto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VOP,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přičemž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není-li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kupní </w:t>
                  </w:r>
                  <w:r>
                    <w:rPr>
                      <w:w w:val="95"/>
                    </w:rPr>
                    <w:t>smlouvě</w:t>
                  </w:r>
                  <w:r>
                    <w:rPr>
                      <w:w w:val="95"/>
                    </w:rPr>
                    <w:t> tato</w:t>
                  </w:r>
                  <w:r>
                    <w:rPr>
                      <w:w w:val="95"/>
                    </w:rPr>
                    <w:t> doba</w:t>
                  </w:r>
                  <w:r>
                    <w:rPr>
                      <w:w w:val="95"/>
                    </w:rPr>
                    <w:t> sjednána,</w:t>
                  </w:r>
                  <w:r>
                    <w:rPr>
                      <w:w w:val="95"/>
                    </w:rPr>
                    <w:t> nebo</w:t>
                  </w:r>
                  <w:r>
                    <w:rPr>
                      <w:w w:val="95"/>
                    </w:rPr>
                    <w:t> nenabízí-li</w:t>
                  </w:r>
                  <w:r>
                    <w:rPr>
                      <w:w w:val="95"/>
                    </w:rPr>
                    <w:t> dodavatel</w:t>
                  </w:r>
                  <w:r>
                    <w:rPr>
                      <w:w w:val="95"/>
                    </w:rPr>
                    <w:t> svým</w:t>
                  </w:r>
                  <w:r>
                    <w:rPr>
                      <w:w w:val="95"/>
                    </w:rPr>
                    <w:t> prohlášením</w:t>
                  </w:r>
                  <w:r>
                    <w:rPr>
                      <w:w w:val="95"/>
                    </w:rPr>
                    <w:t> záruku</w:t>
                  </w:r>
                  <w:r>
                    <w:rPr>
                      <w:w w:val="95"/>
                    </w:rPr>
                    <w:t> delší,</w:t>
                  </w:r>
                  <w:r>
                    <w:rPr>
                      <w:w w:val="95"/>
                    </w:rPr>
                    <w:t> poskytuje </w:t>
                  </w:r>
                  <w:r>
                    <w:rPr/>
                    <w:t>dodavatel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tuto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záruku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jakost: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01" w:val="left" w:leader="none"/>
                    </w:tabs>
                    <w:spacing w:line="254" w:lineRule="auto" w:before="120" w:after="0"/>
                    <w:ind w:left="300" w:right="20" w:hanging="281"/>
                    <w:jc w:val="left"/>
                  </w:pPr>
                  <w:r>
                    <w:rPr>
                      <w:w w:val="95"/>
                    </w:rPr>
                    <w:t>u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věcí,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kterých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je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výrobcem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stanovena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doba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použitelnosti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(zejm.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exspirace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léčiv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zdravotnických </w:t>
                  </w:r>
                  <w:r>
                    <w:rPr>
                      <w:spacing w:val="-2"/>
                    </w:rPr>
                    <w:t>prostředků),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po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dobu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této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exspirace,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01" w:val="left" w:leader="none"/>
                    </w:tabs>
                    <w:spacing w:line="254" w:lineRule="auto" w:before="1" w:after="0"/>
                    <w:ind w:left="300" w:right="19" w:hanging="281"/>
                    <w:jc w:val="left"/>
                  </w:pPr>
                  <w:r>
                    <w:rPr>
                      <w:w w:val="90"/>
                    </w:rPr>
                    <w:t>u movitých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věcí,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u nichž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není výrobcem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stanovena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doba použitelnosti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které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nepodléhají rychlé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zkáze, </w:t>
                  </w:r>
                  <w:r>
                    <w:rPr/>
                    <w:t>24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měsíců,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01" w:val="left" w:leader="none"/>
                    </w:tabs>
                    <w:spacing w:line="254" w:lineRule="auto" w:before="1" w:after="0"/>
                    <w:ind w:left="300" w:right="17" w:hanging="281"/>
                    <w:jc w:val="left"/>
                  </w:pPr>
                  <w:r>
                    <w:rPr>
                      <w:w w:val="90"/>
                    </w:rPr>
                    <w:t>u movitých věcí, u nichž není výrobcem stanovena doba použitelnosti a které podléhají rychlé zkáze,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záruka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neposkytuje,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nevyplývá-li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právního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předpisu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nebo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není-li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ujednána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kupní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smlouvě.</w:t>
                  </w:r>
                </w:p>
                <w:p>
                  <w:pPr>
                    <w:pStyle w:val="BodyText"/>
                    <w:spacing w:line="254" w:lineRule="auto" w:before="122"/>
                  </w:pPr>
                  <w:r>
                    <w:rPr>
                      <w:w w:val="95"/>
                    </w:rPr>
                    <w:t>Pokud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je předmětem kupní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hromadně vyráběný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léčivý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přípravek,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požaduje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NNH,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aby doba exspirace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ode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dne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dodání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činila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alespoň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12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měsíců.</w:t>
                  </w:r>
                </w:p>
                <w:p>
                  <w:pPr>
                    <w:spacing w:before="121"/>
                    <w:ind w:left="2672" w:right="0" w:firstLine="0"/>
                    <w:jc w:val="left"/>
                    <w:rPr>
                      <w:b/>
                      <w:sz w:val="22"/>
                    </w:rPr>
                  </w:pPr>
                  <w:bookmarkStart w:name="IV. Doba trvání, změna a zánik smlouvy" w:id="18"/>
                  <w:bookmarkEnd w:id="18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IV.</w:t>
                  </w:r>
                  <w:r>
                    <w:rPr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Doba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trvání,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změna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a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zánik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smlouvy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5"/>
                    </w:rPr>
                    <w:t>Smlouva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sjednává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dobu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určitou,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kdy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doba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trvání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musí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být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vždy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stanovena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smlouvě. </w:t>
                  </w:r>
                  <w:r>
                    <w:rPr>
                      <w:w w:val="90"/>
                    </w:rPr>
                    <w:t>Účinnosti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nabývá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dnem jejího uzavření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smluvními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stranami, nemá-li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nabýt v souladu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 zákonem </w:t>
                  </w:r>
                  <w:r>
                    <w:rPr/>
                    <w:t>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registru smluv účinnosti později. V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takovém případě jsou smluvní strany povinny ve vzájemné </w:t>
                  </w:r>
                  <w:r>
                    <w:rPr>
                      <w:w w:val="90"/>
                    </w:rPr>
                    <w:t>součinnosti jednat tak, aby byly naplněny podmínky zákona o registru smluv a smlouva nabyla účinnosti </w:t>
                  </w:r>
                  <w:r>
                    <w:rPr>
                      <w:w w:val="95"/>
                    </w:rPr>
                    <w:t>bez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zbytečného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odkladu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jejím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uzavření.</w:t>
                  </w:r>
                </w:p>
                <w:p>
                  <w:pPr>
                    <w:pStyle w:val="BodyText"/>
                    <w:spacing w:line="254" w:lineRule="auto" w:before="120"/>
                    <w:ind w:right="18"/>
                    <w:jc w:val="both"/>
                  </w:pPr>
                  <w:r>
                    <w:rPr>
                      <w:w w:val="95"/>
                    </w:rPr>
                    <w:t>Jakékoli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změny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doplňky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lze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provádět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pouze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písemnými,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vzestupně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číslovanými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dodatky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ke </w:t>
                  </w:r>
                  <w:r>
                    <w:rPr>
                      <w:spacing w:val="-2"/>
                      <w:w w:val="95"/>
                    </w:rPr>
                    <w:t>smlouvě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podepsanými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oprávněnými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zástupci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smluvních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stran.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neplatí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změn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adres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doručování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změny kontaktních osob a jejich kontaktních údajů, které jsou účinné doručením písemného </w:t>
                  </w:r>
                  <w:r>
                    <w:rPr>
                      <w:w w:val="95"/>
                    </w:rPr>
                    <w:t>oznámením této změny druhé smluvní straně.</w:t>
                  </w:r>
                </w:p>
                <w:p>
                  <w:pPr>
                    <w:pStyle w:val="BodyText"/>
                    <w:spacing w:line="240" w:lineRule="auto" w:before="123"/>
                    <w:jc w:val="both"/>
                  </w:pPr>
                  <w:r>
                    <w:rPr>
                      <w:w w:val="90"/>
                    </w:rPr>
                    <w:t>Smlouva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může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být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ukončena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pouze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písemně,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to: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01" w:val="left" w:leader="none"/>
                    </w:tabs>
                    <w:spacing w:line="252" w:lineRule="auto" w:before="136" w:after="0"/>
                    <w:ind w:left="300" w:right="19" w:hanging="281"/>
                    <w:jc w:val="both"/>
                  </w:pPr>
                  <w:r>
                    <w:rPr>
                      <w:w w:val="90"/>
                    </w:rPr>
                    <w:t>dohodou podepsanou oběma smluvními stranami, v tomto případě platnost a účinnost smlouvy končí </w:t>
                  </w:r>
                  <w:r>
                    <w:rPr/>
                    <w:t>ke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sjednanému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dni,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01" w:val="left" w:leader="none"/>
                    </w:tabs>
                    <w:spacing w:line="254" w:lineRule="auto" w:before="4" w:after="0"/>
                    <w:ind w:left="300" w:right="19" w:hanging="281"/>
                    <w:jc w:val="both"/>
                  </w:pPr>
                  <w:r>
                    <w:rPr>
                      <w:w w:val="90"/>
                    </w:rPr>
                    <w:t>odstoupením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od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smlouvy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důsledku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nesplnění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povinnosti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vyplývající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ze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smlouvy,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z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VOP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z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obecně závazných právních předpisů, pokud druhá strana nezjedná nápravu ani v dodatečné přiměřené lhůtě, kterou ji k tomu oprávněná strana poskytne v písemné výzvě ke splnění povinnosti, přičemž tato lhůta </w:t>
                  </w:r>
                  <w:r>
                    <w:rPr>
                      <w:w w:val="95"/>
                    </w:rPr>
                    <w:t>nesmí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být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kratší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než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deset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(10)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kalendářních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dnů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od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doručení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takovéto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výzvy,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01" w:val="left" w:leader="none"/>
                    </w:tabs>
                    <w:spacing w:line="240" w:lineRule="auto" w:before="2" w:after="0"/>
                    <w:ind w:left="300" w:right="0" w:hanging="281"/>
                    <w:jc w:val="both"/>
                  </w:pPr>
                  <w:r>
                    <w:rPr>
                      <w:w w:val="90"/>
                    </w:rPr>
                    <w:t>odstoupením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od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smlouvy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důsledku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zahájení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insolvenčního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řízení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vůči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druhé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straně.</w:t>
                  </w:r>
                </w:p>
                <w:p>
                  <w:pPr>
                    <w:pStyle w:val="BodyText"/>
                    <w:spacing w:line="254" w:lineRule="auto" w:before="136"/>
                    <w:ind w:right="18"/>
                    <w:jc w:val="both"/>
                  </w:pPr>
                  <w:r>
                    <w:rPr/>
                    <w:t>Odstoupení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od smlouvy nabývá účinnosti dnem prokazatelného doručení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druhé smluvní straně. V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případě,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že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odstoupení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smlouvy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není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možné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doručit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druhé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smluvní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straně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lhůtě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dnů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od </w:t>
                  </w:r>
                  <w:r>
                    <w:rPr>
                      <w:w w:val="90"/>
                    </w:rPr>
                    <w:t>odeslání, považuje se odstoupení od smlouvy za doručené druhé smluvní straně uplynutím 10. dne ode </w:t>
                  </w:r>
                  <w:r>
                    <w:rPr>
                      <w:w w:val="95"/>
                    </w:rPr>
                    <w:t>dne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prokazatelného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odeslání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takového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odstoupení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od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druhé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straně.</w:t>
                  </w:r>
                </w:p>
                <w:p>
                  <w:pPr>
                    <w:pStyle w:val="BodyText"/>
                    <w:spacing w:line="254" w:lineRule="auto" w:before="120"/>
                    <w:ind w:right="18"/>
                    <w:jc w:val="both"/>
                  </w:pPr>
                  <w:r>
                    <w:rPr>
                      <w:w w:val="90"/>
                    </w:rPr>
                    <w:t>Okamžikem nabytí účinnosti odstoupení od smlouvy zanikají všechna práva a povinnosti smluvních stran ze smlouvy.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Při ukončení smlouvy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jsou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smluvní strany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povinny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vzájemně vypořádat své závazky, zejména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vrátit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věci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předané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provedení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díla,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vyklidit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prostory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poskytnuté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provedení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díla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místo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plnění.</w:t>
                  </w:r>
                </w:p>
                <w:p>
                  <w:pPr>
                    <w:pStyle w:val="BodyText"/>
                    <w:spacing w:line="254" w:lineRule="auto" w:before="122"/>
                    <w:ind w:right="17"/>
                    <w:jc w:val="both"/>
                  </w:pPr>
                  <w:r>
                    <w:rPr>
                      <w:w w:val="90"/>
                    </w:rPr>
                    <w:t>V důsledku zániku smlouvy nedochází k zániku nároků na náhradu škody vzniklých porušením smlouvy, </w:t>
                  </w:r>
                  <w:r>
                    <w:rPr>
                      <w:spacing w:val="-2"/>
                    </w:rPr>
                    <w:t>nároků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na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uhrazení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smluvních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pokut,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ani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jiných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ustanovení,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která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podle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projevené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vůle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stran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nebo </w:t>
                  </w:r>
                  <w:r>
                    <w:rPr>
                      <w:w w:val="95"/>
                    </w:rPr>
                    <w:t>vzhledem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ke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své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povaze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mají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trvat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jejím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zániku.</w:t>
                  </w:r>
                </w:p>
                <w:p>
                  <w:pPr>
                    <w:spacing w:before="122"/>
                    <w:ind w:left="2928" w:right="0" w:firstLine="0"/>
                    <w:jc w:val="both"/>
                    <w:rPr>
                      <w:b/>
                      <w:sz w:val="22"/>
                    </w:rPr>
                  </w:pPr>
                  <w:bookmarkStart w:name="V. Některá ustanovení o fakturaci" w:id="19"/>
                  <w:bookmarkEnd w:id="19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V.</w:t>
                  </w:r>
                  <w:r>
                    <w:rPr>
                      <w:b/>
                      <w:spacing w:val="2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Některá</w:t>
                  </w:r>
                  <w:r>
                    <w:rPr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ustanovení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o</w:t>
                  </w:r>
                  <w:r>
                    <w:rPr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fakturaci</w:t>
                  </w:r>
                </w:p>
                <w:p>
                  <w:pPr>
                    <w:pStyle w:val="BodyText"/>
                    <w:spacing w:line="254" w:lineRule="auto" w:before="136"/>
                    <w:ind w:right="17"/>
                    <w:jc w:val="both"/>
                  </w:pPr>
                  <w:r>
                    <w:rPr>
                      <w:w w:val="90"/>
                    </w:rPr>
                    <w:t>NNH je povinna zaplatit dodavateli za plnění vždy až na základě vystavení a doručení daňového dokladu </w:t>
                  </w:r>
                  <w:r>
                    <w:rPr>
                      <w:w w:val="95"/>
                    </w:rPr>
                    <w:t>(faktury).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Dodavatel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je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povinen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vystavit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daňový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doklad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15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dnů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uskutečnění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zdanitelného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 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nejpozději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2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pracovních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dnů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jeho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vystavení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doručit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tento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daňový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doklad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adresu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sídla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 </w:t>
                  </w:r>
                  <w:r>
                    <w:rPr>
                      <w:spacing w:val="-2"/>
                      <w:w w:val="95"/>
                    </w:rPr>
                    <w:t>nebo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datové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schránky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NNH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či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elektronickou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adresu</w:t>
                  </w:r>
                  <w:r>
                    <w:rPr>
                      <w:spacing w:val="-5"/>
                      <w:w w:val="95"/>
                    </w:rPr>
                    <w:t> </w:t>
                  </w:r>
                  <w:hyperlink r:id="rId6">
                    <w:r>
                      <w:rPr>
                        <w:color w:val="0562C1"/>
                        <w:spacing w:val="-2"/>
                        <w:w w:val="95"/>
                        <w:u w:val="single" w:color="0562C1"/>
                      </w:rPr>
                      <w:t>faktury@homolka.cz</w:t>
                    </w:r>
                    <w:r>
                      <w:rPr>
                        <w:spacing w:val="-2"/>
                        <w:w w:val="95"/>
                      </w:rPr>
                      <w:t>.</w:t>
                    </w:r>
                  </w:hyperlink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případě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opožděného </w:t>
                  </w:r>
                  <w:r>
                    <w:rPr>
                      <w:w w:val="90"/>
                    </w:rPr>
                    <w:t>zaslání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daňového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dokladu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dodavatel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povinen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uhradit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vzniklou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škodu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plné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výši.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vztahuje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242.599976pt;width:10.45pt;height:13.05pt;mso-position-horizontal-relative:page;mso-position-vertical-relative:page;z-index:-16134656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294.919983pt;width:10.45pt;height:13.05pt;mso-position-horizontal-relative:page;mso-position-vertical-relative:page;z-index:-16134144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367.999969pt;width:10.45pt;height:13.05pt;mso-position-horizontal-relative:page;mso-position-vertical-relative:page;z-index:-16133632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427.759979pt;width:10.45pt;height:13.05pt;mso-position-horizontal-relative:page;mso-position-vertical-relative:page;z-index:-16133120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547.159973pt;width:10.45pt;height:13.05pt;mso-position-horizontal-relative:page;mso-position-vertical-relative:page;z-index:-16132608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606.799988pt;width:10.45pt;height:13.05pt;mso-position-horizontal-relative:page;mso-position-vertical-relative:page;z-index:-16132096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653.119995pt;width:10.45pt;height:13.05pt;mso-position-horizontal-relative:page;mso-position-vertical-relative:page;z-index:-16131584" type="#_x0000_t202" id="docshape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718.880005pt;width:10.45pt;height:13.05pt;mso-position-horizontal-relative:page;mso-position-vertical-relative:page;z-index:-16131072" type="#_x0000_t202" id="docshape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130560" type="#_x0000_t202" id="docshape35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130048" type="#_x0000_t202" id="docshape36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86944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5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279999pt;margin-top:41.929981pt;width:104.95pt;height:29.65pt;mso-position-horizontal-relative:page;mso-position-vertical-relative:page;z-index:-16129024" type="#_x0000_t202" id="docshape37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128512" type="#_x0000_t202" id="docshape38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468.3pt;height:86.25pt;mso-position-horizontal-relative:page;mso-position-vertical-relative:page;z-index:-16128000" type="#_x0000_t202" id="docshape39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0"/>
                    </w:rPr>
                    <w:t>zejména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případy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0"/>
                    </w:rPr>
                    <w:t>přenesené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daňové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0"/>
                    </w:rPr>
                    <w:t>povinnosti,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kdy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90"/>
                    </w:rPr>
                    <w:t>by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90"/>
                    </w:rPr>
                    <w:t>byla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0"/>
                    </w:rPr>
                    <w:t>důsledku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90"/>
                    </w:rPr>
                    <w:t>nevystavení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daňového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dokladu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řádně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včas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prodlení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odvedením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daně.</w:t>
                  </w:r>
                </w:p>
                <w:p>
                  <w:pPr>
                    <w:pStyle w:val="BodyText"/>
                    <w:spacing w:line="254" w:lineRule="auto" w:before="135"/>
                    <w:ind w:right="17"/>
                    <w:jc w:val="both"/>
                  </w:pPr>
                  <w:r>
                    <w:rPr>
                      <w:w w:val="95"/>
                    </w:rPr>
                    <w:t>Účetní</w:t>
                  </w:r>
                  <w:r>
                    <w:rPr>
                      <w:w w:val="95"/>
                    </w:rPr>
                    <w:t> daňové</w:t>
                  </w:r>
                  <w:r>
                    <w:rPr>
                      <w:w w:val="95"/>
                    </w:rPr>
                    <w:t> doklady</w:t>
                  </w:r>
                  <w:r>
                    <w:rPr>
                      <w:w w:val="95"/>
                    </w:rPr>
                    <w:t> musejí</w:t>
                  </w:r>
                  <w:r>
                    <w:rPr>
                      <w:w w:val="95"/>
                    </w:rPr>
                    <w:t> obsahovat</w:t>
                  </w:r>
                  <w:r>
                    <w:rPr>
                      <w:w w:val="95"/>
                    </w:rPr>
                    <w:t> náležitosti</w:t>
                  </w:r>
                  <w:r>
                    <w:rPr>
                      <w:w w:val="95"/>
                    </w:rPr>
                    <w:t> stanovené</w:t>
                  </w:r>
                  <w:r>
                    <w:rPr>
                      <w:w w:val="95"/>
                    </w:rPr>
                    <w:t> příslušnými</w:t>
                  </w:r>
                  <w:r>
                    <w:rPr>
                      <w:w w:val="95"/>
                    </w:rPr>
                    <w:t> právními</w:t>
                  </w:r>
                  <w:r>
                    <w:rPr>
                      <w:w w:val="95"/>
                    </w:rPr>
                    <w:t> předpisy,</w:t>
                  </w:r>
                  <w:r>
                    <w:rPr>
                      <w:w w:val="95"/>
                    </w:rPr>
                    <w:t> a</w:t>
                  </w:r>
                  <w:r>
                    <w:rPr>
                      <w:w w:val="95"/>
                    </w:rPr>
                    <w:t> to zejména zákonem č. 235/2004 Sb., o</w:t>
                  </w:r>
                  <w:r>
                    <w:rPr>
                      <w:w w:val="95"/>
                    </w:rPr>
                    <w:t> dani z přidané</w:t>
                  </w:r>
                  <w:r>
                    <w:rPr>
                      <w:w w:val="95"/>
                    </w:rPr>
                    <w:t> hodnoty, ve znění platném k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datu uskutečnění zdanitelného plnění a zákonem č. 563/1991 Sb.,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o účetnictví, ve znění platném k témuž datu. Účetní 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daňový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doklad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musí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obsahovat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zejména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tyto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náležitosti: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115.759979pt;width:10.45pt;height:13.05pt;mso-position-horizontal-relative:page;mso-position-vertical-relative:page;z-index:-16127488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175.399979pt;width:11.1pt;height:107.15pt;mso-position-horizontal-relative:page;mso-position-vertical-relative:page;z-index:-16126976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a)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5"/>
                    </w:rPr>
                    <w:t>b)</w:t>
                  </w:r>
                </w:p>
                <w:p>
                  <w:pPr>
                    <w:pStyle w:val="BodyText"/>
                    <w:spacing w:line="240" w:lineRule="auto" w:before="15"/>
                  </w:pPr>
                  <w:r>
                    <w:rPr>
                      <w:spacing w:val="-5"/>
                      <w:w w:val="95"/>
                    </w:rPr>
                    <w:t>c)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5"/>
                    </w:rPr>
                    <w:t>d)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5"/>
                    </w:rPr>
                    <w:t>e)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5"/>
                    </w:rPr>
                    <w:t>f)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5"/>
                    </w:rPr>
                    <w:t>g)</w:t>
                  </w:r>
                </w:p>
                <w:p>
                  <w:pPr>
                    <w:pStyle w:val="BodyText"/>
                    <w:spacing w:line="240" w:lineRule="auto" w:before="15"/>
                  </w:pPr>
                  <w:r>
                    <w:rPr>
                      <w:spacing w:val="-5"/>
                    </w:rPr>
                    <w:t>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71843pt;margin-top:175.399979pt;width:454.05pt;height:133.9pt;mso-position-horizontal-relative:page;mso-position-vertical-relative:page;z-index:-16126464" type="#_x0000_t202" id="docshape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označení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povinné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oprávněné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osoby,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adresu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sídla/místa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podnikání,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IČO,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DIČ,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w w:val="85"/>
                    </w:rPr>
                    <w:t>číslo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dokladu,</w:t>
                  </w:r>
                </w:p>
                <w:p>
                  <w:pPr>
                    <w:pStyle w:val="BodyText"/>
                    <w:spacing w:line="254" w:lineRule="auto" w:before="15"/>
                    <w:ind w:right="2190"/>
                  </w:pPr>
                  <w:r>
                    <w:rPr>
                      <w:w w:val="90"/>
                    </w:rPr>
                    <w:t>specifikace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zboží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(kód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položky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systému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NNH)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uvedením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jeho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množství, </w:t>
                  </w:r>
                  <w:r>
                    <w:rPr>
                      <w:w w:val="95"/>
                    </w:rPr>
                    <w:t>den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jeho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vystavení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splatnosti,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zdanitelného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plnění,</w:t>
                  </w:r>
                </w:p>
                <w:p>
                  <w:pPr>
                    <w:pStyle w:val="BodyText"/>
                    <w:spacing w:line="254" w:lineRule="auto" w:before="2"/>
                    <w:ind w:right="34" w:hanging="1"/>
                  </w:pPr>
                  <w:r>
                    <w:rPr>
                      <w:w w:val="90"/>
                    </w:rPr>
                    <w:t>označení peněžního ústavu a číslo účtu, na který se má platit, konstantní a variabilní symbol, účtovanou částku, sazbu DPH, účtovanou částku vč. DPH,</w:t>
                  </w:r>
                </w:p>
                <w:p>
                  <w:pPr>
                    <w:pStyle w:val="BodyText"/>
                    <w:spacing w:line="240" w:lineRule="auto" w:before="1"/>
                  </w:pPr>
                  <w:r>
                    <w:rPr>
                      <w:w w:val="90"/>
                    </w:rPr>
                    <w:t>důvod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účtování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odvoláním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objednávku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dohodu,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číslo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smlouvy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NNH,</w:t>
                  </w:r>
                </w:p>
                <w:p>
                  <w:pPr>
                    <w:pStyle w:val="BodyText"/>
                    <w:spacing w:line="254" w:lineRule="auto" w:before="16"/>
                  </w:pPr>
                  <w:r>
                    <w:rPr>
                      <w:w w:val="95"/>
                    </w:rPr>
                    <w:t>elektronický podpis osoby oprávněné k vystavení daňového a účetního dokladu, je-li to technicky </w:t>
                  </w:r>
                  <w:r>
                    <w:rPr>
                      <w:spacing w:val="-2"/>
                    </w:rPr>
                    <w:t>možné,</w:t>
                  </w:r>
                </w:p>
                <w:p>
                  <w:pPr>
                    <w:pStyle w:val="BodyText"/>
                    <w:spacing w:line="252" w:lineRule="exact"/>
                  </w:pPr>
                  <w:r>
                    <w:rPr>
                      <w:w w:val="85"/>
                    </w:rPr>
                    <w:t>seznam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2"/>
                    </w:rPr>
                    <w:t>příloh.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296.239990pt;width:7.8pt;height:13.05pt;mso-position-horizontal-relative:page;mso-position-vertical-relative:page;z-index:-16125952" type="#_x0000_t202" id="docshape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315.679993pt;width:10.45pt;height:13.05pt;mso-position-horizontal-relative:page;mso-position-vertical-relative:page;z-index:-16125440" type="#_x0000_t202" id="docshape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616pt;margin-top:315.679993pt;width:468.45pt;height:456.6pt;mso-position-horizontal-relative:page;mso-position-vertical-relative:page;z-index:-16124928" type="#_x0000_t202" id="docshape45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0"/>
                    </w:rPr>
                    <w:t>Nedílnou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součástí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daňového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dokladu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musí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být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potvrzení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řádném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splnění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závazku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(dle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typu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plnění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zejm.</w:t>
                  </w:r>
                </w:p>
                <w:p>
                  <w:pPr>
                    <w:pStyle w:val="BodyText"/>
                    <w:spacing w:line="254" w:lineRule="auto" w:before="16"/>
                    <w:ind w:right="21"/>
                    <w:jc w:val="both"/>
                  </w:pPr>
                  <w:r>
                    <w:rPr>
                      <w:w w:val="95"/>
                    </w:rPr>
                    <w:t>dodací list, předávací protokol díla, potvrzený výkaz práce, zjišťovací protokol apod.), který musí být potvrzen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osobou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oprávněnou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jednat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za NNH.</w:t>
                  </w:r>
                </w:p>
                <w:p>
                  <w:pPr>
                    <w:pStyle w:val="BodyText"/>
                    <w:spacing w:line="254" w:lineRule="auto" w:before="121"/>
                    <w:ind w:right="21"/>
                    <w:jc w:val="both"/>
                  </w:pP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případě,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že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daňový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doklad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nebude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mít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náležitosti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daňového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dokladu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nebo na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něm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nebudou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uvedeny </w:t>
                  </w:r>
                  <w:r>
                    <w:rPr>
                      <w:w w:val="95"/>
                    </w:rPr>
                    <w:t>údaje specifikované ve smlouvě, nebo bude jinak neúplný či nesprávný, je jej NNH oprávněna vrátit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90"/>
                    </w:rPr>
                    <w:t>k opravě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doplnění.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Tím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nedostává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prodlení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úhradou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ceny.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takovém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případě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začíná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běžet </w:t>
                  </w:r>
                  <w:r>
                    <w:rPr>
                      <w:w w:val="95"/>
                    </w:rPr>
                    <w:t>lhůta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splatnosti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až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dnem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doručení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opraveného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daňového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dokladu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za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obdobných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podmínek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jako 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původního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daňového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dokladu.</w:t>
                  </w:r>
                </w:p>
                <w:p>
                  <w:pPr>
                    <w:pStyle w:val="BodyText"/>
                    <w:spacing w:line="254" w:lineRule="auto" w:before="123"/>
                    <w:ind w:right="21"/>
                    <w:jc w:val="both"/>
                  </w:pPr>
                  <w:r>
                    <w:rPr>
                      <w:w w:val="90"/>
                    </w:rPr>
                    <w:t>Pokud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daňově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doklady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vztahují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k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plnění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za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dodané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zboží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poskytnuté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služby,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které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vychází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ze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smlouvy z veřejné zakázky, je dodavatel povinen uvést v daňovém dokladu identifikaci smlouvy NNH či identifikaci </w:t>
                  </w:r>
                  <w:r>
                    <w:rPr>
                      <w:w w:val="95"/>
                    </w:rPr>
                    <w:t>předmětné veřejné zakázky.</w:t>
                  </w:r>
                </w:p>
                <w:p>
                  <w:pPr>
                    <w:pStyle w:val="BodyText"/>
                    <w:spacing w:line="254" w:lineRule="auto" w:before="120"/>
                    <w:ind w:right="20"/>
                    <w:jc w:val="both"/>
                  </w:pP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2"/>
                    </w:rPr>
                    <w:t>ohledem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na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skutečnost,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2"/>
                    </w:rPr>
                    <w:t>že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NNH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je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povinným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subjektem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pro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vykazování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dat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Intrastat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2"/>
                    </w:rPr>
                    <w:t>České </w:t>
                  </w:r>
                  <w:r>
                    <w:rPr>
                      <w:w w:val="90"/>
                    </w:rPr>
                    <w:t>republice, je dodavatel sídlící v jiném členském státě EU než je Česká republika povinen opatřit dopravní </w:t>
                  </w:r>
                  <w:r>
                    <w:rPr>
                      <w:w w:val="95"/>
                    </w:rPr>
                    <w:t>dokumenty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nebo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dodací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listy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následujícími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údaji: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1" w:val="left" w:leader="none"/>
                    </w:tabs>
                    <w:spacing w:line="240" w:lineRule="auto" w:before="121" w:after="0"/>
                    <w:ind w:left="300" w:right="0" w:hanging="281"/>
                    <w:jc w:val="left"/>
                  </w:pPr>
                  <w:r>
                    <w:rPr>
                      <w:w w:val="90"/>
                    </w:rPr>
                    <w:t>způsob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dopravy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zboží,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1" w:val="left" w:leader="none"/>
                    </w:tabs>
                    <w:spacing w:line="240" w:lineRule="auto" w:before="16" w:after="0"/>
                    <w:ind w:left="300" w:right="0" w:hanging="281"/>
                    <w:jc w:val="left"/>
                  </w:pPr>
                  <w:r>
                    <w:rPr>
                      <w:w w:val="90"/>
                    </w:rPr>
                    <w:t>informace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subjektu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úhrady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dopravy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zboží,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1" w:val="left" w:leader="none"/>
                    </w:tabs>
                    <w:spacing w:line="240" w:lineRule="auto" w:before="16" w:after="0"/>
                    <w:ind w:left="300" w:right="0" w:hanging="281"/>
                    <w:jc w:val="left"/>
                  </w:pPr>
                  <w:r>
                    <w:rPr>
                      <w:w w:val="90"/>
                    </w:rPr>
                    <w:t>kód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standardní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klasifikace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produkce,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1" w:val="left" w:leader="none"/>
                    </w:tabs>
                    <w:spacing w:line="240" w:lineRule="auto" w:before="16" w:after="0"/>
                    <w:ind w:left="300" w:right="0" w:hanging="281"/>
                    <w:jc w:val="left"/>
                  </w:pPr>
                  <w:r>
                    <w:rPr>
                      <w:w w:val="90"/>
                    </w:rPr>
                    <w:t>informace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o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výchozím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místě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dopravy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zboží,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1" w:val="left" w:leader="none"/>
                    </w:tabs>
                    <w:spacing w:line="240" w:lineRule="auto" w:before="16" w:after="0"/>
                    <w:ind w:left="300" w:right="0" w:hanging="281"/>
                    <w:jc w:val="left"/>
                  </w:pPr>
                  <w:r>
                    <w:rPr>
                      <w:w w:val="90"/>
                    </w:rPr>
                    <w:t>informace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místě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výroby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zboží,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1" w:val="left" w:leader="none"/>
                    </w:tabs>
                    <w:spacing w:line="240" w:lineRule="auto" w:before="13" w:after="0"/>
                    <w:ind w:left="300" w:right="0" w:hanging="281"/>
                    <w:jc w:val="left"/>
                  </w:pPr>
                  <w:r>
                    <w:rPr>
                      <w:w w:val="90"/>
                    </w:rPr>
                    <w:t>hmotnost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další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údaje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měrných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jednotkách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zboží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ke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každému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kódu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standardní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klasifikace.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w w:val="90"/>
                    </w:rPr>
                    <w:t>Splatnost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daňového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dokladu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60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dnů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ode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dne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doručení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řádného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daňového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dokladu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NNH.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w w:val="90"/>
                    </w:rPr>
                    <w:t>Není-li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smlouvě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dohodnuto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jinak,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uhradí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faktury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bezhotovostně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převodem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účet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druhé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smluvní</w:t>
                  </w:r>
                </w:p>
                <w:p>
                  <w:pPr>
                    <w:pStyle w:val="BodyText"/>
                    <w:spacing w:line="369" w:lineRule="auto" w:before="16"/>
                    <w:ind w:right="520" w:hanging="1"/>
                  </w:pPr>
                  <w:r>
                    <w:rPr>
                      <w:w w:val="90"/>
                    </w:rPr>
                    <w:t>strany. Dnem úhrady faktury se rozumí den, kdy byla fakturovaná částka odepsána z účtu NNH. </w:t>
                  </w:r>
                  <w:r>
                    <w:rPr>
                      <w:w w:val="95"/>
                    </w:rPr>
                    <w:t>NNH neposkytuje zálohové platby.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w w:val="90"/>
                    </w:rPr>
                    <w:t>Není-li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smlouvě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dohodnuto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jinak,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platby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budou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probíhat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výhradně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CZK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rovněž</w:t>
                  </w:r>
                  <w:r>
                    <w:rPr>
                      <w:spacing w:val="-12"/>
                      <w:w w:val="90"/>
                    </w:rPr>
                    <w:t> </w:t>
                  </w:r>
                  <w:r>
                    <w:rPr>
                      <w:w w:val="90"/>
                    </w:rPr>
                    <w:t>veškeré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cenové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údaje</w:t>
                  </w:r>
                </w:p>
                <w:p>
                  <w:pPr>
                    <w:pStyle w:val="BodyText"/>
                    <w:spacing w:line="240" w:lineRule="auto" w:before="15"/>
                  </w:pPr>
                  <w:r>
                    <w:rPr>
                      <w:w w:val="95"/>
                    </w:rPr>
                    <w:t>budou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této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měně.</w:t>
                  </w:r>
                </w:p>
                <w:p>
                  <w:pPr>
                    <w:pStyle w:val="BodyText"/>
                    <w:spacing w:line="254" w:lineRule="auto" w:before="136"/>
                    <w:ind w:right="21" w:hanging="1"/>
                    <w:jc w:val="both"/>
                  </w:pPr>
                  <w:r>
                    <w:rPr>
                      <w:w w:val="90"/>
                    </w:rPr>
                    <w:t>Z důvodu ochrany NNH jako příjemce zdanitelného plnění budou v případě návrhu na uzavření smlouvy týkající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nákupu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dodávek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zboží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služeb,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výjimkou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stavebních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prací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dle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§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92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písm.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a)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§92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písm.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e) </w:t>
                  </w:r>
                  <w:r>
                    <w:rPr>
                      <w:w w:val="95"/>
                    </w:rPr>
                    <w:t>zákona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č.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235/2004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Sb.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dani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přidané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hodnoty,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znění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pozdějších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předpisů,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zahrnuta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 </w:t>
                  </w:r>
                  <w:r>
                    <w:rPr>
                      <w:w w:val="90"/>
                    </w:rPr>
                    <w:t>následující ustanovení s odpovídajícím označením smluvních stran: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361.999969pt;width:10.45pt;height:13.05pt;mso-position-horizontal-relative:page;mso-position-vertical-relative:page;z-index:-16124416" type="#_x0000_t202" id="docshape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435.199982pt;width:10.45pt;height:13.05pt;mso-position-horizontal-relative:page;mso-position-vertical-relative:page;z-index:-16123904" type="#_x0000_t202" id="docshape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481.399994pt;width:10.45pt;height:13.05pt;mso-position-horizontal-relative:page;mso-position-vertical-relative:page;z-index:-16123392" type="#_x0000_t202" id="docshape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614.23999pt;width:10.45pt;height:32.5pt;mso-position-horizontal-relative:page;mso-position-vertical-relative:page;z-index:-16122880" type="#_x0000_t202" id="docshape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7.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40001pt;margin-top:666.559998pt;width:16.1pt;height:32.5pt;mso-position-horizontal-relative:page;mso-position-vertical-relative:page;z-index:-16122368" type="#_x0000_t202" id="docshape50" filled="false" stroked="false">
            <v:textbox inset="0,0,0,0">
              <w:txbxContent>
                <w:p>
                  <w:pPr>
                    <w:pStyle w:val="BodyText"/>
                    <w:ind w:left="132"/>
                  </w:pPr>
                  <w:r>
                    <w:rPr>
                      <w:spacing w:val="-5"/>
                    </w:rPr>
                    <w:t>9.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  <w:w w:val="95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40001pt;margin-top:718.880005pt;width:16.1pt;height:13.05pt;mso-position-horizontal-relative:page;mso-position-vertical-relative:page;z-index:-16121856" type="#_x0000_t202" id="docshape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w w:val="95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121344" type="#_x0000_t202" id="docshape52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120832" type="#_x0000_t202" id="docshape53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96160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7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.880001pt;margin-top:768.47998pt;width:144pt;height:.72pt;mso-position-horizontal-relative:page;mso-position-vertical-relative:page;z-index:-16119808" id="docshape54" filled="true" fillcolor="#000000" stroked="false">
            <v:fill type="solid"/>
            <w10:wrap type="none"/>
          </v:rect>
        </w:pict>
      </w:r>
      <w:r>
        <w:rPr/>
        <w:pict>
          <v:shape style="position:absolute;margin-left:88.279999pt;margin-top:41.929981pt;width:104.95pt;height:29.65pt;mso-position-horizontal-relative:page;mso-position-vertical-relative:page;z-index:-16119296" type="#_x0000_t202" id="docshape55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118784" type="#_x0000_t202" id="docshape56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148.25pt;height:13.05pt;mso-position-horizontal-relative:page;mso-position-vertical-relative:page;z-index:-16118272" type="#_x0000_t202" id="docshape57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95"/>
                      <w:sz w:val="22"/>
                    </w:rPr>
                    <w:t>„NNH</w:t>
                  </w:r>
                  <w:r>
                    <w:rPr>
                      <w:i/>
                      <w:spacing w:val="24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je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oprávněna,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v</w:t>
                  </w:r>
                  <w:r>
                    <w:rPr>
                      <w:i/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2"/>
                    </w:rPr>
                    <w:t>případě,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666077pt;margin-top:82.879982pt;width:316.9pt;height:13.05pt;mso-position-horizontal-relative:page;mso-position-vertical-relative:page;z-index:-16117760" type="#_x0000_t202" id="docshape58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95"/>
                      <w:sz w:val="22"/>
                    </w:rPr>
                    <w:t>že</w:t>
                  </w:r>
                  <w:r>
                    <w:rPr>
                      <w:i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dodavatel</w:t>
                  </w:r>
                  <w:r>
                    <w:rPr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je</w:t>
                  </w:r>
                  <w:r>
                    <w:rPr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v</w:t>
                  </w:r>
                  <w:r>
                    <w:rPr>
                      <w:i/>
                      <w:spacing w:val="7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okamžiku</w:t>
                  </w:r>
                  <w:r>
                    <w:rPr>
                      <w:i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uskutečnění</w:t>
                  </w:r>
                  <w:r>
                    <w:rPr>
                      <w:i/>
                      <w:spacing w:val="9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zdanitelného</w:t>
                  </w:r>
                  <w:r>
                    <w:rPr>
                      <w:i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plnění</w:t>
                  </w:r>
                  <w:r>
                    <w:rPr>
                      <w:i/>
                      <w:spacing w:val="9"/>
                      <w:sz w:val="22"/>
                    </w:rPr>
                    <w:t> </w:t>
                  </w:r>
                  <w:r>
                    <w:rPr>
                      <w:i/>
                      <w:spacing w:val="-2"/>
                      <w:w w:val="95"/>
                      <w:sz w:val="22"/>
                    </w:rPr>
                    <w:t>veden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20003pt;margin-top:96.319984pt;width:468.45pt;height:165.35pt;mso-position-horizontal-relative:page;mso-position-vertical-relative:page;z-index:-16117248" type="#_x0000_t202" id="docshape59" filled="false" stroked="false">
            <v:textbox inset="0,0,0,0">
              <w:txbxContent>
                <w:p>
                  <w:pPr>
                    <w:spacing w:line="232" w:lineRule="exact" w:before="0"/>
                    <w:ind w:left="22" w:right="0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w w:val="90"/>
                      <w:sz w:val="22"/>
                    </w:rPr>
                    <w:t>v</w:t>
                  </w:r>
                  <w:r>
                    <w:rPr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registru</w:t>
                  </w:r>
                  <w:r>
                    <w:rPr>
                      <w:i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nespolehlivých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plátců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daně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z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přidané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hodnoty,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uhradit</w:t>
                  </w:r>
                  <w:r>
                    <w:rPr>
                      <w:i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částku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odpovídající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výši</w:t>
                  </w:r>
                  <w:r>
                    <w:rPr>
                      <w:i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daně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z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2"/>
                    </w:rPr>
                    <w:t>přidané</w:t>
                  </w:r>
                </w:p>
                <w:p>
                  <w:pPr>
                    <w:spacing w:line="254" w:lineRule="auto" w:before="16"/>
                    <w:ind w:left="22" w:right="17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w w:val="90"/>
                      <w:sz w:val="22"/>
                    </w:rPr>
                    <w:t>hodnoty</w:t>
                  </w:r>
                  <w:r>
                    <w:rPr>
                      <w:i/>
                      <w:spacing w:val="-5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na</w:t>
                  </w:r>
                  <w:r>
                    <w:rPr>
                      <w:i/>
                      <w:spacing w:val="-6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účet</w:t>
                  </w:r>
                  <w:r>
                    <w:rPr>
                      <w:i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správce</w:t>
                  </w:r>
                  <w:r>
                    <w:rPr>
                      <w:i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daně</w:t>
                  </w:r>
                  <w:r>
                    <w:rPr>
                      <w:i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za</w:t>
                  </w:r>
                  <w:r>
                    <w:rPr>
                      <w:i/>
                      <w:spacing w:val="-6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dodavatele.</w:t>
                  </w:r>
                  <w:r>
                    <w:rPr>
                      <w:i/>
                      <w:spacing w:val="-6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Uhrazení</w:t>
                  </w:r>
                  <w:r>
                    <w:rPr>
                      <w:i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částky</w:t>
                  </w:r>
                  <w:r>
                    <w:rPr>
                      <w:i/>
                      <w:spacing w:val="-5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odpovídající</w:t>
                  </w:r>
                  <w:r>
                    <w:rPr>
                      <w:i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výši</w:t>
                  </w:r>
                  <w:r>
                    <w:rPr>
                      <w:i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daně</w:t>
                  </w:r>
                  <w:r>
                    <w:rPr>
                      <w:i/>
                      <w:spacing w:val="-5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z</w:t>
                  </w:r>
                  <w:r>
                    <w:rPr>
                      <w:i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přidané</w:t>
                  </w:r>
                  <w:r>
                    <w:rPr>
                      <w:i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hodnoty</w:t>
                  </w:r>
                  <w:r>
                    <w:rPr>
                      <w:i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na </w:t>
                  </w:r>
                  <w:r>
                    <w:rPr>
                      <w:i/>
                      <w:w w:val="95"/>
                      <w:sz w:val="22"/>
                    </w:rPr>
                    <w:t>účet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správce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daně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za</w:t>
                  </w:r>
                  <w:r>
                    <w:rPr>
                      <w:i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dodavatele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bude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považováno</w:t>
                  </w:r>
                  <w:r>
                    <w:rPr>
                      <w:i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v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tomto</w:t>
                  </w:r>
                  <w:r>
                    <w:rPr>
                      <w:i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rozsahu</w:t>
                  </w:r>
                  <w:r>
                    <w:rPr>
                      <w:i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za</w:t>
                  </w:r>
                  <w:r>
                    <w:rPr>
                      <w:i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splnění</w:t>
                  </w:r>
                  <w:r>
                    <w:rPr>
                      <w:i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závazku</w:t>
                  </w:r>
                  <w:r>
                    <w:rPr>
                      <w:i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NNH</w:t>
                  </w:r>
                  <w:r>
                    <w:rPr>
                      <w:i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uhradit </w:t>
                  </w:r>
                  <w:r>
                    <w:rPr>
                      <w:i/>
                      <w:spacing w:val="-2"/>
                      <w:sz w:val="22"/>
                    </w:rPr>
                    <w:t>sjednanou</w:t>
                  </w:r>
                  <w:r>
                    <w:rPr>
                      <w:i/>
                      <w:spacing w:val="-14"/>
                      <w:sz w:val="22"/>
                    </w:rPr>
                    <w:t> </w:t>
                  </w:r>
                  <w:r>
                    <w:rPr>
                      <w:i/>
                      <w:spacing w:val="-2"/>
                      <w:sz w:val="22"/>
                    </w:rPr>
                    <w:t>cenu</w:t>
                  </w:r>
                  <w:r>
                    <w:rPr>
                      <w:i/>
                      <w:spacing w:val="-13"/>
                      <w:sz w:val="22"/>
                    </w:rPr>
                    <w:t> </w:t>
                  </w:r>
                  <w:r>
                    <w:rPr>
                      <w:i/>
                      <w:spacing w:val="-2"/>
                      <w:sz w:val="22"/>
                    </w:rPr>
                    <w:t>dodavateli.</w:t>
                  </w:r>
                </w:p>
                <w:p>
                  <w:pPr>
                    <w:spacing w:line="254" w:lineRule="auto" w:before="119"/>
                    <w:ind w:left="20" w:right="17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w w:val="90"/>
                      <w:sz w:val="22"/>
                    </w:rPr>
                    <w:t>Veškeré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platby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mezi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smluvními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stranami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se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uskutečňují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prostřednictvím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bankovního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spojení</w:t>
                  </w:r>
                  <w:r>
                    <w:rPr>
                      <w:i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uvedeného</w:t>
                  </w:r>
                  <w:r>
                    <w:rPr>
                      <w:i/>
                      <w:spacing w:val="8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v</w:t>
                  </w:r>
                  <w:r>
                    <w:rPr>
                      <w:i/>
                      <w:spacing w:val="-1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hlavičce této smlouvy. Dodavatel prohlašuje, že uvedené číslo jeho bankovního účtu splňuje požadavky dle § 109 zák. č. 235/2004 Sb., o dani z přidané hodnoty, v platném znění, a</w:t>
                  </w:r>
                  <w:r>
                    <w:rPr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i/>
                      <w:w w:val="90"/>
                      <w:sz w:val="22"/>
                    </w:rPr>
                    <w:t>jedná se o zveřejněné číslo </w:t>
                  </w:r>
                  <w:r>
                    <w:rPr>
                      <w:i/>
                      <w:w w:val="95"/>
                      <w:sz w:val="22"/>
                    </w:rPr>
                    <w:t>účtu registrovaného plátce</w:t>
                  </w:r>
                  <w:r>
                    <w:rPr>
                      <w:i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i/>
                      <w:w w:val="95"/>
                      <w:sz w:val="22"/>
                    </w:rPr>
                    <w:t>daně z přidané hodnoty.“</w:t>
                  </w:r>
                </w:p>
                <w:p>
                  <w:pPr>
                    <w:spacing w:before="123"/>
                    <w:ind w:left="1726" w:right="0" w:firstLine="0"/>
                    <w:jc w:val="both"/>
                    <w:rPr>
                      <w:b/>
                      <w:sz w:val="22"/>
                    </w:rPr>
                  </w:pPr>
                  <w:bookmarkStart w:name="VI. Ustanovení k zajištění kvality a pře" w:id="20"/>
                  <w:bookmarkEnd w:id="20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VI.</w:t>
                  </w:r>
                  <w:r>
                    <w:rPr>
                      <w:b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Ustanovení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k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zajištění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kvality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předávání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údajů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kvalitě</w:t>
                  </w:r>
                </w:p>
                <w:p>
                  <w:pPr>
                    <w:pStyle w:val="BodyText"/>
                    <w:spacing w:line="254" w:lineRule="auto" w:before="135"/>
                    <w:ind w:left="22" w:right="18"/>
                    <w:jc w:val="both"/>
                  </w:pPr>
                  <w:bookmarkStart w:name="1. Pokud je předmětem smlouvy dodávka či" w:id="21"/>
                  <w:bookmarkEnd w:id="21"/>
                  <w:r>
                    <w:rPr/>
                  </w:r>
                  <w:r>
                    <w:rPr>
                      <w:w w:val="90"/>
                    </w:rPr>
                    <w:t>Pokud je předmětem smlouvy dodávka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 služba</w:t>
                  </w:r>
                  <w:hyperlink w:history="true" w:anchor="_bookmark0">
                    <w:r>
                      <w:rPr>
                        <w:w w:val="90"/>
                        <w:vertAlign w:val="superscript"/>
                      </w:rPr>
                      <w:t>1</w:t>
                    </w:r>
                  </w:hyperlink>
                  <w:r>
                    <w:rPr>
                      <w:w w:val="90"/>
                      <w:vertAlign w:val="baseline"/>
                    </w:rPr>
                    <w:t>, nebo je předmětem smlouvy bezúplatné užívání movité </w:t>
                  </w:r>
                  <w:r>
                    <w:rPr>
                      <w:w w:val="95"/>
                      <w:vertAlign w:val="baseline"/>
                    </w:rPr>
                    <w:t>věci,</w:t>
                  </w:r>
                  <w:r>
                    <w:rPr>
                      <w:spacing w:val="-1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pak</w:t>
                  </w:r>
                  <w:r>
                    <w:rPr>
                      <w:spacing w:val="-12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se</w:t>
                  </w:r>
                  <w:r>
                    <w:rPr>
                      <w:spacing w:val="-12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dodavatel</w:t>
                  </w:r>
                  <w:r>
                    <w:rPr>
                      <w:spacing w:val="-12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zavazuje,</w:t>
                  </w:r>
                  <w:r>
                    <w:rPr>
                      <w:spacing w:val="-12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že: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35.159988pt;width:10.45pt;height:13.05pt;mso-position-horizontal-relative:page;mso-position-vertical-relative:page;z-index:-16116736" type="#_x0000_t202" id="docshape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268.039978pt;width:10.6pt;height:13.05pt;mso-position-horizontal-relative:page;mso-position-vertical-relative:page;z-index:-16116224" type="#_x0000_t202" id="docshape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w w:val="95"/>
                    </w:rPr>
                    <w:t>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79999pt;margin-top:268.039978pt;width:454.3pt;height:241.3pt;mso-position-horizontal-relative:page;mso-position-vertical-relative:page;z-index:-16115712" type="#_x0000_t202" id="docshape62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5"/>
                    </w:rPr>
                    <w:t>předá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5"/>
                    </w:rPr>
                    <w:t>veškeré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údaje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kvalitě,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jsou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5"/>
                    </w:rPr>
                    <w:t>požadovány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(a)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právními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5"/>
                    </w:rPr>
                    <w:t>předpisy,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nebo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(b)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byly</w:t>
                  </w:r>
                </w:p>
                <w:p>
                  <w:pPr>
                    <w:pStyle w:val="BodyText"/>
                    <w:spacing w:line="254" w:lineRule="auto" w:before="16"/>
                    <w:ind w:right="17"/>
                    <w:jc w:val="both"/>
                  </w:pPr>
                  <w:r>
                    <w:rPr/>
                    <w:t>požadovány NNH v rámci zadávacích podmínek, na jejichž základě NNH uzavřela smlouvu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dodavatelem,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jsou-li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takové,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nebo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(c)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jsou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požadována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ustanoveními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smlouvy,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nebo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(d)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jsou </w:t>
                  </w:r>
                  <w:r>
                    <w:rPr>
                      <w:w w:val="95"/>
                    </w:rPr>
                    <w:t>požadována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po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uzavření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prostřednictvím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kontaktní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osoby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uvedené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smlouvě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nebo </w:t>
                  </w:r>
                  <w:r>
                    <w:rPr>
                      <w:w w:val="90"/>
                    </w:rPr>
                    <w:t>pracovníků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 jejichž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činností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vykonávanou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v NNH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souvisí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zajišťování,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údržba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kontrola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kvality </w:t>
                  </w:r>
                  <w:r>
                    <w:rPr/>
                    <w:t>plnění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ze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smlouvy,</w:t>
                  </w:r>
                </w:p>
                <w:p>
                  <w:pPr>
                    <w:pStyle w:val="BodyText"/>
                    <w:spacing w:line="254" w:lineRule="auto"/>
                    <w:ind w:right="17"/>
                    <w:jc w:val="both"/>
                  </w:pPr>
                  <w:r>
                    <w:rPr>
                      <w:w w:val="90"/>
                    </w:rPr>
                    <w:t>v případě neschopnosti dodržet své povinnosti vyplývající ze smlouvy, zejména plnit předmět smlouvy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90"/>
                    </w:rPr>
                    <w:t>v kvalitě stanovené smlouvou a v souladu s technickými podmínkami stanovenými v rámci zadávacích </w:t>
                  </w:r>
                  <w:r>
                    <w:rPr/>
                    <w:t>podmínek,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které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byly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podkladem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uzavření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smlouvy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(jsou-li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takové),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bude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této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skutečnosti </w:t>
                  </w:r>
                  <w:r>
                    <w:rPr>
                      <w:w w:val="90"/>
                    </w:rPr>
                    <w:t>neprodleně prokazatelně informovat NNH.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Práva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vyplývající z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odpovědnosti za porušení smlouvy tímto </w:t>
                  </w:r>
                  <w:r>
                    <w:rPr/>
                    <w:t>nejsou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dotčena,</w:t>
                  </w:r>
                </w:p>
                <w:p>
                  <w:pPr>
                    <w:pStyle w:val="BodyText"/>
                    <w:spacing w:line="254" w:lineRule="auto" w:before="4"/>
                    <w:ind w:right="17"/>
                    <w:jc w:val="both"/>
                  </w:pPr>
                  <w:r>
                    <w:rPr>
                      <w:w w:val="90"/>
                    </w:rPr>
                    <w:t>oznámí NNH veškeré odchylky od kvality a technických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podmínek, které se vztahují k plnění předmětu </w:t>
                  </w:r>
                  <w:r>
                    <w:rPr/>
                    <w:t>smlouvy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které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zjistí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průběhu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plnění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smlouvy.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takovém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případě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NNH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může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uplatnit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práva </w:t>
                  </w:r>
                  <w:r>
                    <w:rPr>
                      <w:w w:val="95"/>
                    </w:rPr>
                    <w:t>z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vadného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ihned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poté,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vadném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dozvěděla,</w:t>
                  </w:r>
                </w:p>
                <w:p>
                  <w:pPr>
                    <w:pStyle w:val="BodyText"/>
                    <w:spacing w:line="254" w:lineRule="auto"/>
                    <w:ind w:right="17"/>
                    <w:jc w:val="both"/>
                  </w:pPr>
                  <w:r>
                    <w:rPr/>
                    <w:t>v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dostatečném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předstihu před plánovanými změnami výrobních metod, postupů či použitých </w:t>
                  </w:r>
                  <w:r>
                    <w:rPr>
                      <w:w w:val="90"/>
                    </w:rPr>
                    <w:t>materiálů, které mají potenciální vliv na kvalitu plnění předmětu smlouvy, bude NNH o této skutečnosti informovat a umožní NNH ověření, zda deklarované změny nemohou ovlivnit výslednou kvalitu plnění </w:t>
                  </w:r>
                  <w:r>
                    <w:rPr>
                      <w:spacing w:val="-2"/>
                    </w:rPr>
                    <w:t>smlouvy.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348.559998pt;width:11.1pt;height:13.05pt;mso-position-horizontal-relative:page;mso-position-vertical-relative:page;z-index:-16115200" type="#_x0000_t202" id="docshape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415.759979pt;width:10pt;height:13.05pt;mso-position-horizontal-relative:page;mso-position-vertical-relative:page;z-index:-16114688" type="#_x0000_t202" id="docshape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w w:val="95"/>
                    </w:rPr>
                    <w:t>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455.959991pt;width:11.1pt;height:13.05pt;mso-position-horizontal-relative:page;mso-position-vertical-relative:page;z-index:-16114176" type="#_x0000_t202" id="docshape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515.719971pt;width:10.45pt;height:13.05pt;mso-position-horizontal-relative:page;mso-position-vertical-relative:page;z-index:-16113664" type="#_x0000_t202" id="docshape66" filled="false" stroked="false">
            <v:textbox inset="0,0,0,0">
              <w:txbxContent>
                <w:p>
                  <w:pPr>
                    <w:pStyle w:val="BodyText"/>
                  </w:pPr>
                  <w:bookmarkStart w:name="2. NNH je oprávněna v případě zjištění n" w:id="22"/>
                  <w:bookmarkEnd w:id="22"/>
                  <w:r>
                    <w:rPr/>
                  </w: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515.719971pt;width:468.4pt;height:223.65pt;mso-position-horizontal-relative:page;mso-position-vertical-relative:page;z-index:-16113152" type="#_x0000_t202" id="docshape67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0"/>
                    </w:rPr>
                    <w:t>NNH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oprávněna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případě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zjištění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nedostatků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při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plnění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smlouvy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(zjištěných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např.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rámci</w:t>
                  </w:r>
                  <w:r>
                    <w:rPr/>
                    <w:t> </w:t>
                  </w:r>
                  <w:r>
                    <w:rPr>
                      <w:spacing w:val="-2"/>
                      <w:w w:val="90"/>
                    </w:rPr>
                    <w:t>hodnocení),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zahájit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dodavatelem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neprodleně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jednání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směřující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k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nápravě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vzniklého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stavu.</w:t>
                  </w:r>
                </w:p>
                <w:p>
                  <w:pPr>
                    <w:pStyle w:val="BodyText"/>
                    <w:spacing w:line="240" w:lineRule="auto" w:before="135"/>
                    <w:jc w:val="both"/>
                  </w:pPr>
                  <w:bookmarkStart w:name="3. V případě rozporu s plněním podmínek " w:id="23"/>
                  <w:bookmarkEnd w:id="23"/>
                  <w:r>
                    <w:rPr/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případě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w w:val="95"/>
                    </w:rPr>
                    <w:t>rozporu</w:t>
                  </w:r>
                  <w:r>
                    <w:rPr>
                      <w:spacing w:val="68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plněním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w w:val="95"/>
                    </w:rPr>
                    <w:t>podmínek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w w:val="95"/>
                    </w:rPr>
                    <w:t>stanovených</w:t>
                  </w:r>
                  <w:r>
                    <w:rPr>
                      <w:spacing w:val="6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w w:val="95"/>
                    </w:rPr>
                    <w:t>smlouvě</w:t>
                  </w:r>
                  <w:r>
                    <w:rPr>
                      <w:spacing w:val="70"/>
                    </w:rPr>
                    <w:t> </w:t>
                  </w:r>
                  <w:r>
                    <w:rPr>
                      <w:w w:val="95"/>
                    </w:rPr>
                    <w:t>bude</w:t>
                  </w:r>
                  <w:r>
                    <w:rPr>
                      <w:spacing w:val="66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w w:val="95"/>
                    </w:rPr>
                    <w:t>uplatňovat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práva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z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odpovědnosti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za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vadné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plnění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souladu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smlouvou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příslušnými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0"/>
                    </w:rPr>
                    <w:t>právními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předpisy.</w:t>
                  </w:r>
                </w:p>
                <w:p>
                  <w:pPr>
                    <w:spacing w:before="136"/>
                    <w:ind w:left="2302" w:right="0" w:firstLine="0"/>
                    <w:jc w:val="both"/>
                    <w:rPr>
                      <w:b/>
                      <w:sz w:val="22"/>
                    </w:rPr>
                  </w:pPr>
                  <w:bookmarkStart w:name="VII. Porušení povinnosti, odpovědnost a " w:id="24"/>
                  <w:bookmarkEnd w:id="24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VII.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Porušení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povinnosti,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odpovědnost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sankce</w:t>
                  </w:r>
                </w:p>
                <w:p>
                  <w:pPr>
                    <w:pStyle w:val="BodyText"/>
                    <w:spacing w:line="254" w:lineRule="auto" w:before="133"/>
                    <w:ind w:right="18"/>
                    <w:jc w:val="both"/>
                  </w:pPr>
                  <w:r>
                    <w:rPr>
                      <w:w w:val="95"/>
                    </w:rPr>
                    <w:t>V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případě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více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dlužných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úhrad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dodavatele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vůči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bude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jakékoliv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dodavatele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vždy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započteno nejprve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dluh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nejstarší,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nevyplývá-li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z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výslovně,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jde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plnění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jiný,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konkrétně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určený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dluh, 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bez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ohledu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závazky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byly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upomenuty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nikoliv.</w:t>
                  </w:r>
                </w:p>
                <w:p>
                  <w:pPr>
                    <w:pStyle w:val="BodyText"/>
                    <w:spacing w:line="240" w:lineRule="auto" w:before="122"/>
                    <w:jc w:val="both"/>
                  </w:pPr>
                  <w:r>
                    <w:rPr>
                      <w:w w:val="90"/>
                    </w:rPr>
                    <w:t>Zápočet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pohledávky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dodavatele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vůči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lze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provést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jen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základě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písemného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souhlasu</w:t>
                  </w:r>
                  <w:r>
                    <w:rPr>
                      <w:spacing w:val="-4"/>
                      <w:w w:val="90"/>
                    </w:rPr>
                    <w:t> NNH.</w:t>
                  </w:r>
                </w:p>
                <w:p>
                  <w:pPr>
                    <w:pStyle w:val="BodyText"/>
                    <w:spacing w:line="240" w:lineRule="auto" w:before="136"/>
                    <w:jc w:val="both"/>
                  </w:pPr>
                  <w:r>
                    <w:rPr>
                      <w:spacing w:val="-2"/>
                      <w:w w:val="95"/>
                    </w:rPr>
                    <w:t>Úroky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prodlení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úhradou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peněžitého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plnění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strany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NNH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mohou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být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dohodnuty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maximálně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výši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stanovené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nařízení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vlády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č.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351/2013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Sb.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5"/>
                    </w:rPr>
                    <w:t>Jakékoli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ustanovení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o smluvních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pokutách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nezbavuje žádnou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ze smluvních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povinnosti k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náhradě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škody. Nevyplývá-li ze smlouvy něco jiného, stanoví se</w:t>
                  </w:r>
                  <w:r>
                    <w:rPr>
                      <w:w w:val="95"/>
                    </w:rPr>
                    <w:t> smluvní pokuta z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částky</w:t>
                  </w:r>
                  <w:r>
                    <w:rPr>
                      <w:w w:val="95"/>
                    </w:rPr>
                    <w:t> bez daně </w:t>
                  </w:r>
                  <w:r>
                    <w:rPr/>
                    <w:t>z přidané hodnoty.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548.599976pt;width:10.45pt;height:13.05pt;mso-position-horizontal-relative:page;mso-position-vertical-relative:page;z-index:-16112640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600.799988pt;width:10.45pt;height:13.05pt;mso-position-horizontal-relative:page;mso-position-vertical-relative:page;z-index:-16112128" type="#_x0000_t202" id="docshape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647.119995pt;width:10.45pt;height:32.5pt;mso-position-horizontal-relative:page;mso-position-vertical-relative:page;z-index:-16111616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699.440002pt;width:10.45pt;height:13.05pt;mso-position-horizontal-relative:page;mso-position-vertical-relative:page;z-index:-16111104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74.73999pt;width:143.75pt;height:11.3pt;mso-position-horizontal-relative:page;mso-position-vertical-relative:page;z-index:-16110592" type="#_x0000_t202" id="docshape72" filled="false" stroked="false">
            <v:textbox inset="0,0,0,0">
              <w:txbxContent>
                <w:p>
                  <w:pPr>
                    <w:spacing w:line="199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bookmarkStart w:name="_bookmark0" w:id="25"/>
                  <w:bookmarkEnd w:id="25"/>
                  <w:r>
                    <w:rPr/>
                  </w:r>
                  <w:r>
                    <w:rPr>
                      <w:w w:val="90"/>
                      <w:position w:val="5"/>
                      <w:sz w:val="12"/>
                    </w:rPr>
                    <w:t>1</w:t>
                  </w:r>
                  <w:r>
                    <w:rPr>
                      <w:spacing w:val="2"/>
                      <w:position w:val="5"/>
                      <w:sz w:val="12"/>
                    </w:rPr>
                    <w:t> </w:t>
                  </w:r>
                  <w:r>
                    <w:rPr>
                      <w:w w:val="90"/>
                      <w:sz w:val="18"/>
                    </w:rPr>
                    <w:t>Srov.</w:t>
                  </w:r>
                  <w:r>
                    <w:rPr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ustanovení</w:t>
                  </w:r>
                  <w:r>
                    <w:rPr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§</w:t>
                  </w:r>
                  <w:r>
                    <w:rPr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14</w:t>
                  </w:r>
                  <w:r>
                    <w:rPr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odst.</w:t>
                  </w:r>
                  <w:r>
                    <w:rPr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1</w:t>
                  </w:r>
                  <w:r>
                    <w:rPr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a</w:t>
                  </w:r>
                  <w:r>
                    <w:rPr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2</w:t>
                  </w:r>
                  <w:r>
                    <w:rPr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spacing w:val="-4"/>
                      <w:w w:val="85"/>
                      <w:sz w:val="18"/>
                    </w:rPr>
                    <w:t>ZZVZ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110080" type="#_x0000_t202" id="docshape73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109568" type="#_x0000_t202" id="docshape74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4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880001pt;margin-top:757.839966pt;width:144pt;height:12pt;mso-position-horizontal-relative:page;mso-position-vertical-relative:page;z-index:-16109056" type="#_x0000_t202" id="docshape7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07936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9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279999pt;margin-top:41.929981pt;width:104.95pt;height:29.65pt;mso-position-horizontal-relative:page;mso-position-vertical-relative:page;z-index:-16108032" type="#_x0000_t202" id="docshape76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107520" type="#_x0000_t202" id="docshape77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82.879982pt;width:10.45pt;height:32.5pt;mso-position-horizontal-relative:page;mso-position-vertical-relative:page;z-index:-16107008" type="#_x0000_t202" id="docshape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5.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468.45pt;height:698.5pt;mso-position-horizontal-relative:page;mso-position-vertical-relative:page;z-index:-16106496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pokuty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neprospěch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NNH,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které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nejsou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sjednány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smlouvě,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nepovažují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za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platně</w:t>
                  </w:r>
                  <w:r>
                    <w:rPr>
                      <w:spacing w:val="-2"/>
                      <w:w w:val="90"/>
                    </w:rPr>
                    <w:t> sjednané.</w:t>
                  </w:r>
                </w:p>
                <w:p>
                  <w:pPr>
                    <w:pStyle w:val="BodyText"/>
                    <w:spacing w:line="254" w:lineRule="auto" w:before="136"/>
                    <w:ind w:right="79"/>
                  </w:pPr>
                  <w:r>
                    <w:rPr>
                      <w:w w:val="90"/>
                    </w:rPr>
                    <w:t>I v případě,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kdy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dodavatel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plní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svůj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závazek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prostřednictví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třetí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osoby,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dodavatel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odpovědný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za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řádné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90"/>
                    </w:rPr>
                    <w:t>a včasné splnění závazku stejně, jako by závazek plnil sám.</w:t>
                  </w:r>
                </w:p>
                <w:p>
                  <w:pPr>
                    <w:pStyle w:val="BodyText"/>
                    <w:spacing w:line="254" w:lineRule="auto" w:before="121"/>
                  </w:pPr>
                  <w:r>
                    <w:rPr>
                      <w:w w:val="90"/>
                    </w:rPr>
                    <w:t>Práva vzniklá ze smlouvy nesmí být postoupena bez předchozího písemného souhlasu NNH. Jakékoliv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postoupení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rozporu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VOP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považuje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neplatné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neúčinné.</w:t>
                  </w:r>
                </w:p>
                <w:p>
                  <w:pPr>
                    <w:pStyle w:val="BodyText"/>
                    <w:spacing w:line="254" w:lineRule="auto" w:before="119"/>
                  </w:pPr>
                  <w:r>
                    <w:rPr>
                      <w:w w:val="95"/>
                    </w:rPr>
                    <w:t>Ujednání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omezení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rozsahu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náhrady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škody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neprospěch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NNH,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není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sjednáno ve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smlouvě,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se nepovažuje za platně sjednané.</w:t>
                  </w:r>
                </w:p>
                <w:p>
                  <w:pPr>
                    <w:spacing w:before="121"/>
                    <w:ind w:left="3389" w:right="0" w:firstLine="0"/>
                    <w:jc w:val="left"/>
                    <w:rPr>
                      <w:b/>
                      <w:sz w:val="22"/>
                    </w:rPr>
                  </w:pPr>
                  <w:bookmarkStart w:name="VIII. Salvatorní klauzule" w:id="26"/>
                  <w:bookmarkEnd w:id="26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VIII.</w:t>
                  </w:r>
                  <w:r>
                    <w:rPr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Salvatorní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klauzule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strany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si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k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naplnění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účelu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smlouvy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poskytnou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vzájemnou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součinnost.</w:t>
                  </w:r>
                </w:p>
                <w:p>
                  <w:pPr>
                    <w:pStyle w:val="BodyText"/>
                    <w:spacing w:line="254" w:lineRule="auto" w:before="136"/>
                    <w:ind w:right="17"/>
                    <w:jc w:val="both"/>
                  </w:pP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sjednávají,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pokud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důsledku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změny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odlišného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výkladu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právních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předpisů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anebo judikatury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soudů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bude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některého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ustanovení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shledán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důvod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jeho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neplatnosti,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jako </w:t>
                  </w:r>
                  <w:r>
                    <w:rPr>
                      <w:w w:val="90"/>
                    </w:rPr>
                    <w:t>celek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nadále platí, přičemž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za neplatnou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bude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možné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považovat pouze tu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část, které se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důvod neplatnosti </w:t>
                  </w:r>
                  <w:r>
                    <w:rPr>
                      <w:w w:val="95"/>
                    </w:rPr>
                    <w:t>přímo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týká.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toto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ustanovení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doplní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nahradí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novým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ujednáním,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bude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odpovídat aktuálnímu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výkladu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právních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předpisů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smyslu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účelu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smlouvy.</w:t>
                  </w:r>
                </w:p>
                <w:p>
                  <w:pPr>
                    <w:pStyle w:val="BodyText"/>
                    <w:spacing w:line="254" w:lineRule="auto" w:before="123"/>
                    <w:ind w:right="17"/>
                    <w:jc w:val="both"/>
                  </w:pPr>
                  <w:r>
                    <w:rPr>
                      <w:w w:val="90"/>
                    </w:rPr>
                    <w:t>Pokud v některých případech nebude možné řešení zde uvedené a smlouva by byla neplatná jako celek, strany bezodkladně po tomto zjištění uzavřou novou smlouvu, ve které bude případný důvod neplatnosti </w:t>
                  </w:r>
                  <w:r>
                    <w:rPr/>
                    <w:t>odstraněn,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dosavadní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přijatá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plnění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budou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započítána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plnění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stran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podle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této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nové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smlouvy. </w:t>
                  </w:r>
                  <w:r>
                    <w:rPr>
                      <w:w w:val="95"/>
                    </w:rPr>
                    <w:t>Podmínky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nové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vyjdou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přitom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z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původní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smlouvy.</w:t>
                  </w:r>
                </w:p>
                <w:p>
                  <w:pPr>
                    <w:spacing w:before="120"/>
                    <w:ind w:left="2955" w:right="0" w:firstLine="0"/>
                    <w:jc w:val="both"/>
                    <w:rPr>
                      <w:b/>
                      <w:sz w:val="22"/>
                    </w:rPr>
                  </w:pPr>
                  <w:bookmarkStart w:name="IX. Řešení sporů, rozhodné právo" w:id="27"/>
                  <w:bookmarkEnd w:id="27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IX.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Řešení</w:t>
                  </w:r>
                  <w:r>
                    <w:rPr>
                      <w:b/>
                      <w:spacing w:val="-1"/>
                      <w:w w:val="85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sporů,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rozhodné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právo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5"/>
                    </w:rPr>
                    <w:t>vynaloží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5"/>
                    </w:rPr>
                    <w:t>veškeré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úsilí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tomu,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aby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5"/>
                    </w:rPr>
                    <w:t>vyřešily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5"/>
                    </w:rPr>
                    <w:t>všechny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spory,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5"/>
                    </w:rPr>
                    <w:t>mohly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vzniknout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w w:val="90"/>
                    </w:rPr>
                    <w:t>v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souvislosti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smlouvou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její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realizací,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první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řadě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vzájemnou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dohodou.</w:t>
                  </w:r>
                </w:p>
                <w:p>
                  <w:pPr>
                    <w:pStyle w:val="BodyText"/>
                    <w:spacing w:line="254" w:lineRule="auto" w:before="135"/>
                    <w:ind w:right="20"/>
                    <w:jc w:val="both"/>
                  </w:pP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strany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smyslu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ustanovení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§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87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odst.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1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ZMPS,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dohodly,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že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smlouva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práva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povinnosti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z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ní </w:t>
                  </w:r>
                  <w:r>
                    <w:rPr>
                      <w:w w:val="95"/>
                    </w:rPr>
                    <w:t>vyplývající</w:t>
                  </w:r>
                  <w:r>
                    <w:rPr>
                      <w:w w:val="95"/>
                    </w:rPr>
                    <w:t> se</w:t>
                  </w:r>
                  <w:r>
                    <w:rPr>
                      <w:w w:val="95"/>
                    </w:rPr>
                    <w:t> řídí</w:t>
                  </w:r>
                  <w:r>
                    <w:rPr>
                      <w:w w:val="95"/>
                    </w:rPr>
                    <w:t> právním</w:t>
                  </w:r>
                  <w:r>
                    <w:rPr>
                      <w:w w:val="95"/>
                    </w:rPr>
                    <w:t> řádem</w:t>
                  </w:r>
                  <w:r>
                    <w:rPr>
                      <w:w w:val="95"/>
                    </w:rPr>
                    <w:t> České</w:t>
                  </w:r>
                  <w:r>
                    <w:rPr>
                      <w:w w:val="95"/>
                    </w:rPr>
                    <w:t> republiky,</w:t>
                  </w:r>
                  <w:r>
                    <w:rPr>
                      <w:w w:val="95"/>
                    </w:rPr>
                    <w:t> zejména</w:t>
                  </w:r>
                  <w:r>
                    <w:rPr>
                      <w:w w:val="95"/>
                    </w:rPr>
                    <w:t> příslušnými</w:t>
                  </w:r>
                  <w:r>
                    <w:rPr>
                      <w:w w:val="95"/>
                    </w:rPr>
                    <w:t> ustanoveními</w:t>
                  </w:r>
                  <w:r>
                    <w:rPr>
                      <w:w w:val="95"/>
                    </w:rPr>
                    <w:t> občanského </w:t>
                  </w:r>
                  <w:r>
                    <w:rPr>
                      <w:spacing w:val="-2"/>
                      <w:w w:val="95"/>
                    </w:rPr>
                    <w:t>zákoníku.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kolizním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ustanovením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českého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právního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řádu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přitom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nepřihlíží.</w:t>
                  </w:r>
                </w:p>
                <w:p>
                  <w:pPr>
                    <w:pStyle w:val="BodyText"/>
                    <w:spacing w:line="254" w:lineRule="auto" w:before="122"/>
                    <w:ind w:right="21"/>
                    <w:jc w:val="both"/>
                  </w:pPr>
                  <w:r>
                    <w:rPr>
                      <w:w w:val="90"/>
                    </w:rPr>
                    <w:t>Použití obecných obchodních zvyklostí a zvyklostí zachovávaných v odvětvích, ve kterých smluvní strany </w:t>
                  </w:r>
                  <w:r>
                    <w:rPr>
                      <w:spacing w:val="-2"/>
                      <w:w w:val="95"/>
                    </w:rPr>
                    <w:t>podnikají,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závazky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založené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smlouvou,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vylučují.</w:t>
                  </w:r>
                </w:p>
                <w:p>
                  <w:pPr>
                    <w:spacing w:before="119"/>
                    <w:ind w:left="2256" w:right="0" w:firstLine="0"/>
                    <w:jc w:val="both"/>
                    <w:rPr>
                      <w:b/>
                      <w:sz w:val="22"/>
                    </w:rPr>
                  </w:pPr>
                  <w:bookmarkStart w:name="X. Založení pravomoci českých soudů, pro" w:id="28"/>
                  <w:bookmarkEnd w:id="28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X.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Založení</w:t>
                  </w:r>
                  <w:r>
                    <w:rPr>
                      <w:b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pravomoci</w:t>
                  </w:r>
                  <w:r>
                    <w:rPr>
                      <w:b/>
                      <w:spacing w:val="-6"/>
                      <w:w w:val="85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českých</w:t>
                  </w:r>
                  <w:r>
                    <w:rPr>
                      <w:b/>
                      <w:spacing w:val="-6"/>
                      <w:w w:val="85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soudů,</w:t>
                  </w:r>
                  <w:r>
                    <w:rPr>
                      <w:b/>
                      <w:spacing w:val="-5"/>
                      <w:w w:val="8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prorogace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5"/>
                    </w:rPr>
                    <w:t>Smluvní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w w:val="95"/>
                    </w:rPr>
                    <w:t> ve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smyslu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ustanovení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§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85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ZMPS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dohodly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pravomoci</w:t>
                  </w:r>
                  <w:r>
                    <w:rPr>
                      <w:w w:val="95"/>
                    </w:rPr>
                    <w:t> soudů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České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republiky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projednání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rozhodnutí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sporů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jiných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věcí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vyplývajících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ze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založeného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právního vztahu,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jakož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vztahů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tímto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vztahem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souvisejících.</w:t>
                  </w:r>
                </w:p>
                <w:p>
                  <w:pPr>
                    <w:pStyle w:val="BodyText"/>
                    <w:spacing w:line="254" w:lineRule="auto" w:before="122"/>
                    <w:ind w:right="20"/>
                    <w:jc w:val="both"/>
                  </w:pPr>
                  <w:r>
                    <w:rPr>
                      <w:w w:val="90"/>
                    </w:rPr>
                    <w:t>Smluvní strany se ve smyslu ustanovení §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89a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o.s.ř., dohodly, že místně příslušným soudem k projednání a rozhodnutí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sporů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a jiných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právních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věcí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vyplývajících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ze smlouvy založeného právního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vztahu, jakož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i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ze vztahů s tímto vztahem souvisejících, je v případě, že k projednání věci je věcně příslušný krajský soud, Městský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soud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Praze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případě,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že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k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projednání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věci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věcně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příslušný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okresní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soud,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Obvodní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soud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 </w:t>
                  </w:r>
                  <w:r>
                    <w:rPr/>
                    <w:t>Prahu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5.</w:t>
                  </w:r>
                </w:p>
                <w:p>
                  <w:pPr>
                    <w:spacing w:before="123"/>
                    <w:ind w:left="3322" w:right="0" w:firstLine="0"/>
                    <w:jc w:val="both"/>
                    <w:rPr>
                      <w:b/>
                      <w:sz w:val="22"/>
                    </w:rPr>
                  </w:pPr>
                  <w:bookmarkStart w:name="XI. Podmínky doručování" w:id="29"/>
                  <w:bookmarkEnd w:id="29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XI.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Podmínky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doručování</w:t>
                  </w:r>
                </w:p>
                <w:p>
                  <w:pPr>
                    <w:pStyle w:val="BodyText"/>
                    <w:spacing w:line="254" w:lineRule="auto" w:before="134"/>
                    <w:ind w:right="18"/>
                    <w:jc w:val="both"/>
                  </w:pPr>
                  <w:r>
                    <w:rPr>
                      <w:w w:val="95"/>
                    </w:rPr>
                    <w:t>Kontaktní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údaje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vyřizování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sdělení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dle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vyřizování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písemností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týkajících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smlouvy, budou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doručovány následujícími způsoby: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01" w:val="left" w:leader="none"/>
                    </w:tabs>
                    <w:spacing w:line="240" w:lineRule="auto" w:before="121" w:after="0"/>
                    <w:ind w:left="300" w:right="0" w:hanging="281"/>
                    <w:jc w:val="both"/>
                  </w:pPr>
                  <w:r>
                    <w:rPr>
                      <w:w w:val="90"/>
                    </w:rPr>
                    <w:t>prostřednictvím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držitele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poštovní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licence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adresy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sídel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smluvních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0"/>
                    </w:rPr>
                    <w:t>stran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uvedené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hlavičce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smlouvy;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01" w:val="left" w:leader="none"/>
                    </w:tabs>
                    <w:spacing w:line="254" w:lineRule="auto" w:before="16" w:after="0"/>
                    <w:ind w:left="300" w:right="21" w:hanging="281"/>
                    <w:jc w:val="both"/>
                  </w:pPr>
                  <w:r>
                    <w:rPr>
                      <w:w w:val="95"/>
                    </w:rPr>
                    <w:t>prostřednictvím</w:t>
                  </w:r>
                  <w:r>
                    <w:rPr>
                      <w:w w:val="95"/>
                    </w:rPr>
                    <w:t> pověřených</w:t>
                  </w:r>
                  <w:r>
                    <w:rPr>
                      <w:w w:val="95"/>
                    </w:rPr>
                    <w:t> zaměstnanců</w:t>
                  </w:r>
                  <w:r>
                    <w:rPr>
                      <w:w w:val="95"/>
                    </w:rPr>
                    <w:t> dodavatele,</w:t>
                  </w:r>
                  <w:r>
                    <w:rPr>
                      <w:w w:val="95"/>
                    </w:rPr>
                    <w:t> a</w:t>
                  </w:r>
                  <w:r>
                    <w:rPr>
                      <w:w w:val="95"/>
                    </w:rPr>
                    <w:t> to</w:t>
                  </w:r>
                  <w:r>
                    <w:rPr>
                      <w:w w:val="95"/>
                    </w:rPr>
                    <w:t> faxem,</w:t>
                  </w:r>
                  <w:r>
                    <w:rPr>
                      <w:w w:val="95"/>
                    </w:rPr>
                    <w:t> datovou</w:t>
                  </w:r>
                  <w:r>
                    <w:rPr>
                      <w:w w:val="95"/>
                    </w:rPr>
                    <w:t> schránkou,</w:t>
                  </w:r>
                  <w:r>
                    <w:rPr>
                      <w:w w:val="95"/>
                    </w:rPr>
                    <w:t> emailem </w:t>
                  </w:r>
                  <w:r>
                    <w:rPr>
                      <w:spacing w:val="-2"/>
                      <w:w w:val="95"/>
                    </w:rPr>
                    <w:t>uvedeným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hlavičce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smlouvy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či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osobně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sídlech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smluvních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stran.</w:t>
                  </w:r>
                </w:p>
                <w:p>
                  <w:pPr>
                    <w:pStyle w:val="BodyText"/>
                    <w:spacing w:line="254" w:lineRule="auto" w:before="121"/>
                    <w:ind w:right="17"/>
                    <w:jc w:val="both"/>
                  </w:pPr>
                  <w:r>
                    <w:rPr>
                      <w:spacing w:val="-2"/>
                      <w:w w:val="95"/>
                    </w:rPr>
                    <w:t>Smluvní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strany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budou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doručovat písemnosti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dohodnuté doručovací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adresy.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Dohodnutou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doručovací </w:t>
                  </w:r>
                  <w:r>
                    <w:rPr>
                      <w:w w:val="95"/>
                    </w:rPr>
                    <w:t>adresou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rozumí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adresa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sídla/místa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podnikání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dotčené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uvedená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hlavičce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smlouvy, případně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5"/>
                    </w:rPr>
                    <w:t>jiná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kontaktní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adresa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uvedená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hlavičce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nebo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datová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schránka.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Při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5"/>
                    </w:rPr>
                    <w:t>změně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místa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35.199982pt;width:10.45pt;height:13.05pt;mso-position-horizontal-relative:page;mso-position-vertical-relative:page;z-index:-16105984" type="#_x0000_t202" id="docshape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67.959976pt;width:10.45pt;height:13.05pt;mso-position-horizontal-relative:page;mso-position-vertical-relative:page;z-index:-16105472" type="#_x0000_t202" id="docshape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220.279984pt;width:10.45pt;height:32.5pt;mso-position-horizontal-relative:page;mso-position-vertical-relative:page;z-index:-16104960" type="#_x0000_t202" id="docshape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312.919983pt;width:10.45pt;height:13.05pt;mso-position-horizontal-relative:page;mso-position-vertical-relative:page;z-index:-16104448" type="#_x0000_t202" id="docshape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391.999969pt;width:10.45pt;height:13.05pt;mso-position-horizontal-relative:page;mso-position-vertical-relative:page;z-index:-16103936" type="#_x0000_t202" id="docshape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424.879974pt;width:10.45pt;height:13.05pt;mso-position-horizontal-relative:page;mso-position-vertical-relative:page;z-index:-16103424" type="#_x0000_t202" id="docshape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471.199982pt;width:10.45pt;height:13.05pt;mso-position-horizontal-relative:page;mso-position-vertical-relative:page;z-index:-16102912" type="#_x0000_t202" id="docshape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523.399963pt;width:10.45pt;height:13.05pt;mso-position-horizontal-relative:page;mso-position-vertical-relative:page;z-index:-16102400" type="#_x0000_t202" id="docshape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569.719971pt;width:10.45pt;height:13.05pt;mso-position-horizontal-relative:page;mso-position-vertical-relative:page;z-index:-16101888" type="#_x0000_t202" id="docshape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662.23999pt;width:10.45pt;height:13.05pt;mso-position-horizontal-relative:page;mso-position-vertical-relative:page;z-index:-16101376" type="#_x0000_t202" id="docshape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41.440002pt;width:10.45pt;height:13.05pt;mso-position-horizontal-relative:page;mso-position-vertical-relative:page;z-index:-16100864" type="#_x0000_t202" id="docshape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100352" type="#_x0000_t202" id="docshape91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099840" type="#_x0000_t202" id="docshape92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5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17152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11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279999pt;margin-top:41.929981pt;width:104.95pt;height:29.65pt;mso-position-horizontal-relative:page;mso-position-vertical-relative:page;z-index:-16098816" type="#_x0000_t202" id="docshape93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098304" type="#_x0000_t202" id="docshape94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468.45pt;height:690pt;mso-position-horizontal-relative:page;mso-position-vertical-relative:page;z-index:-16097792" type="#_x0000_t202" id="docshape95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0"/>
                    </w:rPr>
                    <w:t>podnikání/sídla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strany,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tato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0"/>
                    </w:rPr>
                    <w:t>strana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povinna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90"/>
                    </w:rPr>
                    <w:t>neprodleně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90"/>
                    </w:rPr>
                    <w:t>informovat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této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skutečnosti</w:t>
                  </w:r>
                </w:p>
                <w:p>
                  <w:pPr>
                    <w:pStyle w:val="BodyText"/>
                    <w:spacing w:line="254" w:lineRule="auto" w:before="16"/>
                    <w:ind w:right="19"/>
                    <w:jc w:val="both"/>
                  </w:pPr>
                  <w:r>
                    <w:rPr>
                      <w:spacing w:val="-2"/>
                      <w:w w:val="95"/>
                    </w:rPr>
                    <w:t>druhou smluvní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stranu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oznámit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ji adresu,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která bude její novou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doručovací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adresou.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Doručí-li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smluvní </w:t>
                  </w:r>
                  <w:r>
                    <w:rPr>
                      <w:w w:val="95"/>
                    </w:rPr>
                    <w:t>strana druhé smluvní straně písemné oznámení o změně doručovací adresy, rozumí se dohodnutou </w:t>
                  </w:r>
                  <w:r>
                    <w:rPr>
                      <w:spacing w:val="-2"/>
                      <w:w w:val="95"/>
                    </w:rPr>
                    <w:t>doručovací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adresou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dotčené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smluvní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strany nově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sdělená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adresa.</w:t>
                  </w:r>
                </w:p>
                <w:p>
                  <w:pPr>
                    <w:pStyle w:val="BodyText"/>
                    <w:spacing w:line="254" w:lineRule="auto" w:before="121"/>
                    <w:ind w:right="22"/>
                    <w:jc w:val="both"/>
                  </w:pP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jsou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povinny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pravidelně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přebírat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poštu,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případně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zajistit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její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pravidelné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přebírání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své doručovací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adrese.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berou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vědomí,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porušení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povinnosti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řádně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přebírat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poštu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dle </w:t>
                  </w:r>
                  <w:r>
                    <w:rPr>
                      <w:spacing w:val="-2"/>
                      <w:w w:val="95"/>
                    </w:rPr>
                    <w:t>tohoto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článku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může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mít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následek,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že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doručení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zásilky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bude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zmařeno.</w:t>
                  </w:r>
                </w:p>
                <w:p>
                  <w:pPr>
                    <w:pStyle w:val="BodyText"/>
                    <w:spacing w:line="254" w:lineRule="auto" w:before="120"/>
                    <w:ind w:right="20"/>
                    <w:jc w:val="both"/>
                  </w:pPr>
                  <w:r>
                    <w:rPr>
                      <w:w w:val="95"/>
                    </w:rPr>
                    <w:t>Nevyzvedne-li</w:t>
                  </w:r>
                  <w:r>
                    <w:rPr>
                      <w:w w:val="95"/>
                    </w:rPr>
                    <w:t> si</w:t>
                  </w:r>
                  <w:r>
                    <w:rPr>
                      <w:w w:val="95"/>
                    </w:rPr>
                    <w:t> adresát</w:t>
                  </w:r>
                  <w:r>
                    <w:rPr>
                      <w:w w:val="95"/>
                    </w:rPr>
                    <w:t> zásilku,</w:t>
                  </w:r>
                  <w:r>
                    <w:rPr>
                      <w:w w:val="95"/>
                    </w:rPr>
                    <w:t> nebo</w:t>
                  </w:r>
                  <w:r>
                    <w:rPr>
                      <w:w w:val="95"/>
                    </w:rPr>
                    <w:t> nepodaří-li</w:t>
                  </w:r>
                  <w:r>
                    <w:rPr>
                      <w:w w:val="95"/>
                    </w:rPr>
                    <w:t> se</w:t>
                  </w:r>
                  <w:r>
                    <w:rPr>
                      <w:w w:val="95"/>
                    </w:rPr>
                    <w:t> mu</w:t>
                  </w:r>
                  <w:r>
                    <w:rPr>
                      <w:w w:val="95"/>
                    </w:rPr>
                    <w:t> zásilku</w:t>
                  </w:r>
                  <w:r>
                    <w:rPr>
                      <w:w w:val="95"/>
                    </w:rPr>
                    <w:t> doručit</w:t>
                  </w:r>
                  <w:r>
                    <w:rPr>
                      <w:w w:val="95"/>
                    </w:rPr>
                    <w:t> na</w:t>
                  </w:r>
                  <w:r>
                    <w:rPr>
                      <w:w w:val="95"/>
                    </w:rPr>
                    <w:t> dohodnutou</w:t>
                  </w:r>
                  <w:r>
                    <w:rPr>
                      <w:w w:val="95"/>
                    </w:rPr>
                    <w:t> doručovací adresu,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nastávají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účinky,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které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předpisy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spojují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doručením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právního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jednání,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který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bylo </w:t>
                  </w:r>
                  <w:r>
                    <w:rPr>
                      <w:spacing w:val="-2"/>
                      <w:w w:val="95"/>
                    </w:rPr>
                    <w:t>obsahem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zásilky,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dnem,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kdy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zásilka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vrátí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odesílateli.</w:t>
                  </w:r>
                </w:p>
                <w:p>
                  <w:pPr>
                    <w:spacing w:before="122"/>
                    <w:ind w:left="3759" w:right="0" w:firstLine="0"/>
                    <w:jc w:val="both"/>
                    <w:rPr>
                      <w:b/>
                      <w:sz w:val="22"/>
                    </w:rPr>
                  </w:pPr>
                  <w:bookmarkStart w:name="XII. Mlčenlivost" w:id="30"/>
                  <w:bookmarkEnd w:id="30"/>
                  <w:r>
                    <w:rPr/>
                  </w:r>
                  <w:r>
                    <w:rPr>
                      <w:b/>
                      <w:w w:val="90"/>
                      <w:sz w:val="22"/>
                    </w:rPr>
                    <w:t>XII.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Mlčenlivost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0"/>
                    </w:rPr>
                    <w:t>Smluvní strany zachovávají mlčenlivost o veškerých skutečnostech, které se dozví v souvislosti se svojí </w:t>
                  </w:r>
                  <w:r>
                    <w:rPr>
                      <w:w w:val="95"/>
                    </w:rPr>
                    <w:t>činností na základě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smlouvy,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včetně jednání před uzavřením smlouvy, pokud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tyto skutečnosti nejsou </w:t>
                  </w:r>
                  <w:r>
                    <w:rPr>
                      <w:spacing w:val="-2"/>
                      <w:w w:val="95"/>
                    </w:rPr>
                    <w:t>běžně veřejně dostupné. Za důvěrné informace a předmět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mlčenlivosti dle smlouvy se považují rovněž </w:t>
                  </w:r>
                  <w:r>
                    <w:rPr>
                      <w:w w:val="90"/>
                    </w:rPr>
                    <w:t>jakékoliv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osobní údaje, podoba a soukromí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pacientů, zaměstnanců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 jiných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pracovníků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NNH, o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kterých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 </w:t>
                  </w:r>
                  <w:r>
                    <w:rPr>
                      <w:w w:val="95"/>
                    </w:rPr>
                    <w:t>dodavatel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souvislosti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svou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činností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dozví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nebo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dostane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kontaktu.</w:t>
                  </w:r>
                </w:p>
                <w:p>
                  <w:pPr>
                    <w:pStyle w:val="BodyText"/>
                    <w:spacing w:line="256" w:lineRule="auto" w:before="121"/>
                    <w:ind w:right="19"/>
                    <w:jc w:val="both"/>
                  </w:pPr>
                  <w:r>
                    <w:rPr>
                      <w:w w:val="90"/>
                    </w:rPr>
                    <w:t>NNH upozorňuje, že je povinným subjektem dle ustanovení § 2 odst. 1 písm. n) zákona o registru smluv,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w w:val="90"/>
                    </w:rPr>
                    <w:t>a má povinnost zveřejňovat smlouvy v registru smluv. S ohledem na skutečnost, že právo zaslat smlouvu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90"/>
                    </w:rPr>
                    <w:t>k uveřejnění do registru smluv náleží dle zákona o registru smluv oběma smluvním stranám, dohodly se </w:t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za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účelem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vyloučení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případného duplicitního zaslání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uveřejnění do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registru smluv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na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tom,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smlouvu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zašle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uveřejnění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registru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která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bude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vztahu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ke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smlouvě plnit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též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ostatní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povinnosti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vyplývající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něj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ze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zákona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registru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smluv.</w:t>
                  </w:r>
                </w:p>
                <w:p>
                  <w:pPr>
                    <w:spacing w:before="123"/>
                    <w:ind w:left="3104" w:right="0" w:firstLine="0"/>
                    <w:jc w:val="both"/>
                    <w:rPr>
                      <w:b/>
                      <w:sz w:val="22"/>
                    </w:rPr>
                  </w:pPr>
                  <w:bookmarkStart w:name="XIII. Protikorupční ustanovení" w:id="31"/>
                  <w:bookmarkEnd w:id="31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XIII.</w:t>
                  </w:r>
                  <w:r>
                    <w:rPr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Protikorupční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ustanovení</w:t>
                  </w:r>
                </w:p>
                <w:p>
                  <w:pPr>
                    <w:pStyle w:val="BodyText"/>
                    <w:spacing w:line="254" w:lineRule="auto" w:before="135"/>
                    <w:ind w:right="18"/>
                    <w:jc w:val="both"/>
                  </w:pPr>
                  <w:r>
                    <w:rPr>
                      <w:w w:val="90"/>
                    </w:rPr>
                    <w:t>Smluvní strany se zavazují jednat tak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a přijmout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taková opatření, aby nevzniklo žádné důvodné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podezření ze spáchání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trestného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činu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aby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nedošlo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ani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k žádnému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takovému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spáchání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trestného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činu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(včetně formy </w:t>
                  </w:r>
                  <w:r>
                    <w:rPr>
                      <w:w w:val="95"/>
                    </w:rPr>
                    <w:t>účastenství),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ani jeho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přípravy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 pokusu,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jež by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mohlo být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kterékoliv ze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smluvních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přičteno </w:t>
                  </w:r>
                  <w:r>
                    <w:rPr>
                      <w:spacing w:val="-2"/>
                      <w:w w:val="95"/>
                    </w:rPr>
                    <w:t>podle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zákona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č.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418/2011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Sb.,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trestní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odpovědnosti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právnických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osob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řízení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proti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nim,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jakož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aby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ani </w:t>
                  </w:r>
                  <w:r>
                    <w:rPr>
                      <w:w w:val="90"/>
                    </w:rPr>
                    <w:t>nevznikla trestní odpovědnost fyzických osob (včetně zaměstnanců) podle trestního zákoníku, případně nebylo zahájeno trestní stíhání proti kterékoliv smluvní straně včetně jejích zaměstnanců podle platných </w:t>
                  </w:r>
                  <w:r>
                    <w:rPr/>
                    <w:t>právních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předpisů.</w:t>
                  </w:r>
                </w:p>
                <w:p>
                  <w:pPr>
                    <w:pStyle w:val="BodyText"/>
                    <w:spacing w:line="254" w:lineRule="auto" w:before="123"/>
                    <w:ind w:right="17"/>
                    <w:jc w:val="both"/>
                  </w:pPr>
                  <w:r>
                    <w:rPr>
                      <w:w w:val="90"/>
                    </w:rPr>
                    <w:t>Dodavatel prohlašuje, že se seznámil se zásadami, hodnotami a cíli Interního protikorupčního programu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w w:val="95"/>
                    </w:rPr>
                    <w:t> uveřejněného</w:t>
                  </w:r>
                  <w:r>
                    <w:rPr>
                      <w:w w:val="95"/>
                    </w:rPr>
                    <w:t> na</w:t>
                  </w:r>
                  <w:r>
                    <w:rPr>
                      <w:w w:val="95"/>
                    </w:rPr>
                    <w:t> webových</w:t>
                  </w:r>
                  <w:r>
                    <w:rPr>
                      <w:w w:val="95"/>
                    </w:rPr>
                    <w:t> stránkách</w:t>
                  </w:r>
                  <w:r>
                    <w:rPr>
                      <w:w w:val="95"/>
                    </w:rPr>
                    <w:t> NNH,</w:t>
                  </w:r>
                  <w:r>
                    <w:rPr>
                      <w:w w:val="95"/>
                    </w:rPr>
                    <w:t> viz</w:t>
                  </w:r>
                  <w:r>
                    <w:rPr>
                      <w:w w:val="95"/>
                    </w:rPr>
                    <w:t> https://</w:t>
                  </w:r>
                  <w:hyperlink r:id="rId7">
                    <w:r>
                      <w:rPr>
                        <w:w w:val="95"/>
                      </w:rPr>
                      <w:t>www.homolka.cz/o-nemocnici/11966-</w:t>
                    </w:r>
                  </w:hyperlink>
                  <w:r>
                    <w:rPr>
                      <w:w w:val="95"/>
                    </w:rPr>
                    <w:t> </w:t>
                  </w:r>
                  <w:r>
                    <w:rPr>
                      <w:spacing w:val="-2"/>
                    </w:rPr>
                    <w:t>protikorupcni-strategie/.</w:t>
                  </w:r>
                </w:p>
                <w:p>
                  <w:pPr>
                    <w:pStyle w:val="BodyText"/>
                    <w:spacing w:line="254" w:lineRule="auto" w:before="121"/>
                    <w:ind w:right="20"/>
                    <w:jc w:val="both"/>
                  </w:pPr>
                  <w:r>
                    <w:rPr>
                      <w:w w:val="90"/>
                    </w:rPr>
                    <w:t>Dodavatel se zavazuje v co nejširším možném rozsahu dodržovat zásady a pravidla spolupráce uvedená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příloze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č.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2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Interního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protikorupčního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programu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NNH,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na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vlastní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náklady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odpovědnost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při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plnění </w:t>
                  </w:r>
                  <w:r>
                    <w:rPr>
                      <w:w w:val="95"/>
                    </w:rPr>
                    <w:t>svých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závazků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vzniklých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smlouvy.</w:t>
                  </w:r>
                </w:p>
                <w:p>
                  <w:pPr>
                    <w:pStyle w:val="BodyText"/>
                    <w:spacing w:line="254" w:lineRule="auto" w:before="120"/>
                    <w:ind w:right="18"/>
                    <w:jc w:val="both"/>
                  </w:pPr>
                  <w:r>
                    <w:rPr>
                      <w:w w:val="95"/>
                    </w:rPr>
                    <w:t>Dodavatel</w:t>
                  </w:r>
                  <w:r>
                    <w:rPr>
                      <w:w w:val="95"/>
                    </w:rPr>
                    <w:t> se</w:t>
                  </w:r>
                  <w:r>
                    <w:rPr>
                      <w:w w:val="95"/>
                    </w:rPr>
                    <w:t> zavazuje</w:t>
                  </w:r>
                  <w:r>
                    <w:rPr>
                      <w:w w:val="95"/>
                    </w:rPr>
                    <w:t> dodržovat</w:t>
                  </w:r>
                  <w:r>
                    <w:rPr>
                      <w:w w:val="95"/>
                    </w:rPr>
                    <w:t> hodnoty,</w:t>
                  </w:r>
                  <w:r>
                    <w:rPr>
                      <w:w w:val="95"/>
                    </w:rPr>
                    <w:t> zásady</w:t>
                  </w:r>
                  <w:r>
                    <w:rPr>
                      <w:w w:val="95"/>
                    </w:rPr>
                    <w:t> a</w:t>
                  </w:r>
                  <w:r>
                    <w:rPr>
                      <w:w w:val="95"/>
                    </w:rPr>
                    <w:t> pravidla</w:t>
                  </w:r>
                  <w:r>
                    <w:rPr>
                      <w:w w:val="95"/>
                    </w:rPr>
                    <w:t> spolupráce</w:t>
                  </w:r>
                  <w:r>
                    <w:rPr>
                      <w:w w:val="95"/>
                    </w:rPr>
                    <w:t> Interního</w:t>
                  </w:r>
                  <w:r>
                    <w:rPr>
                      <w:w w:val="95"/>
                    </w:rPr>
                    <w:t> protikorupčního programu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NNH především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vztahu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protikorupčním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opatřením.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této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souvislosti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 zavazují</w:t>
                  </w:r>
                  <w:r>
                    <w:rPr>
                      <w:w w:val="95"/>
                    </w:rPr>
                    <w:t> si</w:t>
                  </w:r>
                  <w:r>
                    <w:rPr>
                      <w:w w:val="95"/>
                    </w:rPr>
                    <w:t> navzájem</w:t>
                  </w:r>
                  <w:r>
                    <w:rPr>
                      <w:w w:val="95"/>
                    </w:rPr>
                    <w:t> neprodleně</w:t>
                  </w:r>
                  <w:r>
                    <w:rPr>
                      <w:w w:val="95"/>
                    </w:rPr>
                    <w:t> oznámit</w:t>
                  </w:r>
                  <w:r>
                    <w:rPr>
                      <w:w w:val="95"/>
                    </w:rPr>
                    <w:t> důvodné</w:t>
                  </w:r>
                  <w:r>
                    <w:rPr>
                      <w:w w:val="95"/>
                    </w:rPr>
                    <w:t> podezření</w:t>
                  </w:r>
                  <w:r>
                    <w:rPr>
                      <w:w w:val="95"/>
                    </w:rPr>
                    <w:t> ohledně</w:t>
                  </w:r>
                  <w:r>
                    <w:rPr>
                      <w:w w:val="95"/>
                    </w:rPr>
                    <w:t> možného</w:t>
                  </w:r>
                  <w:r>
                    <w:rPr>
                      <w:w w:val="95"/>
                    </w:rPr>
                    <w:t> naplnění</w:t>
                  </w:r>
                  <w:r>
                    <w:rPr>
                      <w:w w:val="95"/>
                    </w:rPr>
                    <w:t> skutkové </w:t>
                  </w:r>
                  <w:r>
                    <w:rPr>
                      <w:spacing w:val="-2"/>
                      <w:w w:val="95"/>
                    </w:rPr>
                    <w:t>podstaty některého z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trestných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činů, především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trestného činu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přijetí úplatku,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nepřímého úplatkářství či </w:t>
                  </w:r>
                  <w:r>
                    <w:rPr>
                      <w:w w:val="90"/>
                    </w:rPr>
                    <w:t>podplacení, a to bez ohledu na splnění případné zákonné oznamovací povinnosti a nad její rámec.</w:t>
                  </w:r>
                </w:p>
                <w:p>
                  <w:pPr>
                    <w:pStyle w:val="BodyText"/>
                    <w:spacing w:line="254" w:lineRule="auto" w:before="123"/>
                    <w:ind w:right="20"/>
                    <w:jc w:val="both"/>
                  </w:pPr>
                  <w:r>
                    <w:rPr>
                      <w:w w:val="95"/>
                    </w:rPr>
                    <w:t>Smluvní strany se zavazují a prohlašují, že splňují a budou po celou dobu trvání smlouvy dodržovat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splňovat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kritéria a standardy chování vyplývající z výše uvedených zásad a hodnot Interního protikorupčního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programu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NNH.</w:t>
                  </w:r>
                </w:p>
                <w:p>
                  <w:pPr>
                    <w:pStyle w:val="BodyText"/>
                    <w:spacing w:line="252" w:lineRule="auto" w:before="122"/>
                    <w:ind w:right="19"/>
                    <w:jc w:val="both"/>
                  </w:pPr>
                  <w:r>
                    <w:rPr>
                      <w:w w:val="90"/>
                    </w:rPr>
                    <w:t>Každá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ze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smluvních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prohlašuje,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že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neposkytne,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nenabídne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ani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neslíbí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úplatek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jinému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nebo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jiného v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souvislosti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obstaráváním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věcí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obecného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zájmu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ani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neposkytne,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nenabídne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ani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neslíbí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úplatek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jinému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42.639984pt;width:10.45pt;height:13.05pt;mso-position-horizontal-relative:page;mso-position-vertical-relative:page;z-index:-16097280" type="#_x0000_t202" id="docshape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88.839981pt;width:10.45pt;height:13.05pt;mso-position-horizontal-relative:page;mso-position-vertical-relative:page;z-index:-16096768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254.599976pt;width:10.45pt;height:13.05pt;mso-position-horizontal-relative:page;mso-position-vertical-relative:page;z-index:-16096256" type="#_x0000_t202" id="docshape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327.679993pt;width:10.45pt;height:13.05pt;mso-position-horizontal-relative:page;mso-position-vertical-relative:page;z-index:-16095744" type="#_x0000_t202" id="docshape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434.47998pt;width:10.45pt;height:13.05pt;mso-position-horizontal-relative:page;mso-position-vertical-relative:page;z-index:-16095232" type="#_x0000_t202" id="docshape1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534.440002pt;width:10.45pt;height:13.05pt;mso-position-horizontal-relative:page;mso-position-vertical-relative:page;z-index:-16094720" type="#_x0000_t202" id="docshape1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580.76001pt;width:10.45pt;height:13.05pt;mso-position-horizontal-relative:page;mso-position-vertical-relative:page;z-index:-16094208" type="#_x0000_t202" id="docshape1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626.959961pt;width:10.45pt;height:13.05pt;mso-position-horizontal-relative:page;mso-position-vertical-relative:page;z-index:-16093696" type="#_x0000_t202" id="docshape1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700.159973pt;width:10.45pt;height:13.05pt;mso-position-horizontal-relative:page;mso-position-vertical-relative:page;z-index:-16093184" type="#_x0000_t202" id="docshape1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746.47998pt;width:10.45pt;height:13.05pt;mso-position-horizontal-relative:page;mso-position-vertical-relative:page;z-index:-16092672" type="#_x0000_t202" id="docshape1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092160" type="#_x0000_t202" id="docshape106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091648" type="#_x0000_t202" id="docshape107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6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25344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13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279999pt;margin-top:41.929981pt;width:104.95pt;height:29.65pt;mso-position-horizontal-relative:page;mso-position-vertical-relative:page;z-index:-16090624" type="#_x0000_t202" id="docshape108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090112" type="#_x0000_t202" id="docshape109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468.45pt;height:667.05pt;mso-position-horizontal-relative:page;mso-position-vertical-relative:page;z-index:-16089600" type="#_x0000_t202" id="docshape110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w w:val="95"/>
                    </w:rPr>
                    <w:t>nebo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jiného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souvislosti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podnikáním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svým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nebo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jiného,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neposkytne,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nenabídne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ani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neslíbí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neoprávněné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výhody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třetím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0"/>
                    </w:rPr>
                    <w:t>stranám,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ani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nepřijímá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nevyžaduje.</w:t>
                  </w:r>
                </w:p>
                <w:p>
                  <w:pPr>
                    <w:pStyle w:val="BodyText"/>
                    <w:spacing w:line="240" w:lineRule="auto" w:before="135"/>
                    <w:jc w:val="both"/>
                  </w:pP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dohodly,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95"/>
                    </w:rPr>
                    <w:t>že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při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plnění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w w:val="95"/>
                    </w:rPr>
                    <w:t>budou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w w:val="95"/>
                    </w:rPr>
                    <w:t>vždy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postupovat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čestně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transparentně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a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potvrzují,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že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takto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jednaly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průběhu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vyjednávání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po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dobu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účinnosti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smlouvy.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0"/>
                    </w:rPr>
                    <w:t>V této souvislosti se smluvní strany zavazují si navzájem neprodleně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oznámit důvodné podezření ohledně možného jednání,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které je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v rozporu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se zásadami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podle tohoto článku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VOP a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mohlo by souviset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plněním </w:t>
                  </w:r>
                  <w:r>
                    <w:rPr>
                      <w:w w:val="95"/>
                    </w:rPr>
                    <w:t>smlouvy nebo s jejím uzavíráním.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1636" w:val="left" w:leader="none"/>
                    </w:tabs>
                    <w:spacing w:before="120"/>
                    <w:ind w:left="1635" w:right="0" w:hanging="431"/>
                    <w:jc w:val="both"/>
                    <w:rPr>
                      <w:b/>
                      <w:sz w:val="22"/>
                    </w:rPr>
                  </w:pPr>
                  <w:bookmarkStart w:name="XIV. Ustanovení o formě, počtu stejnopis" w:id="32"/>
                  <w:bookmarkEnd w:id="32"/>
                  <w:r>
                    <w:rPr>
                      <w:b/>
                      <w:w w:val="85"/>
                      <w:sz w:val="22"/>
                    </w:rPr>
                    <w:t>U</w:t>
                  </w:r>
                  <w:r>
                    <w:rPr>
                      <w:b/>
                      <w:w w:val="85"/>
                      <w:sz w:val="22"/>
                    </w:rPr>
                    <w:t>stanovení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o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formě,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počtu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stejnopisů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smlouvy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jejím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zveřejněním</w:t>
                  </w:r>
                </w:p>
                <w:p>
                  <w:pPr>
                    <w:pStyle w:val="BodyText"/>
                    <w:spacing w:line="240" w:lineRule="auto" w:before="135"/>
                    <w:jc w:val="both"/>
                  </w:pPr>
                  <w:bookmarkStart w:name="1. Pro NNH musejí být vyhotoveny vždy al" w:id="33"/>
                  <w:bookmarkEnd w:id="33"/>
                  <w:r>
                    <w:rPr/>
                  </w:r>
                  <w:r>
                    <w:rPr>
                      <w:w w:val="90"/>
                    </w:rPr>
                    <w:t>Pro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musejí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být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vyhotoveny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0"/>
                    </w:rPr>
                    <w:t>vždy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alespoň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dvě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originální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0"/>
                    </w:rPr>
                    <w:t>vyhotovení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smlouvy.</w:t>
                  </w:r>
                </w:p>
                <w:p>
                  <w:pPr>
                    <w:pStyle w:val="BodyText"/>
                    <w:spacing w:line="254" w:lineRule="auto" w:before="136"/>
                    <w:ind w:right="21"/>
                    <w:jc w:val="both"/>
                  </w:pPr>
                  <w:bookmarkStart w:name="2. Smlouva musí být sepsána v českém jaz" w:id="34"/>
                  <w:bookmarkEnd w:id="34"/>
                  <w:r>
                    <w:rPr/>
                  </w:r>
                  <w:r>
                    <w:rPr>
                      <w:w w:val="90"/>
                    </w:rPr>
                    <w:t>Smlouva musí být sepsána v českém jazyce. Je-li smlouva sepsána ve vícejazyčném znění, je rozhodné </w:t>
                  </w:r>
                  <w:r>
                    <w:rPr>
                      <w:w w:val="95"/>
                    </w:rPr>
                    <w:t>znění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českém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jazyce.</w:t>
                  </w:r>
                </w:p>
                <w:p>
                  <w:pPr>
                    <w:pStyle w:val="BodyText"/>
                    <w:spacing w:line="254" w:lineRule="auto" w:before="121"/>
                    <w:ind w:right="20"/>
                    <w:jc w:val="both"/>
                  </w:pPr>
                  <w:bookmarkStart w:name="3. Smluvní strany souhlasí s případným z" w:id="35"/>
                  <w:bookmarkEnd w:id="35"/>
                  <w:r>
                    <w:rPr/>
                  </w:r>
                  <w:r>
                    <w:rPr>
                      <w:w w:val="95"/>
                    </w:rPr>
                    <w:t>Smluvní</w:t>
                  </w:r>
                  <w:r>
                    <w:rPr>
                      <w:w w:val="95"/>
                    </w:rPr>
                    <w:t> strany</w:t>
                  </w:r>
                  <w:r>
                    <w:rPr>
                      <w:w w:val="95"/>
                    </w:rPr>
                    <w:t> souhlasí</w:t>
                  </w:r>
                  <w:r>
                    <w:rPr>
                      <w:w w:val="95"/>
                    </w:rPr>
                    <w:t> s</w:t>
                  </w:r>
                  <w:r>
                    <w:rPr>
                      <w:w w:val="95"/>
                    </w:rPr>
                    <w:t> případným</w:t>
                  </w:r>
                  <w:r>
                    <w:rPr>
                      <w:w w:val="95"/>
                    </w:rPr>
                    <w:t> zveřejněním</w:t>
                  </w:r>
                  <w:r>
                    <w:rPr>
                      <w:w w:val="95"/>
                    </w:rPr>
                    <w:t> všech</w:t>
                  </w:r>
                  <w:r>
                    <w:rPr>
                      <w:w w:val="95"/>
                    </w:rPr>
                    <w:t> náležitostí</w:t>
                  </w:r>
                  <w:r>
                    <w:rPr>
                      <w:w w:val="95"/>
                    </w:rPr>
                    <w:t> smluvního</w:t>
                  </w:r>
                  <w:r>
                    <w:rPr>
                      <w:w w:val="95"/>
                    </w:rPr>
                    <w:t> vztahu,</w:t>
                  </w:r>
                  <w:r>
                    <w:rPr>
                      <w:w w:val="95"/>
                    </w:rPr>
                    <w:t> založeného </w:t>
                  </w:r>
                  <w:r>
                    <w:rPr/>
                    <w:t>smlouvou,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jakož i se zveřejněním celé smlouvy. Pokud z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objektivních důvodů dodavatel trvá na </w:t>
                  </w:r>
                  <w:r>
                    <w:rPr>
                      <w:w w:val="90"/>
                    </w:rPr>
                    <w:t>nezveřejnění smlouvy či některé její části, musí být konkrétní části smlouvy, které nemají být zveřejněny, </w:t>
                  </w:r>
                  <w:r>
                    <w:rPr>
                      <w:w w:val="95"/>
                    </w:rPr>
                    <w:t>uvedeny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samostatném ustanovení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smlouvy.</w:t>
                  </w:r>
                </w:p>
                <w:p>
                  <w:pPr>
                    <w:pStyle w:val="BodyText"/>
                    <w:spacing w:line="254" w:lineRule="auto" w:before="121"/>
                    <w:ind w:right="20"/>
                    <w:jc w:val="both"/>
                  </w:pPr>
                  <w:bookmarkStart w:name="4. Dodavatel bere na vědomí, že jednotko" w:id="36"/>
                  <w:bookmarkEnd w:id="36"/>
                  <w:r>
                    <w:rPr/>
                  </w:r>
                  <w:r>
                    <w:rPr>
                      <w:w w:val="90"/>
                    </w:rPr>
                    <w:t>Dodavatel bere na vědomí, že jednotkové ceny zboží mohou být zveřejněny v registru smluv, pokud není </w:t>
                  </w:r>
                  <w:r>
                    <w:rPr>
                      <w:w w:val="95"/>
                    </w:rPr>
                    <w:t>ve smlouvě sjednáno jinak nebo pokud dodavatel nebo držitel registrace léčivého přípravku předem písemně neoznámí NNH, že považuje jednotkovou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cenu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za předmět obchodního tajemství dle § 504 občanského</w:t>
                  </w:r>
                  <w:r>
                    <w:rPr>
                      <w:w w:val="95"/>
                    </w:rPr>
                    <w:t> zákoníku.</w:t>
                  </w:r>
                  <w:r>
                    <w:rPr>
                      <w:w w:val="95"/>
                    </w:rPr>
                    <w:t> Na</w:t>
                  </w:r>
                  <w:r>
                    <w:rPr>
                      <w:w w:val="95"/>
                    </w:rPr>
                    <w:t> základě</w:t>
                  </w:r>
                  <w:r>
                    <w:rPr>
                      <w:w w:val="95"/>
                    </w:rPr>
                    <w:t> tohoto</w:t>
                  </w:r>
                  <w:r>
                    <w:rPr>
                      <w:w w:val="95"/>
                    </w:rPr>
                    <w:t> písemného</w:t>
                  </w:r>
                  <w:r>
                    <w:rPr>
                      <w:w w:val="95"/>
                    </w:rPr>
                    <w:t> oznámení</w:t>
                  </w:r>
                  <w:r>
                    <w:rPr>
                      <w:w w:val="95"/>
                    </w:rPr>
                    <w:t> NNH</w:t>
                  </w:r>
                  <w:r>
                    <w:rPr>
                      <w:w w:val="95"/>
                    </w:rPr>
                    <w:t> posoudí,</w:t>
                  </w:r>
                  <w:r>
                    <w:rPr>
                      <w:w w:val="95"/>
                    </w:rPr>
                    <w:t> zda</w:t>
                  </w:r>
                  <w:r>
                    <w:rPr>
                      <w:w w:val="95"/>
                    </w:rPr>
                    <w:t> jednotková</w:t>
                  </w:r>
                  <w:r>
                    <w:rPr>
                      <w:w w:val="95"/>
                    </w:rPr>
                    <w:t> cena naplňuje objektivní znaky obchodního tajemství.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498" w:val="left" w:leader="none"/>
                    </w:tabs>
                    <w:spacing w:before="123"/>
                    <w:ind w:left="3497" w:right="0" w:hanging="373"/>
                    <w:jc w:val="both"/>
                    <w:rPr>
                      <w:b/>
                      <w:sz w:val="22"/>
                    </w:rPr>
                  </w:pPr>
                  <w:bookmarkStart w:name="XV. Ustanovení o objednávce" w:id="37"/>
                  <w:bookmarkEnd w:id="37"/>
                  <w:r>
                    <w:rPr>
                      <w:b/>
                      <w:w w:val="85"/>
                      <w:sz w:val="22"/>
                    </w:rPr>
                    <w:t>U</w:t>
                  </w:r>
                  <w:r>
                    <w:rPr>
                      <w:b/>
                      <w:w w:val="85"/>
                      <w:sz w:val="22"/>
                    </w:rPr>
                    <w:t>stanovení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objednávce</w:t>
                  </w:r>
                </w:p>
                <w:p>
                  <w:pPr>
                    <w:pStyle w:val="BodyText"/>
                    <w:spacing w:line="240" w:lineRule="auto" w:before="136"/>
                    <w:jc w:val="both"/>
                  </w:pPr>
                  <w:r>
                    <w:rPr>
                      <w:w w:val="90"/>
                    </w:rPr>
                    <w:t>Objednávka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musí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0"/>
                    </w:rPr>
                    <w:t>být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potvrzena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dodavatelem.</w:t>
                  </w:r>
                </w:p>
                <w:p>
                  <w:pPr>
                    <w:pStyle w:val="BodyText"/>
                    <w:spacing w:line="254" w:lineRule="auto" w:before="135"/>
                    <w:ind w:right="20"/>
                    <w:jc w:val="both"/>
                  </w:pPr>
                  <w:r>
                    <w:rPr>
                      <w:w w:val="95"/>
                    </w:rPr>
                    <w:t>Potvrzení</w:t>
                  </w:r>
                  <w:r>
                    <w:rPr>
                      <w:w w:val="95"/>
                    </w:rPr>
                    <w:t> objednávky</w:t>
                  </w:r>
                  <w:r>
                    <w:rPr>
                      <w:w w:val="95"/>
                    </w:rPr>
                    <w:t> NNH</w:t>
                  </w:r>
                  <w:r>
                    <w:rPr>
                      <w:w w:val="95"/>
                    </w:rPr>
                    <w:t> musí</w:t>
                  </w:r>
                  <w:r>
                    <w:rPr>
                      <w:w w:val="95"/>
                    </w:rPr>
                    <w:t> být</w:t>
                  </w:r>
                  <w:r>
                    <w:rPr>
                      <w:w w:val="95"/>
                    </w:rPr>
                    <w:t> učiněno</w:t>
                  </w:r>
                  <w:r>
                    <w:rPr>
                      <w:w w:val="95"/>
                    </w:rPr>
                    <w:t> písemnou</w:t>
                  </w:r>
                  <w:r>
                    <w:rPr>
                      <w:w w:val="95"/>
                    </w:rPr>
                    <w:t> formou</w:t>
                  </w:r>
                  <w:r>
                    <w:rPr>
                      <w:w w:val="95"/>
                    </w:rPr>
                    <w:t> nebo</w:t>
                  </w:r>
                  <w:r>
                    <w:rPr>
                      <w:w w:val="95"/>
                    </w:rPr>
                    <w:t> prokazatelně</w:t>
                  </w:r>
                  <w:r>
                    <w:rPr>
                      <w:w w:val="95"/>
                    </w:rPr>
                    <w:t> prostřednictvím </w:t>
                  </w:r>
                  <w:r>
                    <w:rPr>
                      <w:w w:val="90"/>
                    </w:rPr>
                    <w:t>zavedeného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elektronického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systému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doručeno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NNH.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Písemná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forma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potvrzení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objednávky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je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zachována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při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právním jednání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učiněném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elektronickými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nebo jinými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technickými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prostředky umožňujícími </w:t>
                  </w:r>
                  <w:r>
                    <w:rPr>
                      <w:w w:val="95"/>
                    </w:rPr>
                    <w:t>zachycení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jeho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obsahu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určení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jednající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osoby.</w:t>
                  </w:r>
                </w:p>
                <w:p>
                  <w:pPr>
                    <w:pStyle w:val="BodyText"/>
                    <w:spacing w:line="240" w:lineRule="auto" w:before="121"/>
                    <w:jc w:val="both"/>
                  </w:pP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strany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si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mohou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v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rámcové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dohodě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(smlouvě)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dohodnout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0"/>
                    </w:rPr>
                    <w:t>používání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0"/>
                    </w:rPr>
                    <w:t>jiné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formy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objednávky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to</w:t>
                  </w:r>
                </w:p>
                <w:p>
                  <w:pPr>
                    <w:pStyle w:val="BodyText"/>
                    <w:spacing w:line="240" w:lineRule="auto" w:before="15"/>
                    <w:jc w:val="both"/>
                  </w:pPr>
                  <w:r>
                    <w:rPr>
                      <w:w w:val="90"/>
                    </w:rPr>
                    <w:t>s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ohledem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účel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0"/>
                    </w:rPr>
                    <w:t>předmět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této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rámcové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dohody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(smlouvy).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721" w:val="left" w:leader="none"/>
                    </w:tabs>
                    <w:spacing w:before="136"/>
                    <w:ind w:left="3720" w:right="0" w:hanging="430"/>
                    <w:jc w:val="left"/>
                    <w:rPr>
                      <w:b/>
                      <w:sz w:val="22"/>
                    </w:rPr>
                  </w:pPr>
                  <w:bookmarkStart w:name="XVI. Odpovědné zadávání" w:id="38"/>
                  <w:bookmarkEnd w:id="38"/>
                  <w:r>
                    <w:rPr>
                      <w:b/>
                      <w:w w:val="85"/>
                      <w:sz w:val="22"/>
                    </w:rPr>
                    <w:t>O</w:t>
                  </w:r>
                  <w:r>
                    <w:rPr>
                      <w:b/>
                      <w:w w:val="85"/>
                      <w:sz w:val="22"/>
                    </w:rPr>
                    <w:t>dpovědné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2"/>
                    </w:rPr>
                    <w:t>zadávání</w:t>
                  </w:r>
                </w:p>
                <w:p>
                  <w:pPr>
                    <w:pStyle w:val="BodyText"/>
                    <w:spacing w:line="254" w:lineRule="auto" w:before="136"/>
                    <w:ind w:right="20"/>
                    <w:jc w:val="both"/>
                  </w:pPr>
                  <w:r>
                    <w:rPr>
                      <w:w w:val="90"/>
                    </w:rPr>
                    <w:t>Dodavatel zajistí v rámci plnění smlouvy legální zaměstnávání osob a zajistí pracovníkům podílejícím se na plnění smlouvy férové a důstojné pracovní podmínky. Férovými a důstojnými pracovními podmínkami </w:t>
                  </w:r>
                  <w:r>
                    <w:rPr/>
                    <w:t>se rozumí takové pracovní podmínky, které splňují alespoň minimální standardy stanovené pracovněprávními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mzdovými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předpisy.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Dodavatel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 povinen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zajistit splnění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požadavků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tohoto </w:t>
                  </w:r>
                  <w:r>
                    <w:rPr>
                      <w:w w:val="95"/>
                    </w:rPr>
                    <w:t>ustanovení i u svých poddodavatelů.</w:t>
                  </w:r>
                </w:p>
                <w:p>
                  <w:pPr>
                    <w:pStyle w:val="BodyText"/>
                    <w:spacing w:line="254" w:lineRule="auto" w:before="123"/>
                    <w:ind w:right="19"/>
                    <w:jc w:val="both"/>
                  </w:pPr>
                  <w:r>
                    <w:rPr>
                      <w:w w:val="90"/>
                    </w:rPr>
                    <w:t>Dodavatel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zajistí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řádné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včasné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plnění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finančních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závazků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svým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poddodavatelům,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kdy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za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řádné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včasné plnění se považuje plné uhrazení poddodavatelem vystavených faktur za plnění poskytnutá dodavateli ke splnění smlouvy ve lhůtě splatnosti faktury. Dodavatel se zavazuje přenést totožnou povinnost do dalších úrovní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dodavatelského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řetězce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zavázat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své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poddodavatele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k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plnění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šíření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této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povinnosti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též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nižších úrovní dodavatelského řetězce.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NNH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je oprávněna požadovat předložení dokladů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o provedených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platbách </w:t>
                  </w:r>
                  <w:r>
                    <w:rPr>
                      <w:w w:val="95"/>
                    </w:rPr>
                    <w:t>poddodavatelům</w:t>
                  </w:r>
                  <w:r>
                    <w:rPr>
                      <w:w w:val="95"/>
                    </w:rPr>
                    <w:t> a smlouvy</w:t>
                  </w:r>
                  <w:r>
                    <w:rPr>
                      <w:w w:val="95"/>
                    </w:rPr>
                    <w:t> uzavřené mezi dodavatelem</w:t>
                  </w:r>
                  <w:r>
                    <w:rPr>
                      <w:w w:val="95"/>
                    </w:rPr>
                    <w:t> a poddodavateli a dodavatel je</w:t>
                  </w:r>
                  <w:r>
                    <w:rPr>
                      <w:w w:val="95"/>
                    </w:rPr>
                    <w:t> povinen je </w:t>
                  </w:r>
                  <w:r>
                    <w:rPr/>
                    <w:t>bezodkladně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poskytnout.</w:t>
                  </w:r>
                </w:p>
                <w:p>
                  <w:pPr>
                    <w:pStyle w:val="BodyText"/>
                    <w:spacing w:line="254" w:lineRule="auto" w:before="122"/>
                    <w:ind w:right="17"/>
                    <w:jc w:val="both"/>
                  </w:pPr>
                  <w:r>
                    <w:rPr>
                      <w:w w:val="95"/>
                    </w:rPr>
                    <w:t>Dodavatel zajistí, aby byl při plnění smlouvy minimalizován dopad na životní prostředí, a to zejména tříděním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w w:val="95"/>
                    </w:rPr>
                    <w:t>odpadu,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w w:val="95"/>
                    </w:rPr>
                    <w:t>úsporou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w w:val="95"/>
                    </w:rPr>
                    <w:t>energií,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w w:val="95"/>
                    </w:rPr>
                    <w:t>respektována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w w:val="95"/>
                    </w:rPr>
                    <w:t>udržitelnost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w w:val="95"/>
                    </w:rPr>
                    <w:t>možnosti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w w:val="95"/>
                    </w:rPr>
                    <w:t>cirkulární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ekonomiky.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115.759979pt;width:10.45pt;height:13.05pt;mso-position-horizontal-relative:page;mso-position-vertical-relative:page;z-index:-16089088" type="#_x0000_t202" id="docshape1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148.639984pt;width:10.45pt;height:13.05pt;mso-position-horizontal-relative:page;mso-position-vertical-relative:page;z-index:-16088576" type="#_x0000_t202" id="docshape1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14.279984pt;width:10.45pt;height:32.5pt;mso-position-horizontal-relative:page;mso-position-vertical-relative:page;z-index:-16088064" type="#_x0000_t202" id="docshape1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66.599976pt;width:10.45pt;height:13.05pt;mso-position-horizontal-relative:page;mso-position-vertical-relative:page;z-index:-16087552" type="#_x0000_t202" id="docshape1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326.239990pt;width:10.45pt;height:13.05pt;mso-position-horizontal-relative:page;mso-position-vertical-relative:page;z-index:-16087040" type="#_x0000_t202" id="docshape1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418.879974pt;width:10.45pt;height:32.5pt;mso-position-horizontal-relative:page;mso-position-vertical-relative:page;z-index:-16086528" type="#_x0000_t202" id="docshape1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497.959991pt;width:10.45pt;height:13.05pt;mso-position-horizontal-relative:page;mso-position-vertical-relative:page;z-index:-16086016" type="#_x0000_t202" id="docshape1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550.279968pt;width:10.45pt;height:13.05pt;mso-position-horizontal-relative:page;mso-position-vertical-relative:page;z-index:-16085504" type="#_x0000_t202" id="docshape1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623.479980pt;width:10.45pt;height:13.05pt;mso-position-horizontal-relative:page;mso-position-vertical-relative:page;z-index:-16084992" type="#_x0000_t202" id="docshape1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23.440002pt;width:10.45pt;height:13.05pt;mso-position-horizontal-relative:page;mso-position-vertical-relative:page;z-index:-16084480" type="#_x0000_t202" id="docshape1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083968" type="#_x0000_t202" id="docshape121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083456" type="#_x0000_t202" id="docshape122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7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00" w:bottom="280" w:left="820" w:right="94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3536">
            <wp:simplePos x="0" y="0"/>
            <wp:positionH relativeFrom="page">
              <wp:posOffset>679450</wp:posOffset>
            </wp:positionH>
            <wp:positionV relativeFrom="page">
              <wp:posOffset>524511</wp:posOffset>
            </wp:positionV>
            <wp:extent cx="390524" cy="380998"/>
            <wp:effectExtent l="0" t="0" r="0" b="0"/>
            <wp:wrapNone/>
            <wp:docPr id="15" name="image1.pn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8.279999pt;margin-top:41.929981pt;width:104.95pt;height:29.65pt;mso-position-horizontal-relative:page;mso-position-vertical-relative:page;z-index:-16082432" type="#_x0000_t202" id="docshape123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Roentgenova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2,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150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30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Praha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5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Tel.: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+420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257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271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spacing w:val="-5"/>
                      <w:w w:val="90"/>
                      <w:sz w:val="16"/>
                    </w:rPr>
                    <w:t>111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IČO: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00023884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8949pt;margin-top:41.929981pt;width:187.6pt;height:19.9pt;mso-position-horizontal-relative:page;mso-position-vertical-relative:page;z-index:-16081920" type="#_x0000_t202" id="docshape124" filled="false" stroked="false">
            <v:textbox inset="0,0,0,0">
              <w:txbxContent>
                <w:p>
                  <w:pPr>
                    <w:spacing w:line="175" w:lineRule="exact" w:before="0"/>
                    <w:ind w:left="0" w:right="17" w:firstLine="0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w w:val="95"/>
                      <w:sz w:val="16"/>
                    </w:rPr>
                    <w:t>09_SPC_NNH_008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85"/>
                      <w:sz w:val="16"/>
                    </w:rPr>
                    <w:t>Všeobecné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obchodní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podmínky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Nemocnice</w:t>
                  </w:r>
                  <w:r>
                    <w:rPr>
                      <w:b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Na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16"/>
                    </w:rPr>
                    <w:t>Homolce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39998pt;margin-top:82.879982pt;width:468.4pt;height:289.3pt;mso-position-horizontal-relative:page;mso-position-vertical-relative:page;z-index:-16081408" type="#_x0000_t202" id="docshape125" filled="false" stroked="false">
            <v:textbox inset="0,0,0,0">
              <w:txbxContent>
                <w:p>
                  <w:pPr>
                    <w:spacing w:line="232" w:lineRule="exact" w:before="0"/>
                    <w:ind w:left="3221" w:right="0" w:firstLine="0"/>
                    <w:jc w:val="left"/>
                    <w:rPr>
                      <w:b/>
                      <w:sz w:val="22"/>
                    </w:rPr>
                  </w:pPr>
                  <w:bookmarkStart w:name="XVII. Závěrečná ustanovení" w:id="39"/>
                  <w:bookmarkEnd w:id="39"/>
                  <w:r>
                    <w:rPr/>
                  </w:r>
                  <w:r>
                    <w:rPr>
                      <w:b/>
                      <w:w w:val="85"/>
                      <w:sz w:val="22"/>
                    </w:rPr>
                    <w:t>XVII.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w w:val="85"/>
                      <w:sz w:val="22"/>
                    </w:rPr>
                    <w:t>Závěrečná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2"/>
                    </w:rPr>
                    <w:t>ustanovení</w:t>
                  </w:r>
                </w:p>
                <w:p>
                  <w:pPr>
                    <w:pStyle w:val="BodyText"/>
                    <w:spacing w:line="254" w:lineRule="auto" w:before="136"/>
                    <w:ind w:right="18"/>
                    <w:jc w:val="both"/>
                  </w:pPr>
                  <w:r>
                    <w:rPr>
                      <w:w w:val="90"/>
                    </w:rPr>
                    <w:t>Smluvní strany stanoví, že pokud je smlouva uzavřena na základě zadávacího řízení, výběrového řízení </w:t>
                  </w:r>
                  <w:r>
                    <w:rPr>
                      <w:w w:val="95"/>
                    </w:rPr>
                    <w:t>veřejné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zakázky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malého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rozsahu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obchodní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veřejné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soutěže,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budou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vykládat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smlouvu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ohledem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na </w:t>
                  </w:r>
                  <w:r>
                    <w:rPr>
                      <w:w w:val="90"/>
                    </w:rPr>
                    <w:t>jednání stran v řízení, na základě kterého byla smlouva uzavřena, zejména s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ohledem na obsah nabídky </w:t>
                  </w:r>
                  <w:r>
                    <w:rPr/>
                    <w:t>dodavatele,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zadávací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podmínky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odpovědi na případné žádosti o informace k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těmto zadávacím </w:t>
                  </w:r>
                  <w:r>
                    <w:rPr>
                      <w:spacing w:val="-2"/>
                    </w:rPr>
                    <w:t>podmínkám.</w:t>
                  </w:r>
                </w:p>
                <w:p>
                  <w:pPr>
                    <w:pStyle w:val="BodyText"/>
                    <w:spacing w:line="240" w:lineRule="auto" w:before="120"/>
                    <w:jc w:val="both"/>
                  </w:pP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strany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vylučují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použití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ustanovení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§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1799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1800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občanského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zákoníku.</w:t>
                  </w:r>
                </w:p>
                <w:p>
                  <w:pPr>
                    <w:pStyle w:val="BodyText"/>
                    <w:spacing w:line="240" w:lineRule="auto" w:before="136"/>
                    <w:jc w:val="both"/>
                  </w:pPr>
                  <w:r>
                    <w:rPr>
                      <w:w w:val="95"/>
                    </w:rPr>
                    <w:t>NNH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5"/>
                    </w:rPr>
                    <w:t>vylučuje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5"/>
                    </w:rPr>
                    <w:t>vůči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5"/>
                    </w:rPr>
                    <w:t>dodavateli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5"/>
                    </w:rPr>
                    <w:t>jakoukoliv</w:t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předsmluvní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5"/>
                    </w:rPr>
                    <w:t>odpovědnost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5"/>
                    </w:rPr>
                    <w:t>NNH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5"/>
                    </w:rPr>
                    <w:t>výslovně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95"/>
                    </w:rPr>
                    <w:t>vylučuje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aplikaci</w:t>
                  </w:r>
                </w:p>
                <w:p>
                  <w:pPr>
                    <w:pStyle w:val="BodyText"/>
                    <w:spacing w:line="240" w:lineRule="auto" w:before="16"/>
                    <w:jc w:val="both"/>
                  </w:pPr>
                  <w:r>
                    <w:rPr>
                      <w:w w:val="90"/>
                    </w:rPr>
                    <w:t>ustanovení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§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1729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občanského</w:t>
                  </w:r>
                  <w:r>
                    <w:rPr>
                      <w:spacing w:val="-2"/>
                      <w:w w:val="90"/>
                    </w:rPr>
                    <w:t> zákoníku.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w w:val="90"/>
                    </w:rPr>
                    <w:t>Dodavatel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sebe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přebírá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nebezpečí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změny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0"/>
                    </w:rPr>
                    <w:t>okolností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ve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smyslu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ustanovení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0"/>
                    </w:rPr>
                    <w:t>§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1765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0"/>
                    </w:rPr>
                    <w:t>odst.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0"/>
                    </w:rPr>
                    <w:t>2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občanského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2"/>
                    </w:rPr>
                    <w:t>zákoníku.</w:t>
                  </w:r>
                </w:p>
                <w:p>
                  <w:pPr>
                    <w:pStyle w:val="BodyText"/>
                    <w:spacing w:line="240" w:lineRule="auto" w:before="135"/>
                  </w:pPr>
                  <w:r>
                    <w:rPr>
                      <w:w w:val="95"/>
                    </w:rPr>
                    <w:t>Zřízení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5"/>
                    </w:rPr>
                    <w:t>předkupního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práva,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zástavního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95"/>
                    </w:rPr>
                    <w:t>práva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95"/>
                    </w:rPr>
                    <w:t>výhrady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zpětné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koupě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hmotné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věci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je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smlouvě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spacing w:val="-2"/>
                    </w:rPr>
                    <w:t>zakázáno.</w:t>
                  </w:r>
                </w:p>
                <w:p>
                  <w:pPr>
                    <w:pStyle w:val="BodyText"/>
                    <w:spacing w:line="254" w:lineRule="auto" w:before="136"/>
                    <w:ind w:right="19"/>
                    <w:jc w:val="both"/>
                  </w:pPr>
                  <w:r>
                    <w:rPr>
                      <w:w w:val="95"/>
                    </w:rPr>
                    <w:t>Smluvní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zamítají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možnost,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aby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nad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rámec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výslovných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ustanovení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smlouvy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byla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jakákoliv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práva 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povinnosti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dovozovány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dosavadní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budoucí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praxe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zavedené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mezi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smluvními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stranami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či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zvyklostí </w:t>
                  </w:r>
                  <w:r>
                    <w:rPr>
                      <w:spacing w:val="-2"/>
                      <w:w w:val="95"/>
                    </w:rPr>
                    <w:t>zachovávaných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obecně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či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odvětví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týkajícím se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předmětu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plnění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smlouvy.</w:t>
                  </w:r>
                </w:p>
                <w:p>
                  <w:pPr>
                    <w:pStyle w:val="BodyText"/>
                    <w:spacing w:line="240" w:lineRule="auto" w:before="120"/>
                    <w:jc w:val="both"/>
                  </w:pPr>
                  <w:r>
                    <w:rPr>
                      <w:w w:val="90"/>
                    </w:rPr>
                    <w:t>Smluvní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vztahy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řídí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VOP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platnými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účinnými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ke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dni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uzavření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smlouvy.</w:t>
                  </w:r>
                </w:p>
                <w:p>
                  <w:pPr>
                    <w:pStyle w:val="BodyText"/>
                    <w:spacing w:line="240" w:lineRule="auto" w:before="135"/>
                  </w:pPr>
                  <w:r>
                    <w:rPr>
                      <w:w w:val="90"/>
                    </w:rPr>
                    <w:t>Tyto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VOP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nabývají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účinnosti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dne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17.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6.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2022.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02.319984pt;width:10.45pt;height:13.05pt;mso-position-horizontal-relative:page;mso-position-vertical-relative:page;z-index:-16080896" type="#_x0000_t202" id="docshape1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175.399979pt;width:10.45pt;height:32.5pt;mso-position-horizontal-relative:page;mso-position-vertical-relative:page;z-index:-16080384" type="#_x0000_t202" id="docshape1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27.719986pt;width:10.45pt;height:13.05pt;mso-position-horizontal-relative:page;mso-position-vertical-relative:page;z-index:-16079872" type="#_x0000_t202" id="docshape1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60.599976pt;width:10.45pt;height:13.05pt;mso-position-horizontal-relative:page;mso-position-vertical-relative:page;z-index:-16079360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293.47998pt;width:10.45pt;height:13.05pt;mso-position-horizontal-relative:page;mso-position-vertical-relative:page;z-index:-16078848" type="#_x0000_t202" id="docshape1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339.679993pt;width:10.45pt;height:32.5pt;mso-position-horizontal-relative:page;mso-position-vertical-relative:page;z-index:-16078336" type="#_x0000_t202" id="docshape1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7.</w:t>
                  </w:r>
                </w:p>
                <w:p>
                  <w:pPr>
                    <w:pStyle w:val="BodyText"/>
                    <w:spacing w:line="240" w:lineRule="auto" w:before="136"/>
                  </w:pPr>
                  <w:r>
                    <w:rPr>
                      <w:spacing w:val="-5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80001pt;margin-top:797.209961pt;width:61.95pt;height:10.050pt;mso-position-horizontal-relative:page;mso-position-vertical-relative:page;z-index:-16077824" type="#_x0000_t202" id="docshape132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Verze: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w w:val="95"/>
                      <w:sz w:val="16"/>
                    </w:rPr>
                    <w:t>03,06/2022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082764pt;margin-top:797.209961pt;width:43.25pt;height:10.050pt;mso-position-horizontal-relative:page;mso-position-vertical-relative:page;z-index:-16077312" type="#_x0000_t202" id="docshape133" filled="false" stroked="false">
            <v:textbox inset="0,0,0,0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Stránka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w w:val="85"/>
                      <w:sz w:val="16"/>
                    </w:rPr>
                    <w:t>8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z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80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4"/>
      <w:numFmt w:val="upperRoman"/>
      <w:lvlText w:val="%1."/>
      <w:lvlJc w:val="left"/>
      <w:pPr>
        <w:ind w:left="1635" w:hanging="430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82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412" w:hanging="43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85" w:hanging="43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958" w:hanging="43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31" w:hanging="43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4" w:hanging="43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7" w:hanging="43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0" w:hanging="43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3" w:hanging="43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00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06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3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41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8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5" w:hanging="281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00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06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3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41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8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5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00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06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3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4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7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4" w:hanging="28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00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06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2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7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34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4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7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4" w:hanging="28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06" w:hanging="178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96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4273" w:hanging="17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847" w:hanging="17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420" w:hanging="17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994" w:hanging="17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568" w:hanging="17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141" w:hanging="17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15" w:hanging="17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88" w:hanging="178"/>
      </w:pPr>
      <w:rPr>
        <w:rFonts w:hint="default"/>
        <w:lang w:val="cs-CZ" w:eastAsia="en-US" w:bidi="ar-SA"/>
      </w:rPr>
    </w:lvl>
  </w:abstractNum>
  <w:num w:numId="6">
    <w:abstractNumId w:val="5"/>
  </w: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line="232" w:lineRule="exact"/>
      <w:ind w:left="20"/>
    </w:pPr>
    <w:rPr>
      <w:rFonts w:ascii="Arial" w:hAnsi="Arial" w:eastAsia="Arial" w:cs="Arial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37" w:right="38"/>
      <w:jc w:val="center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aktury@homolka.cz" TargetMode="External"/><Relationship Id="rId7" Type="http://schemas.openxmlformats.org/officeDocument/2006/relationships/hyperlink" Target="http://www.homolka.cz/o-nemocnici/11966-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2022-08-10T09:16:58Z</dcterms:created>
  <dcterms:modified xsi:type="dcterms:W3CDTF">2022-08-10T09:16:58Z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2022-08-10T00:00:00Z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D:20220617132028</vt:lpwstr>
  </property>
</Properties>
</file>