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7E" w:rsidRDefault="0079014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1210600104</w:t>
      </w:r>
    </w:p>
    <w:p w:rsidR="0049247E" w:rsidRDefault="0079014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9247E" w:rsidRDefault="0079014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9247E" w:rsidRDefault="0049247E">
      <w:pPr>
        <w:pStyle w:val="Zkladntext"/>
        <w:ind w:left="0"/>
        <w:jc w:val="left"/>
        <w:rPr>
          <w:sz w:val="60"/>
        </w:rPr>
      </w:pPr>
    </w:p>
    <w:p w:rsidR="0049247E" w:rsidRDefault="0079014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9247E" w:rsidRDefault="0049247E">
      <w:pPr>
        <w:pStyle w:val="Zkladntext"/>
        <w:spacing w:before="1"/>
        <w:ind w:left="0"/>
        <w:jc w:val="left"/>
      </w:pPr>
    </w:p>
    <w:p w:rsidR="0049247E" w:rsidRDefault="0079014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9247E" w:rsidRDefault="0079014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9247E" w:rsidRDefault="0079014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9247E" w:rsidRDefault="0079014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9247E" w:rsidRDefault="0079014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9247E" w:rsidRDefault="0079014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247E" w:rsidRDefault="0079014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9247E" w:rsidRDefault="0079014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9247E" w:rsidRDefault="00790149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Stachy</w:t>
      </w:r>
    </w:p>
    <w:p w:rsidR="0049247E" w:rsidRDefault="0079014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Stachy,</w:t>
      </w:r>
      <w:r>
        <w:rPr>
          <w:spacing w:val="-1"/>
        </w:rPr>
        <w:t xml:space="preserve"> </w:t>
      </w:r>
      <w:r>
        <w:t>Stachy 200,</w:t>
      </w:r>
      <w:r>
        <w:rPr>
          <w:spacing w:val="-4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Stachy</w:t>
      </w:r>
    </w:p>
    <w:p w:rsidR="0049247E" w:rsidRDefault="0079014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00250678</w:t>
      </w:r>
    </w:p>
    <w:p w:rsidR="0049247E" w:rsidRDefault="00790149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49247E" w:rsidRDefault="0079014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247E" w:rsidRDefault="00790149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94-1813281/0710</w:t>
      </w:r>
    </w:p>
    <w:p w:rsidR="0049247E" w:rsidRDefault="00790149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9247E" w:rsidRDefault="0049247E">
      <w:pPr>
        <w:pStyle w:val="Zkladntext"/>
        <w:spacing w:before="1"/>
        <w:ind w:left="0"/>
        <w:jc w:val="left"/>
      </w:pPr>
    </w:p>
    <w:p w:rsidR="0049247E" w:rsidRDefault="00790149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9247E" w:rsidRDefault="0049247E">
      <w:pPr>
        <w:pStyle w:val="Zkladntext"/>
        <w:spacing w:before="12"/>
        <w:ind w:left="0"/>
        <w:jc w:val="left"/>
        <w:rPr>
          <w:sz w:val="35"/>
        </w:rPr>
      </w:pPr>
    </w:p>
    <w:p w:rsidR="0049247E" w:rsidRDefault="00790149">
      <w:pPr>
        <w:pStyle w:val="Nadpis1"/>
      </w:pPr>
      <w:r>
        <w:t>I.</w:t>
      </w:r>
    </w:p>
    <w:p w:rsidR="0049247E" w:rsidRDefault="00790149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18"/>
        </w:rPr>
      </w:pPr>
    </w:p>
    <w:p w:rsidR="0049247E" w:rsidRDefault="0079014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9247E" w:rsidRDefault="00790149">
      <w:pPr>
        <w:pStyle w:val="Zkladntext"/>
        <w:ind w:right="130"/>
      </w:pPr>
      <w:r>
        <w:t>„Smlouva“) se uzavírá na základě Rozhodnutí ministra životního prostředí č. 1210600104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9247E" w:rsidRDefault="00790149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9247E" w:rsidRDefault="0079014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9247E" w:rsidRDefault="0049247E">
      <w:pPr>
        <w:jc w:val="both"/>
        <w:rPr>
          <w:sz w:val="20"/>
        </w:rPr>
        <w:sectPr w:rsidR="0049247E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49247E" w:rsidRDefault="0079014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9247E" w:rsidRDefault="00790149">
      <w:pPr>
        <w:pStyle w:val="Nadpis2"/>
        <w:spacing w:before="120"/>
        <w:ind w:left="3272"/>
        <w:jc w:val="left"/>
      </w:pPr>
      <w:r>
        <w:t>„Stachy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pěší</w:t>
      </w:r>
      <w:r>
        <w:rPr>
          <w:spacing w:val="-4"/>
        </w:rPr>
        <w:t xml:space="preserve"> </w:t>
      </w:r>
      <w:r>
        <w:t>infrastruktury“</w:t>
      </w:r>
    </w:p>
    <w:p w:rsidR="0049247E" w:rsidRDefault="00790149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9247E" w:rsidRDefault="0049247E">
      <w:pPr>
        <w:pStyle w:val="Zkladntext"/>
        <w:spacing w:before="1"/>
        <w:ind w:left="0"/>
        <w:jc w:val="left"/>
        <w:rPr>
          <w:sz w:val="36"/>
        </w:rPr>
      </w:pPr>
    </w:p>
    <w:p w:rsidR="0049247E" w:rsidRDefault="00790149">
      <w:pPr>
        <w:pStyle w:val="Nadpis1"/>
      </w:pPr>
      <w:r>
        <w:t>II.</w:t>
      </w:r>
    </w:p>
    <w:p w:rsidR="0049247E" w:rsidRDefault="0079014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18"/>
        </w:rPr>
      </w:pP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999 999,21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49247E" w:rsidRDefault="00790149">
      <w:pPr>
        <w:pStyle w:val="Zkladntext"/>
        <w:spacing w:line="265" w:lineRule="exact"/>
      </w:pPr>
      <w:r>
        <w:t>devět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dvacet</w:t>
      </w:r>
      <w:r>
        <w:rPr>
          <w:spacing w:val="-4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haléř).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176</w:t>
      </w:r>
      <w:r>
        <w:rPr>
          <w:spacing w:val="1"/>
          <w:sz w:val="20"/>
        </w:rPr>
        <w:t xml:space="preserve"> </w:t>
      </w:r>
      <w:r>
        <w:rPr>
          <w:sz w:val="20"/>
        </w:rPr>
        <w:t>469,67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49247E" w:rsidRDefault="00790149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49247E" w:rsidRDefault="00790149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49247E" w:rsidRDefault="00790149">
      <w:pPr>
        <w:pStyle w:val="Zkladntext"/>
        <w:jc w:val="left"/>
      </w:pPr>
      <w:r>
        <w:t>Výzvy.</w:t>
      </w:r>
    </w:p>
    <w:p w:rsidR="0049247E" w:rsidRDefault="0049247E">
      <w:pPr>
        <w:pStyle w:val="Zkladntext"/>
        <w:spacing w:before="2"/>
        <w:ind w:left="0"/>
        <w:jc w:val="left"/>
        <w:rPr>
          <w:sz w:val="36"/>
        </w:rPr>
      </w:pPr>
    </w:p>
    <w:p w:rsidR="0049247E" w:rsidRDefault="00790149">
      <w:pPr>
        <w:pStyle w:val="Nadpis1"/>
        <w:ind w:right="1051"/>
      </w:pPr>
      <w:r>
        <w:t>III.</w:t>
      </w:r>
    </w:p>
    <w:p w:rsidR="0049247E" w:rsidRDefault="00790149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18"/>
        </w:rPr>
      </w:pP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49247E" w:rsidRDefault="00790149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9247E" w:rsidRDefault="0049247E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49247E">
        <w:trPr>
          <w:trHeight w:val="506"/>
        </w:trPr>
        <w:tc>
          <w:tcPr>
            <w:tcW w:w="4532" w:type="dxa"/>
          </w:tcPr>
          <w:p w:rsidR="0049247E" w:rsidRDefault="0079014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49247E" w:rsidRDefault="00790149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9247E">
        <w:trPr>
          <w:trHeight w:val="505"/>
        </w:trPr>
        <w:tc>
          <w:tcPr>
            <w:tcW w:w="4532" w:type="dxa"/>
          </w:tcPr>
          <w:p w:rsidR="0049247E" w:rsidRDefault="0079014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49247E" w:rsidRDefault="00790149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999,21</w:t>
            </w:r>
          </w:p>
        </w:tc>
      </w:tr>
    </w:tbl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9247E" w:rsidRDefault="0049247E">
      <w:pPr>
        <w:jc w:val="both"/>
        <w:rPr>
          <w:sz w:val="20"/>
        </w:rPr>
        <w:sectPr w:rsidR="0049247E">
          <w:pgSz w:w="12240" w:h="15840"/>
          <w:pgMar w:top="1060" w:right="1000" w:bottom="1660" w:left="1320" w:header="0" w:footer="1425" w:gutter="0"/>
          <w:cols w:space="708"/>
        </w:sectPr>
      </w:pP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</w:t>
      </w:r>
      <w:r>
        <w:rPr>
          <w:sz w:val="20"/>
        </w:rPr>
        <w:t>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</w:t>
      </w:r>
      <w:r>
        <w:rPr>
          <w:sz w:val="20"/>
        </w:rPr>
        <w:t>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9247E" w:rsidRDefault="0079014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</w:t>
      </w:r>
      <w:r>
        <w:rPr>
          <w:sz w:val="20"/>
        </w:rPr>
        <w:t>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49247E" w:rsidRDefault="0079014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49247E" w:rsidRDefault="0079014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49247E" w:rsidRDefault="00790149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</w:t>
      </w:r>
      <w:r>
        <w:rPr>
          <w:sz w:val="20"/>
        </w:rPr>
        <w:t>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</w:t>
      </w:r>
      <w:r>
        <w:rPr>
          <w:sz w:val="20"/>
        </w:rPr>
        <w:t>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49247E" w:rsidRDefault="0079014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49247E" w:rsidRDefault="0049247E">
      <w:pPr>
        <w:jc w:val="both"/>
        <w:rPr>
          <w:sz w:val="20"/>
        </w:rPr>
        <w:sectPr w:rsidR="0049247E">
          <w:pgSz w:w="12240" w:h="15840"/>
          <w:pgMar w:top="1060" w:right="1000" w:bottom="1640" w:left="1320" w:header="0" w:footer="1425" w:gutter="0"/>
          <w:cols w:space="708"/>
        </w:sectPr>
      </w:pP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spacing w:before="8"/>
        <w:ind w:left="0"/>
        <w:jc w:val="left"/>
        <w:rPr>
          <w:sz w:val="37"/>
        </w:rPr>
      </w:pPr>
    </w:p>
    <w:p w:rsidR="0049247E" w:rsidRDefault="0079014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49247E" w:rsidRDefault="00790149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9247E" w:rsidRDefault="00790149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9247E" w:rsidRDefault="0049247E">
      <w:pPr>
        <w:sectPr w:rsidR="0049247E">
          <w:pgSz w:w="12240" w:h="15840"/>
          <w:pgMar w:top="106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ind w:right="132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"Stachy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pěší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infrastruktury",</w:t>
      </w:r>
      <w:r>
        <w:rPr>
          <w:spacing w:val="-52"/>
          <w:sz w:val="20"/>
        </w:rPr>
        <w:t xml:space="preserve"> </w:t>
      </w:r>
      <w:r>
        <w:rPr>
          <w:sz w:val="20"/>
        </w:rPr>
        <w:t>zpracované Ing. Zdeňkem Havlem (01/2022), včetně případných změn a doplňků 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3"/>
          <w:sz w:val="20"/>
        </w:rPr>
        <w:t xml:space="preserve"> </w:t>
      </w:r>
      <w:r>
        <w:rPr>
          <w:sz w:val="20"/>
        </w:rPr>
        <w:t>chodníků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obci</w:t>
      </w:r>
      <w:r>
        <w:rPr>
          <w:spacing w:val="-2"/>
          <w:sz w:val="20"/>
        </w:rPr>
        <w:t xml:space="preserve"> </w:t>
      </w:r>
      <w:r>
        <w:rPr>
          <w:sz w:val="20"/>
        </w:rPr>
        <w:t>Stachy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celkové délce</w:t>
      </w:r>
      <w:r>
        <w:rPr>
          <w:spacing w:val="-3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bm,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1"/>
          <w:sz w:val="20"/>
        </w:rPr>
        <w:t xml:space="preserve"> </w:t>
      </w:r>
      <w:r>
        <w:rPr>
          <w:sz w:val="20"/>
        </w:rPr>
        <w:t>kontroly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8"/>
          <w:sz w:val="20"/>
        </w:rPr>
        <w:t xml:space="preserve"> </w:t>
      </w:r>
      <w:r>
        <w:rPr>
          <w:sz w:val="20"/>
        </w:rPr>
        <w:t>páté)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8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 xml:space="preserve">zajistí udržitelnost projektu, tj. že účel, pro který je </w:t>
      </w:r>
      <w:r>
        <w:rPr>
          <w:sz w:val="20"/>
        </w:rPr>
        <w:t>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</w:t>
      </w:r>
      <w:r>
        <w:rPr>
          <w:spacing w:val="-2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</w:t>
      </w:r>
      <w:r>
        <w:rPr>
          <w:sz w:val="20"/>
        </w:rPr>
        <w:t>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6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„ZVA“),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z w:val="20"/>
        </w:rPr>
        <w:t>pokynů</w:t>
      </w:r>
      <w:r>
        <w:rPr>
          <w:spacing w:val="22"/>
          <w:sz w:val="20"/>
        </w:rPr>
        <w:t xml:space="preserve"> </w:t>
      </w:r>
      <w:r>
        <w:rPr>
          <w:sz w:val="20"/>
        </w:rPr>
        <w:t>v čl.</w:t>
      </w:r>
      <w:r>
        <w:rPr>
          <w:spacing w:val="25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2"/>
          <w:sz w:val="20"/>
        </w:rPr>
        <w:t xml:space="preserve"> </w:t>
      </w:r>
      <w:r>
        <w:rPr>
          <w:sz w:val="20"/>
        </w:rPr>
        <w:t>(pokud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</w:p>
    <w:p w:rsidR="0049247E" w:rsidRDefault="00790149">
      <w:pPr>
        <w:pStyle w:val="Zkladntext"/>
        <w:ind w:left="1063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2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termín dokončení akce do konce 08/2022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03/2022,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11/2022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49247E" w:rsidRDefault="0049247E">
      <w:pPr>
        <w:jc w:val="both"/>
        <w:rPr>
          <w:sz w:val="20"/>
        </w:rPr>
        <w:sectPr w:rsidR="0049247E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49247E" w:rsidRDefault="00790149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49247E" w:rsidRDefault="00790149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9247E" w:rsidRDefault="0079014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z w:val="20"/>
        </w:rPr>
        <w:t xml:space="preserve">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</w:t>
      </w:r>
      <w:r>
        <w:rPr>
          <w:sz w:val="20"/>
        </w:rPr>
        <w:t>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</w:t>
      </w:r>
      <w:r>
        <w:rPr>
          <w:sz w:val="20"/>
        </w:rPr>
        <w:t>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9247E" w:rsidRDefault="0079014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49247E" w:rsidRDefault="0049247E">
      <w:pPr>
        <w:jc w:val="both"/>
        <w:rPr>
          <w:sz w:val="20"/>
        </w:rPr>
        <w:sectPr w:rsidR="0049247E">
          <w:pgSz w:w="12240" w:h="15840"/>
          <w:pgMar w:top="1060" w:right="1000" w:bottom="1620" w:left="1320" w:header="0" w:footer="1425" w:gutter="0"/>
          <w:cols w:space="708"/>
        </w:sectPr>
      </w:pPr>
    </w:p>
    <w:p w:rsidR="0049247E" w:rsidRDefault="00790149">
      <w:pPr>
        <w:pStyle w:val="Nadpis1"/>
        <w:spacing w:before="73"/>
        <w:ind w:right="1049"/>
      </w:pPr>
      <w:r>
        <w:lastRenderedPageBreak/>
        <w:t>V.</w:t>
      </w:r>
    </w:p>
    <w:p w:rsidR="0049247E" w:rsidRDefault="00790149">
      <w:pPr>
        <w:pStyle w:val="Nadpis2"/>
        <w:ind w:right="105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18"/>
        </w:rPr>
      </w:pPr>
    </w:p>
    <w:p w:rsidR="0049247E" w:rsidRDefault="00790149">
      <w:pPr>
        <w:pStyle w:val="Zkladntext"/>
        <w:ind w:right="139" w:hanging="284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2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(rozpočtová</w:t>
      </w:r>
      <w:r>
        <w:rPr>
          <w:spacing w:val="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9247E" w:rsidRDefault="0079014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 nebo podle článku IV bodu 2 písm. a), c), d) nebo e)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9247E" w:rsidRDefault="0079014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</w:t>
      </w:r>
      <w:r>
        <w:rPr>
          <w:sz w:val="20"/>
        </w:rPr>
        <w:t>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7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9247E" w:rsidRDefault="00790149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9247E" w:rsidRDefault="0079014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9247E" w:rsidRDefault="00790149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49247E" w:rsidRDefault="00790149">
      <w:pPr>
        <w:pStyle w:val="Zkladntext"/>
        <w:spacing w:before="1"/>
        <w:jc w:val="left"/>
      </w:pPr>
      <w:r>
        <w:t>podpory.</w:t>
      </w:r>
    </w:p>
    <w:p w:rsidR="0049247E" w:rsidRDefault="0049247E">
      <w:pPr>
        <w:pStyle w:val="Zkladntext"/>
        <w:spacing w:before="1"/>
        <w:ind w:left="0"/>
        <w:jc w:val="left"/>
        <w:rPr>
          <w:sz w:val="36"/>
        </w:rPr>
      </w:pPr>
    </w:p>
    <w:p w:rsidR="0049247E" w:rsidRDefault="00790149">
      <w:pPr>
        <w:pStyle w:val="Nadpis1"/>
        <w:ind w:right="1049"/>
      </w:pPr>
      <w:r>
        <w:t>VI.</w:t>
      </w:r>
    </w:p>
    <w:p w:rsidR="0049247E" w:rsidRDefault="00790149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9247E" w:rsidRDefault="0049247E">
      <w:pPr>
        <w:pStyle w:val="Zkladntext"/>
        <w:spacing w:before="12"/>
        <w:ind w:left="0"/>
        <w:jc w:val="left"/>
        <w:rPr>
          <w:b/>
          <w:sz w:val="17"/>
        </w:rPr>
      </w:pP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</w:t>
      </w:r>
      <w:r>
        <w:rPr>
          <w:sz w:val="20"/>
        </w:rPr>
        <w:t>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</w:t>
      </w:r>
      <w:r>
        <w:rPr>
          <w:sz w:val="20"/>
        </w:rPr>
        <w:t>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9247E" w:rsidRDefault="00790149">
      <w:pPr>
        <w:pStyle w:val="Zkladntext"/>
        <w:jc w:val="left"/>
      </w:pPr>
      <w:r>
        <w:t>Smlouvou.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49247E" w:rsidRDefault="00790149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247E" w:rsidRDefault="0049247E">
      <w:pPr>
        <w:rPr>
          <w:sz w:val="20"/>
        </w:rPr>
        <w:sectPr w:rsidR="0049247E">
          <w:pgSz w:w="12240" w:h="15840"/>
          <w:pgMar w:top="1060" w:right="1000" w:bottom="1660" w:left="1320" w:header="0" w:footer="1425" w:gutter="0"/>
          <w:cols w:space="708"/>
        </w:sectPr>
      </w:pP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9247E" w:rsidRDefault="0079014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9247E" w:rsidRDefault="0049247E">
      <w:pPr>
        <w:pStyle w:val="Zkladntext"/>
        <w:spacing w:before="3"/>
        <w:ind w:left="0"/>
        <w:jc w:val="left"/>
        <w:rPr>
          <w:sz w:val="36"/>
        </w:rPr>
      </w:pPr>
    </w:p>
    <w:p w:rsidR="0049247E" w:rsidRDefault="0079014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9247E" w:rsidRDefault="0049247E">
      <w:pPr>
        <w:pStyle w:val="Zkladntext"/>
        <w:ind w:left="0"/>
        <w:jc w:val="left"/>
        <w:rPr>
          <w:sz w:val="18"/>
        </w:rPr>
      </w:pPr>
    </w:p>
    <w:p w:rsidR="0049247E" w:rsidRDefault="00790149">
      <w:pPr>
        <w:pStyle w:val="Zkladntext"/>
        <w:spacing w:before="1"/>
        <w:ind w:left="382"/>
        <w:jc w:val="left"/>
      </w:pPr>
      <w:r>
        <w:t>dne:</w:t>
      </w: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spacing w:before="1"/>
        <w:ind w:left="0"/>
        <w:jc w:val="left"/>
        <w:rPr>
          <w:sz w:val="29"/>
        </w:rPr>
      </w:pPr>
    </w:p>
    <w:p w:rsidR="0049247E" w:rsidRDefault="0079014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9247E" w:rsidRDefault="0079014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spacing w:before="3"/>
        <w:ind w:left="0"/>
        <w:jc w:val="left"/>
        <w:rPr>
          <w:sz w:val="27"/>
        </w:rPr>
      </w:pPr>
    </w:p>
    <w:p w:rsidR="0049247E" w:rsidRDefault="0079014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9247E" w:rsidRDefault="0049247E">
      <w:pPr>
        <w:spacing w:line="264" w:lineRule="auto"/>
        <w:sectPr w:rsidR="0049247E">
          <w:pgSz w:w="12240" w:h="15840"/>
          <w:pgMar w:top="1060" w:right="1000" w:bottom="1660" w:left="1320" w:header="0" w:footer="1425" w:gutter="0"/>
          <w:cols w:space="708"/>
        </w:sectPr>
      </w:pPr>
    </w:p>
    <w:p w:rsidR="0049247E" w:rsidRDefault="0079014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9247E" w:rsidRDefault="0049247E">
      <w:pPr>
        <w:pStyle w:val="Zkladntext"/>
        <w:ind w:left="0"/>
        <w:jc w:val="left"/>
        <w:rPr>
          <w:sz w:val="26"/>
        </w:rPr>
      </w:pPr>
    </w:p>
    <w:p w:rsidR="0049247E" w:rsidRDefault="0049247E">
      <w:pPr>
        <w:pStyle w:val="Zkladntext"/>
        <w:spacing w:before="2"/>
        <w:ind w:left="0"/>
        <w:jc w:val="left"/>
        <w:rPr>
          <w:sz w:val="32"/>
        </w:rPr>
      </w:pPr>
    </w:p>
    <w:p w:rsidR="0049247E" w:rsidRDefault="00790149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27"/>
        </w:rPr>
      </w:pPr>
    </w:p>
    <w:p w:rsidR="0049247E" w:rsidRDefault="0079014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29"/>
        </w:rPr>
      </w:pP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1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6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9247E" w:rsidRDefault="0079014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49247E" w:rsidRDefault="00790149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49247E" w:rsidRDefault="0049247E">
      <w:pPr>
        <w:sectPr w:rsidR="0049247E">
          <w:pgSz w:w="12240" w:h="15840"/>
          <w:pgMar w:top="1060" w:right="1000" w:bottom="1660" w:left="1320" w:header="0" w:footer="1425" w:gutter="0"/>
          <w:cols w:space="708"/>
        </w:sectPr>
      </w:pPr>
    </w:p>
    <w:p w:rsidR="0049247E" w:rsidRDefault="0079014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9247E" w:rsidRDefault="0049247E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9247E" w:rsidRDefault="0079014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247E" w:rsidRDefault="00790149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247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247E" w:rsidRDefault="0079014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247E" w:rsidRDefault="0079014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247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9247E" w:rsidRDefault="0079014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9247E" w:rsidRDefault="0079014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9247E" w:rsidRDefault="007901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9247E" w:rsidRDefault="0079014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9247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247E" w:rsidRDefault="0079014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247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9247E" w:rsidRDefault="0079014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9247E" w:rsidRDefault="0079014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9247E" w:rsidRDefault="0079014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9247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9247E" w:rsidRDefault="0079014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9247E" w:rsidRDefault="0079014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9247E" w:rsidRDefault="0049247E">
      <w:pPr>
        <w:rPr>
          <w:sz w:val="20"/>
        </w:rPr>
        <w:sectPr w:rsidR="0049247E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247E" w:rsidRDefault="0079014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9247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9247E" w:rsidRDefault="0079014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247E" w:rsidRDefault="0079014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9247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9247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9247E" w:rsidRDefault="0079014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9247E" w:rsidRDefault="0079014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9247E" w:rsidRDefault="00790149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247E" w:rsidRDefault="0079014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247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247E" w:rsidRDefault="0079014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247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9247E" w:rsidRDefault="0079014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9247E" w:rsidRDefault="0079014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247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49247E" w:rsidRDefault="0049247E">
      <w:pPr>
        <w:rPr>
          <w:sz w:val="20"/>
        </w:rPr>
        <w:sectPr w:rsidR="0049247E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9247E" w:rsidRDefault="0079014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9247E" w:rsidRDefault="0079014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9247E" w:rsidRDefault="0079014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9247E" w:rsidRDefault="0079014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</w:t>
            </w:r>
            <w:r>
              <w:rPr>
                <w:sz w:val="20"/>
              </w:rPr>
              <w:t>l,</w:t>
            </w:r>
          </w:p>
          <w:p w:rsidR="0049247E" w:rsidRDefault="0079014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9247E" w:rsidRDefault="0079014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9247E" w:rsidRDefault="007901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247E" w:rsidRDefault="0079014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49247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247E" w:rsidRDefault="0079014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9247E" w:rsidRDefault="0079014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9247E" w:rsidRDefault="0079014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9247E" w:rsidRDefault="0079014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9247E" w:rsidRDefault="0079014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9247E" w:rsidRDefault="0079014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9247E" w:rsidRDefault="0079014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9247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247E" w:rsidRDefault="0079014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247E" w:rsidRDefault="0079014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9247E" w:rsidRDefault="0049247E">
      <w:pPr>
        <w:pStyle w:val="Zkladntext"/>
        <w:ind w:left="0"/>
        <w:jc w:val="left"/>
        <w:rPr>
          <w:b/>
        </w:rPr>
      </w:pPr>
    </w:p>
    <w:p w:rsidR="0049247E" w:rsidRDefault="00695622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F6D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9247E" w:rsidRDefault="0049247E">
      <w:pPr>
        <w:pStyle w:val="Zkladntext"/>
        <w:ind w:left="0"/>
        <w:jc w:val="left"/>
        <w:rPr>
          <w:b/>
        </w:rPr>
      </w:pPr>
    </w:p>
    <w:p w:rsidR="0049247E" w:rsidRDefault="0049247E">
      <w:pPr>
        <w:pStyle w:val="Zkladntext"/>
        <w:spacing w:before="12"/>
        <w:ind w:left="0"/>
        <w:jc w:val="left"/>
        <w:rPr>
          <w:b/>
          <w:sz w:val="13"/>
        </w:rPr>
      </w:pPr>
    </w:p>
    <w:p w:rsidR="0049247E" w:rsidRDefault="0079014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9247E" w:rsidRDefault="0049247E">
      <w:pPr>
        <w:rPr>
          <w:sz w:val="16"/>
        </w:rPr>
        <w:sectPr w:rsidR="0049247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9247E" w:rsidRDefault="0079014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9247E" w:rsidRDefault="0079014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9247E" w:rsidRDefault="0079014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9247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9247E" w:rsidRDefault="0079014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9247E" w:rsidRDefault="0079014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247E" w:rsidRDefault="0079014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9247E" w:rsidRDefault="0079014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9247E" w:rsidRDefault="0079014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9247E" w:rsidRDefault="007901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9247E" w:rsidRDefault="0079014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247E" w:rsidRDefault="0079014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9247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9247E" w:rsidRDefault="0079014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247E" w:rsidRDefault="0079014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9247E" w:rsidRDefault="0079014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9247E" w:rsidRDefault="0079014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9247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247E" w:rsidRDefault="0079014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247E" w:rsidRDefault="0079014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9247E" w:rsidRDefault="0079014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9247E" w:rsidRDefault="0079014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247E" w:rsidRDefault="0079014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247E" w:rsidRDefault="0079014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247E" w:rsidRDefault="0079014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247E" w:rsidRDefault="0079014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9247E" w:rsidRDefault="0079014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9247E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9247E" w:rsidRDefault="0049247E">
      <w:pPr>
        <w:rPr>
          <w:sz w:val="20"/>
        </w:rPr>
        <w:sectPr w:rsidR="0049247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247E" w:rsidRDefault="0079014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247E" w:rsidRDefault="0079014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9247E" w:rsidRDefault="0079014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9247E" w:rsidRDefault="0079014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247E" w:rsidRDefault="0079014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247E" w:rsidRDefault="0079014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247E" w:rsidRDefault="0079014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9247E" w:rsidRDefault="0079014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9247E" w:rsidRDefault="0079014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9247E" w:rsidRDefault="0079014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247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9247E" w:rsidRDefault="0079014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9247E" w:rsidRDefault="0079014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9247E" w:rsidRDefault="0079014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9247E" w:rsidRDefault="0079014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9247E" w:rsidRDefault="0079014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247E" w:rsidRDefault="007901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9247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9247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247E" w:rsidRDefault="0079014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49247E" w:rsidRDefault="0049247E">
      <w:pPr>
        <w:rPr>
          <w:sz w:val="20"/>
        </w:rPr>
        <w:sectPr w:rsidR="0049247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247E" w:rsidRDefault="0079014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247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247E" w:rsidRDefault="0079014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247E" w:rsidRDefault="0079014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9247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9247E" w:rsidRDefault="0079014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247E" w:rsidRDefault="0079014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247E" w:rsidRDefault="0079014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9247E" w:rsidRDefault="00790149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9247E" w:rsidRDefault="0079014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247E" w:rsidRDefault="0079014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9247E" w:rsidRDefault="0079014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9247E" w:rsidRDefault="0079014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247E" w:rsidRDefault="0079014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9247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247E" w:rsidRDefault="0079014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9247E" w:rsidRDefault="0079014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49247E" w:rsidRDefault="0049247E">
      <w:pPr>
        <w:rPr>
          <w:sz w:val="20"/>
        </w:rPr>
        <w:sectPr w:rsidR="0049247E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9247E" w:rsidRDefault="0079014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9247E" w:rsidRDefault="0079014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247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247E" w:rsidRDefault="0079014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9247E" w:rsidRDefault="007901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9247E" w:rsidRDefault="0079014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247E" w:rsidRDefault="0079014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247E" w:rsidRDefault="0079014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9247E" w:rsidRDefault="0079014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9247E" w:rsidRDefault="0079014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9247E" w:rsidRDefault="0079014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9247E" w:rsidRDefault="0079014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9247E" w:rsidRDefault="0049247E">
      <w:pPr>
        <w:rPr>
          <w:sz w:val="20"/>
        </w:rPr>
        <w:sectPr w:rsidR="0049247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9247E" w:rsidRDefault="0079014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247E" w:rsidRDefault="007901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247E" w:rsidRDefault="0079014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9247E" w:rsidRDefault="0079014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9247E" w:rsidRDefault="0079014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9247E" w:rsidRDefault="007901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9247E" w:rsidRDefault="00790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247E" w:rsidRDefault="0079014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9247E" w:rsidRDefault="0079014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247E" w:rsidRDefault="0079014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247E" w:rsidRDefault="0079014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9247E" w:rsidRDefault="0079014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9247E" w:rsidRDefault="00790149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9247E" w:rsidRDefault="0079014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247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49247E" w:rsidRDefault="00695622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34FF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247E" w:rsidRDefault="0049247E">
      <w:pPr>
        <w:pStyle w:val="Zkladntext"/>
        <w:ind w:left="0"/>
        <w:jc w:val="left"/>
      </w:pPr>
    </w:p>
    <w:p w:rsidR="0049247E" w:rsidRDefault="0049247E">
      <w:pPr>
        <w:pStyle w:val="Zkladntext"/>
        <w:spacing w:before="12"/>
        <w:ind w:left="0"/>
        <w:jc w:val="left"/>
        <w:rPr>
          <w:sz w:val="13"/>
        </w:rPr>
      </w:pPr>
    </w:p>
    <w:p w:rsidR="0049247E" w:rsidRDefault="0079014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9247E" w:rsidRDefault="0049247E">
      <w:pPr>
        <w:rPr>
          <w:sz w:val="16"/>
        </w:rPr>
        <w:sectPr w:rsidR="0049247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247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9247E" w:rsidRDefault="00790149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9247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9247E" w:rsidRDefault="00790149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9247E" w:rsidRDefault="007901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247E" w:rsidRDefault="00790149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247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247E" w:rsidRDefault="0079014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247E" w:rsidRDefault="0049247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247E" w:rsidRDefault="0049247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247E" w:rsidRDefault="0079014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9247E" w:rsidRDefault="0079014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9247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247E" w:rsidRDefault="0049247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247E" w:rsidRDefault="0079014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247E" w:rsidRDefault="0049247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247E" w:rsidRDefault="0079014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9247E" w:rsidRDefault="0079014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247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9247E" w:rsidRDefault="0079014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247E" w:rsidRDefault="0079014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247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9247E" w:rsidRDefault="0079014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9247E" w:rsidRDefault="0049247E">
      <w:pPr>
        <w:spacing w:line="265" w:lineRule="exact"/>
        <w:rPr>
          <w:sz w:val="20"/>
        </w:rPr>
        <w:sectPr w:rsidR="0049247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24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79014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247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247E" w:rsidRDefault="00790149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1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247E" w:rsidRDefault="004924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90149" w:rsidRDefault="00790149"/>
    <w:sectPr w:rsidR="00790149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49" w:rsidRDefault="00790149">
      <w:r>
        <w:separator/>
      </w:r>
    </w:p>
  </w:endnote>
  <w:endnote w:type="continuationSeparator" w:id="0">
    <w:p w:rsidR="00790149" w:rsidRDefault="007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7E" w:rsidRDefault="0069562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47E" w:rsidRDefault="0079014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6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9247E" w:rsidRDefault="0079014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56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49" w:rsidRDefault="00790149">
      <w:r>
        <w:separator/>
      </w:r>
    </w:p>
  </w:footnote>
  <w:footnote w:type="continuationSeparator" w:id="0">
    <w:p w:rsidR="00790149" w:rsidRDefault="0079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EF1"/>
    <w:multiLevelType w:val="hybridMultilevel"/>
    <w:tmpl w:val="5D028592"/>
    <w:lvl w:ilvl="0" w:tplc="BD4CB5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3622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2C4A62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062EF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3DEA3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C834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AC6D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E4468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9844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741064"/>
    <w:multiLevelType w:val="hybridMultilevel"/>
    <w:tmpl w:val="1180CA56"/>
    <w:lvl w:ilvl="0" w:tplc="F0FC8C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7489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F72233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0C039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62CB7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65C1A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F224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19E20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708F8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A55944"/>
    <w:multiLevelType w:val="hybridMultilevel"/>
    <w:tmpl w:val="B8F6507C"/>
    <w:lvl w:ilvl="0" w:tplc="01487A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8E25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CA6B3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4B650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AF008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51A50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40A10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918D7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E465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6381F49"/>
    <w:multiLevelType w:val="hybridMultilevel"/>
    <w:tmpl w:val="D1E26628"/>
    <w:lvl w:ilvl="0" w:tplc="877ADF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F6F8C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068705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CB8B0A4"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 w:tplc="32565E94"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 w:tplc="AE92B420"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 w:tplc="B7D2685C"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 w:tplc="FC422E92"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 w:tplc="1F880276"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90434EE"/>
    <w:multiLevelType w:val="hybridMultilevel"/>
    <w:tmpl w:val="A960569C"/>
    <w:lvl w:ilvl="0" w:tplc="09ECE2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F6779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A36CF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8B4A95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6969B9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766075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9285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4C162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C02E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AE14470"/>
    <w:multiLevelType w:val="hybridMultilevel"/>
    <w:tmpl w:val="7D188476"/>
    <w:lvl w:ilvl="0" w:tplc="38E2A13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764AE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305B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7B0429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9CA07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5060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AA60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078C1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00D1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2D1CA2"/>
    <w:multiLevelType w:val="hybridMultilevel"/>
    <w:tmpl w:val="39D873F8"/>
    <w:lvl w:ilvl="0" w:tplc="709CAF1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238F30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B3C4EA7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BFA9460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7F4C1F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34C84BF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4E6A74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056526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B1A23B8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30E670D"/>
    <w:multiLevelType w:val="hybridMultilevel"/>
    <w:tmpl w:val="6E9E0828"/>
    <w:lvl w:ilvl="0" w:tplc="37D06E7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23EE03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2CE6AF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B5CBF4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0D8B0A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D9CE2C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AA0874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57273A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7869AA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0C170BC"/>
    <w:multiLevelType w:val="hybridMultilevel"/>
    <w:tmpl w:val="3926F448"/>
    <w:lvl w:ilvl="0" w:tplc="23C6BC8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04C90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3F4741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C8B69CE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444B9D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21E6ED0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00467E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C748B64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4252ABC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7E"/>
    <w:rsid w:val="0049247E"/>
    <w:rsid w:val="00695622"/>
    <w:rsid w:val="007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122A6-10BE-400A-98FA-772CE7C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5006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2022-08-09T06:39:00Z</dcterms:created>
  <dcterms:modified xsi:type="dcterms:W3CDTF">2022-08-09T06:39:00Z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2022-08-09T00:00:00Z</vt:filetime>
  </property>
</Properties>
</file>