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D6B" w:rsidRPr="00786A8B" w:rsidRDefault="007C4D6B" w:rsidP="007C4D6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3888" w:hanging="3888"/>
        <w:jc w:val="center"/>
        <w:textAlignment w:val="baseline"/>
        <w:rPr>
          <w:b/>
          <w:sz w:val="28"/>
          <w:szCs w:val="28"/>
        </w:rPr>
      </w:pPr>
      <w:r w:rsidRPr="00786A8B">
        <w:rPr>
          <w:b/>
          <w:sz w:val="28"/>
          <w:szCs w:val="28"/>
        </w:rPr>
        <w:t xml:space="preserve">Smlouva o úhradě odebraných energií </w:t>
      </w:r>
    </w:p>
    <w:p w:rsidR="007C4D6B" w:rsidRPr="00786A8B" w:rsidRDefault="007C4D6B" w:rsidP="007C4D6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:rsidR="007C4D6B" w:rsidRPr="00786A8B" w:rsidRDefault="007C4D6B" w:rsidP="007C4D6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</w:pPr>
      <w:r w:rsidRPr="00786A8B">
        <w:t>kterou uzavřely:</w:t>
      </w:r>
    </w:p>
    <w:p w:rsidR="007C4D6B" w:rsidRPr="00786A8B" w:rsidRDefault="007C4D6B" w:rsidP="007C4D6B">
      <w:pPr>
        <w:widowControl w:val="0"/>
        <w:overflowPunct w:val="0"/>
        <w:autoSpaceDE w:val="0"/>
        <w:autoSpaceDN w:val="0"/>
        <w:adjustRightInd w:val="0"/>
        <w:ind w:left="144"/>
        <w:textAlignment w:val="baseline"/>
      </w:pPr>
    </w:p>
    <w:p w:rsidR="007C4D6B" w:rsidRPr="00786A8B" w:rsidRDefault="007C4D6B" w:rsidP="007C4D6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</w:rPr>
      </w:pPr>
      <w:r w:rsidRPr="00786A8B">
        <w:rPr>
          <w:b/>
        </w:rPr>
        <w:t>Střední škola technická, Most, příspěvková organizace</w:t>
      </w:r>
    </w:p>
    <w:p w:rsidR="007C4D6B" w:rsidRPr="00786A8B" w:rsidRDefault="007C4D6B" w:rsidP="007C4D6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</w:pPr>
      <w:r w:rsidRPr="00786A8B">
        <w:t xml:space="preserve">se sídlem Dělnická 21, Velebudice, 434 01 Most </w:t>
      </w:r>
    </w:p>
    <w:p w:rsidR="007C4D6B" w:rsidRPr="00786A8B" w:rsidRDefault="007C4D6B" w:rsidP="007C4D6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</w:pPr>
      <w:r w:rsidRPr="00786A8B">
        <w:t xml:space="preserve">zastoupená </w:t>
      </w:r>
      <w:proofErr w:type="spellStart"/>
      <w:r w:rsidR="00BE2CA2">
        <w:t>xxxxxx</w:t>
      </w:r>
      <w:proofErr w:type="spellEnd"/>
      <w:r w:rsidRPr="00786A8B">
        <w:t>, ředitelkou organizace</w:t>
      </w:r>
    </w:p>
    <w:p w:rsidR="007C4D6B" w:rsidRPr="00786A8B" w:rsidRDefault="007C4D6B" w:rsidP="007C4D6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</w:pPr>
      <w:r w:rsidRPr="00786A8B">
        <w:t>Zřizovatel: Ústecký kraj, Krajský úřad Ústeckého kraje, č. j. 84/2001 ze dne 5. 9. 2001</w:t>
      </w:r>
    </w:p>
    <w:p w:rsidR="007C4D6B" w:rsidRPr="00786A8B" w:rsidRDefault="007C4D6B" w:rsidP="007C4D6B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textAlignment w:val="baseline"/>
        <w:rPr>
          <w:b/>
        </w:rPr>
      </w:pPr>
      <w:r w:rsidRPr="00786A8B">
        <w:rPr>
          <w:b/>
        </w:rPr>
        <w:t>IČ: 00125423</w:t>
      </w:r>
      <w:r w:rsidRPr="00786A8B">
        <w:rPr>
          <w:b/>
        </w:rPr>
        <w:tab/>
        <w:t>bankovní spojení: KB, a.s. Most</w:t>
      </w:r>
    </w:p>
    <w:p w:rsidR="007C4D6B" w:rsidRPr="00786A8B" w:rsidRDefault="007C4D6B" w:rsidP="007C4D6B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textAlignment w:val="baseline"/>
        <w:rPr>
          <w:b/>
        </w:rPr>
      </w:pPr>
      <w:r w:rsidRPr="00786A8B">
        <w:rPr>
          <w:b/>
        </w:rPr>
        <w:t>DIČ: CZ0012542</w:t>
      </w:r>
      <w:r w:rsidRPr="00786A8B">
        <w:rPr>
          <w:b/>
        </w:rPr>
        <w:tab/>
        <w:t xml:space="preserve">číslo účtu: </w:t>
      </w:r>
      <w:proofErr w:type="spellStart"/>
      <w:r w:rsidR="00BE2CA2">
        <w:rPr>
          <w:b/>
        </w:rPr>
        <w:t>xxxxxx</w:t>
      </w:r>
      <w:proofErr w:type="spellEnd"/>
    </w:p>
    <w:p w:rsidR="007C4D6B" w:rsidRPr="00786A8B" w:rsidRDefault="007C4D6B" w:rsidP="007C4D6B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textAlignment w:val="baseline"/>
        <w:rPr>
          <w:b/>
        </w:rPr>
      </w:pPr>
      <w:r w:rsidRPr="00786A8B">
        <w:rPr>
          <w:b/>
        </w:rPr>
        <w:t>Dále jen poskytovatel</w:t>
      </w:r>
    </w:p>
    <w:p w:rsidR="007C4D6B" w:rsidRPr="00786A8B" w:rsidRDefault="007C4D6B" w:rsidP="007C4D6B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b/>
        </w:rPr>
      </w:pPr>
      <w:r w:rsidRPr="00786A8B">
        <w:rPr>
          <w:b/>
        </w:rPr>
        <w:t>a</w:t>
      </w:r>
    </w:p>
    <w:p w:rsidR="007C4D6B" w:rsidRPr="00786A8B" w:rsidRDefault="00A350EC" w:rsidP="007C4D6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</w:rPr>
      </w:pPr>
      <w:r>
        <w:rPr>
          <w:b/>
        </w:rPr>
        <w:t>B spol. a.s.</w:t>
      </w:r>
    </w:p>
    <w:p w:rsidR="00A350EC" w:rsidRDefault="00A350EC" w:rsidP="007C4D6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</w:pPr>
      <w:r>
        <w:t>V jámě 699/1, Nové Město, 110 00 Praha 1</w:t>
      </w:r>
    </w:p>
    <w:p w:rsidR="007C4D6B" w:rsidRPr="00101171" w:rsidRDefault="007C4D6B" w:rsidP="007C4D6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hd w:val="clear" w:color="auto" w:fill="FFFFFF"/>
        </w:rPr>
      </w:pPr>
      <w:r w:rsidRPr="00786A8B">
        <w:t xml:space="preserve">zastoupená </w:t>
      </w:r>
      <w:proofErr w:type="spellStart"/>
      <w:r w:rsidR="00BE2CA2">
        <w:rPr>
          <w:shd w:val="clear" w:color="auto" w:fill="FFFFFF"/>
        </w:rPr>
        <w:t>xxxxxx</w:t>
      </w:r>
      <w:proofErr w:type="spellEnd"/>
      <w:r w:rsidR="00A350EC">
        <w:rPr>
          <w:shd w:val="clear" w:color="auto" w:fill="FFFFFF"/>
        </w:rPr>
        <w:t>, členem správní rady</w:t>
      </w:r>
    </w:p>
    <w:p w:rsidR="007C4D6B" w:rsidRPr="00786A8B" w:rsidRDefault="007C4D6B" w:rsidP="007C4D6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after="240" w:line="276" w:lineRule="auto"/>
        <w:textAlignment w:val="baseline"/>
      </w:pPr>
      <w:r w:rsidRPr="00786A8B">
        <w:t xml:space="preserve">zapsaná v obchodním rejstříku vedeném </w:t>
      </w:r>
      <w:r w:rsidR="00A350EC">
        <w:t>Městským soudem v Praze oddíl B, vložka 24744</w:t>
      </w:r>
    </w:p>
    <w:p w:rsidR="007C4D6B" w:rsidRPr="00786A8B" w:rsidRDefault="00A350EC" w:rsidP="007C4D6B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textAlignment w:val="baseline"/>
        <w:rPr>
          <w:b/>
        </w:rPr>
      </w:pPr>
      <w:r>
        <w:rPr>
          <w:b/>
        </w:rPr>
        <w:t xml:space="preserve">IČ: 08592845                                                            </w:t>
      </w:r>
      <w:r w:rsidR="007C4D6B" w:rsidRPr="00786A8B">
        <w:rPr>
          <w:b/>
        </w:rPr>
        <w:t xml:space="preserve">bankovní spojení: </w:t>
      </w:r>
      <w:r>
        <w:rPr>
          <w:b/>
        </w:rPr>
        <w:t>Česká spořitelna</w:t>
      </w:r>
      <w:r w:rsidR="00F227EA">
        <w:rPr>
          <w:b/>
        </w:rPr>
        <w:t>, a.s.</w:t>
      </w:r>
    </w:p>
    <w:p w:rsidR="007C4D6B" w:rsidRPr="00786A8B" w:rsidRDefault="00A350EC" w:rsidP="007C4D6B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textAlignment w:val="baseline"/>
        <w:rPr>
          <w:b/>
        </w:rPr>
      </w:pPr>
      <w:r>
        <w:rPr>
          <w:b/>
        </w:rPr>
        <w:t xml:space="preserve">DIČ: CZ08592845                    </w:t>
      </w:r>
      <w:r w:rsidR="00A87621">
        <w:rPr>
          <w:b/>
        </w:rPr>
        <w:t xml:space="preserve">                                </w:t>
      </w:r>
      <w:r w:rsidR="007C4D6B" w:rsidRPr="00786A8B">
        <w:rPr>
          <w:b/>
        </w:rPr>
        <w:t xml:space="preserve">číslo účtu: </w:t>
      </w:r>
      <w:proofErr w:type="spellStart"/>
      <w:r w:rsidR="00BE2CA2">
        <w:rPr>
          <w:b/>
        </w:rPr>
        <w:t>xxxxxx</w:t>
      </w:r>
      <w:proofErr w:type="spellEnd"/>
    </w:p>
    <w:p w:rsidR="007C4D6B" w:rsidRPr="00101171" w:rsidRDefault="007C4D6B" w:rsidP="007C4D6B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textAlignment w:val="baseline"/>
        <w:rPr>
          <w:shd w:val="clear" w:color="auto" w:fill="FFFFFF"/>
        </w:rPr>
      </w:pPr>
      <w:r w:rsidRPr="00786A8B">
        <w:rPr>
          <w:b/>
        </w:rPr>
        <w:t>Dále jen odběratel</w:t>
      </w:r>
      <w:r w:rsidR="00A87621">
        <w:rPr>
          <w:shd w:val="clear" w:color="auto" w:fill="FFFFFF"/>
        </w:rPr>
        <w:t xml:space="preserve">                                                    </w:t>
      </w:r>
      <w:r w:rsidRPr="00101171">
        <w:rPr>
          <w:b/>
        </w:rPr>
        <w:t>kontakt</w:t>
      </w:r>
      <w:r w:rsidRPr="00101171">
        <w:rPr>
          <w:shd w:val="clear" w:color="auto" w:fill="FFFFFF"/>
        </w:rPr>
        <w:t>: : +</w:t>
      </w:r>
      <w:r w:rsidR="00A87621">
        <w:rPr>
          <w:shd w:val="clear" w:color="auto" w:fill="FFFFFF"/>
        </w:rPr>
        <w:t>420 </w:t>
      </w:r>
      <w:proofErr w:type="spellStart"/>
      <w:r w:rsidR="00BE2CA2">
        <w:rPr>
          <w:shd w:val="clear" w:color="auto" w:fill="FFFFFF"/>
        </w:rPr>
        <w:t>xxxxxx</w:t>
      </w:r>
      <w:proofErr w:type="spellEnd"/>
      <w:r w:rsidRPr="00101171">
        <w:rPr>
          <w:shd w:val="clear" w:color="auto" w:fill="FFFFFF"/>
        </w:rPr>
        <w:t xml:space="preserve"> </w:t>
      </w:r>
    </w:p>
    <w:p w:rsidR="007C4D6B" w:rsidRPr="00786A8B" w:rsidRDefault="007C4D6B" w:rsidP="007C4D6B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textAlignment w:val="baseline"/>
      </w:pPr>
    </w:p>
    <w:p w:rsidR="007C4D6B" w:rsidRPr="00786A8B" w:rsidRDefault="007C4D6B" w:rsidP="007C4D6B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786A8B">
        <w:t xml:space="preserve">                                                                       </w:t>
      </w:r>
      <w:r w:rsidRPr="00786A8B">
        <w:rPr>
          <w:b/>
        </w:rPr>
        <w:t>I.</w:t>
      </w:r>
    </w:p>
    <w:p w:rsidR="007C4D6B" w:rsidRPr="00786A8B" w:rsidRDefault="007C4D6B" w:rsidP="007C4D6B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7C4D6B" w:rsidRDefault="007C4D6B" w:rsidP="007C4D6B">
      <w:pPr>
        <w:pStyle w:val="Odstavecseseznamem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</w:pPr>
      <w:r w:rsidRPr="00786A8B">
        <w:t>Odběratel je vlastníkem následujících nemovitých věcí:</w:t>
      </w:r>
    </w:p>
    <w:p w:rsidR="007C4D6B" w:rsidRPr="00786A8B" w:rsidRDefault="007C4D6B" w:rsidP="007C4D6B">
      <w:pPr>
        <w:pStyle w:val="Odstavecseseznamem"/>
        <w:widowControl w:val="0"/>
        <w:overflowPunct w:val="0"/>
        <w:autoSpaceDE w:val="0"/>
        <w:autoSpaceDN w:val="0"/>
        <w:adjustRightInd w:val="0"/>
        <w:spacing w:after="120"/>
        <w:ind w:left="357"/>
        <w:jc w:val="both"/>
        <w:textAlignment w:val="baseline"/>
      </w:pPr>
    </w:p>
    <w:p w:rsidR="00BC7B9C" w:rsidRDefault="00BC7B9C" w:rsidP="00BC7B9C">
      <w:pPr>
        <w:pStyle w:val="Odstavecseseznamem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pozemek: p. č. st. 162 o výměře 786</w:t>
      </w:r>
      <w:r w:rsidR="007C4D6B" w:rsidRPr="00786A8B">
        <w:t xml:space="preserve"> m</w:t>
      </w:r>
      <w:r w:rsidR="007C4D6B" w:rsidRPr="00101171">
        <w:rPr>
          <w:vertAlign w:val="superscript"/>
        </w:rPr>
        <w:t>2</w:t>
      </w:r>
      <w:r w:rsidR="007C4D6B" w:rsidRPr="00786A8B">
        <w:t>, druh pozemku: zastavěná plocha a nádvoří, součástí je stavba</w:t>
      </w:r>
      <w:r>
        <w:t xml:space="preserve"> bez čp/</w:t>
      </w:r>
      <w:proofErr w:type="spellStart"/>
      <w:r>
        <w:t>če</w:t>
      </w:r>
      <w:proofErr w:type="spellEnd"/>
      <w:r>
        <w:t>, garáž, stavba stojí na pozemku: st. 162</w:t>
      </w:r>
      <w:r w:rsidRPr="00786A8B">
        <w:t>;</w:t>
      </w:r>
    </w:p>
    <w:p w:rsidR="007C4D6B" w:rsidRPr="00786A8B" w:rsidRDefault="007C4D6B" w:rsidP="00BC7B9C">
      <w:pPr>
        <w:pStyle w:val="Odstavecseseznamem"/>
        <w:widowControl w:val="0"/>
        <w:overflowPunct w:val="0"/>
        <w:autoSpaceDE w:val="0"/>
        <w:autoSpaceDN w:val="0"/>
        <w:adjustRightInd w:val="0"/>
        <w:jc w:val="both"/>
        <w:textAlignment w:val="baseline"/>
      </w:pPr>
    </w:p>
    <w:p w:rsidR="00BC7B9C" w:rsidRDefault="00BC7B9C" w:rsidP="00BC7B9C">
      <w:pPr>
        <w:pStyle w:val="Odstavecseseznamem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pozemek: p. č. st. 163 o výměře 61</w:t>
      </w:r>
      <w:r w:rsidRPr="00786A8B">
        <w:t xml:space="preserve"> m</w:t>
      </w:r>
      <w:r w:rsidRPr="00101171">
        <w:rPr>
          <w:vertAlign w:val="superscript"/>
        </w:rPr>
        <w:t>2</w:t>
      </w:r>
      <w:r w:rsidRPr="00786A8B">
        <w:t>, druh pozemku: zastavěná plocha a nádvoří, součástí je stavba</w:t>
      </w:r>
      <w:r>
        <w:t xml:space="preserve"> bez čp/</w:t>
      </w:r>
      <w:proofErr w:type="spellStart"/>
      <w:r>
        <w:t>če</w:t>
      </w:r>
      <w:proofErr w:type="spellEnd"/>
      <w:r>
        <w:t>, garáž, stavba stojí na pozemku: st. 163</w:t>
      </w:r>
      <w:r w:rsidRPr="00786A8B">
        <w:t>;</w:t>
      </w:r>
    </w:p>
    <w:p w:rsidR="00BC7B9C" w:rsidRPr="00786A8B" w:rsidRDefault="00BC7B9C" w:rsidP="00BC7B9C">
      <w:pPr>
        <w:pStyle w:val="Odstavecseseznamem"/>
        <w:widowControl w:val="0"/>
        <w:overflowPunct w:val="0"/>
        <w:autoSpaceDE w:val="0"/>
        <w:autoSpaceDN w:val="0"/>
        <w:adjustRightInd w:val="0"/>
        <w:jc w:val="both"/>
        <w:textAlignment w:val="baseline"/>
      </w:pPr>
    </w:p>
    <w:p w:rsidR="00BC7B9C" w:rsidRDefault="00BC7B9C" w:rsidP="00BC7B9C">
      <w:pPr>
        <w:pStyle w:val="Odstavecseseznamem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pozemek: p. č. st. 164 o výměře 114</w:t>
      </w:r>
      <w:r w:rsidRPr="00786A8B">
        <w:t xml:space="preserve"> m</w:t>
      </w:r>
      <w:r w:rsidRPr="00101171">
        <w:rPr>
          <w:vertAlign w:val="superscript"/>
        </w:rPr>
        <w:t>2</w:t>
      </w:r>
      <w:r w:rsidRPr="00786A8B">
        <w:t>, druh pozemku: zastavěná plocha a nádvoří, součástí je stavba</w:t>
      </w:r>
      <w:r>
        <w:t xml:space="preserve"> bez čp/</w:t>
      </w:r>
      <w:proofErr w:type="spellStart"/>
      <w:r>
        <w:t>če</w:t>
      </w:r>
      <w:proofErr w:type="spellEnd"/>
      <w:r>
        <w:t>, garáž, stavba stojí na pozemku: st. 164</w:t>
      </w:r>
      <w:r w:rsidRPr="00786A8B">
        <w:t>;</w:t>
      </w:r>
    </w:p>
    <w:p w:rsidR="00BC7B9C" w:rsidRPr="00786A8B" w:rsidRDefault="00BC7B9C" w:rsidP="00BC7B9C">
      <w:pPr>
        <w:pStyle w:val="Odstavecseseznamem"/>
        <w:widowControl w:val="0"/>
        <w:overflowPunct w:val="0"/>
        <w:autoSpaceDE w:val="0"/>
        <w:autoSpaceDN w:val="0"/>
        <w:adjustRightInd w:val="0"/>
        <w:jc w:val="both"/>
        <w:textAlignment w:val="baseline"/>
      </w:pPr>
    </w:p>
    <w:p w:rsidR="007C4D6B" w:rsidRDefault="000572CD" w:rsidP="007C4D6B">
      <w:pPr>
        <w:pStyle w:val="Odstavecseseznamem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pozemek: p. č. 395/18 o výměře 4403 </w:t>
      </w:r>
      <w:r w:rsidRPr="00786A8B">
        <w:t>m</w:t>
      </w:r>
      <w:r w:rsidRPr="00101171">
        <w:rPr>
          <w:vertAlign w:val="superscript"/>
        </w:rPr>
        <w:t>2</w:t>
      </w:r>
      <w:r>
        <w:t>, druh pozemku: ostatní plocha, způsob využití: manipulační plocha</w:t>
      </w:r>
      <w:r w:rsidRPr="00786A8B">
        <w:t>;</w:t>
      </w:r>
      <w:r>
        <w:t xml:space="preserve"> </w:t>
      </w:r>
    </w:p>
    <w:p w:rsidR="000572CD" w:rsidRDefault="000572CD" w:rsidP="000572CD">
      <w:pPr>
        <w:pStyle w:val="Odstavecseseznamem"/>
      </w:pPr>
    </w:p>
    <w:p w:rsidR="000572CD" w:rsidRDefault="000572CD" w:rsidP="000572CD">
      <w:pPr>
        <w:pStyle w:val="Odstavecseseznamem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pozemek: p. č. 395/38 o výměře 638 </w:t>
      </w:r>
      <w:r w:rsidRPr="00786A8B">
        <w:t>m</w:t>
      </w:r>
      <w:r w:rsidRPr="00101171">
        <w:rPr>
          <w:vertAlign w:val="superscript"/>
        </w:rPr>
        <w:t>2</w:t>
      </w:r>
      <w:r>
        <w:t>, druh pozemku: ostatní plocha, způsob využití: ostatní komunikace</w:t>
      </w:r>
      <w:r w:rsidRPr="00786A8B">
        <w:t>;</w:t>
      </w:r>
      <w:r>
        <w:t xml:space="preserve"> </w:t>
      </w:r>
    </w:p>
    <w:p w:rsidR="007C4D6B" w:rsidRPr="00786A8B" w:rsidRDefault="007C4D6B" w:rsidP="000572CD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</w:p>
    <w:p w:rsidR="007C4D6B" w:rsidRPr="00786A8B" w:rsidRDefault="007C4D6B" w:rsidP="007C4D6B">
      <w:pPr>
        <w:widowControl w:val="0"/>
        <w:overflowPunct w:val="0"/>
        <w:autoSpaceDE w:val="0"/>
        <w:autoSpaceDN w:val="0"/>
        <w:adjustRightInd w:val="0"/>
        <w:ind w:left="360"/>
        <w:jc w:val="both"/>
        <w:textAlignment w:val="baseline"/>
      </w:pPr>
      <w:r w:rsidRPr="00786A8B">
        <w:t xml:space="preserve">vše zapsáno v katastru nemovitostí vedeném Katastrálním úřadem pro Ústecký kraj, Katastrálním pracovištěm Most, pro katastrálním území </w:t>
      </w:r>
      <w:proofErr w:type="spellStart"/>
      <w:r w:rsidRPr="00786A8B">
        <w:t>Skyřice</w:t>
      </w:r>
      <w:proofErr w:type="spellEnd"/>
      <w:r w:rsidRPr="00786A8B">
        <w:t>, na LV 37</w:t>
      </w:r>
      <w:r w:rsidR="000572CD">
        <w:t>72</w:t>
      </w:r>
      <w:r w:rsidRPr="00786A8B">
        <w:t>.</w:t>
      </w:r>
    </w:p>
    <w:p w:rsidR="007C4D6B" w:rsidRPr="00786A8B" w:rsidRDefault="007C4D6B" w:rsidP="007C4D6B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</w:p>
    <w:p w:rsidR="007C4D6B" w:rsidRDefault="007C4D6B" w:rsidP="007C4D6B">
      <w:pPr>
        <w:pStyle w:val="Odstavecseseznamem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786A8B">
        <w:t>Odběratel se zavazuje hradit poskytovateli:</w:t>
      </w:r>
    </w:p>
    <w:p w:rsidR="007C4D6B" w:rsidRPr="00786A8B" w:rsidRDefault="007C4D6B" w:rsidP="007C4D6B">
      <w:pPr>
        <w:pStyle w:val="Odstavecseseznamem"/>
        <w:widowControl w:val="0"/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w:rsidR="007C4D6B" w:rsidRPr="00786A8B" w:rsidRDefault="007C4D6B" w:rsidP="007C4D6B">
      <w:pPr>
        <w:pStyle w:val="Odstavecseseznamem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786A8B">
        <w:t>náklady za odebranou elektrickou energii,</w:t>
      </w:r>
    </w:p>
    <w:p w:rsidR="007C4D6B" w:rsidRPr="00786A8B" w:rsidRDefault="007C4D6B" w:rsidP="007C4D6B">
      <w:pPr>
        <w:pStyle w:val="Odstavecseseznamem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101171">
        <w:t>náklady spojen</w:t>
      </w:r>
      <w:r>
        <w:t>é s dodávkou elektrické energie – provoz trafostanice</w:t>
      </w:r>
    </w:p>
    <w:p w:rsidR="007C4D6B" w:rsidRPr="00786A8B" w:rsidRDefault="007C4D6B" w:rsidP="007C4D6B">
      <w:pPr>
        <w:pStyle w:val="Odstavecseseznamem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101171">
        <w:lastRenderedPageBreak/>
        <w:t>vodné, stočné a</w:t>
      </w:r>
      <w:r>
        <w:t xml:space="preserve"> platbu za</w:t>
      </w:r>
      <w:r w:rsidRPr="00101171">
        <w:t xml:space="preserve"> odvod srážkové vody</w:t>
      </w:r>
      <w:r w:rsidRPr="00786A8B">
        <w:t>,</w:t>
      </w:r>
    </w:p>
    <w:p w:rsidR="007C4D6B" w:rsidRDefault="007C4D6B" w:rsidP="002F0B42">
      <w:pPr>
        <w:pStyle w:val="Odstavecseseznamem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786A8B">
        <w:t>náklady za odběr elektrické energie veřejného osvětlení.</w:t>
      </w:r>
    </w:p>
    <w:p w:rsidR="007C4D6B" w:rsidRPr="00786A8B" w:rsidRDefault="007C4D6B" w:rsidP="007C4D6B">
      <w:pPr>
        <w:pStyle w:val="Odstavecseseznamem"/>
        <w:widowControl w:val="0"/>
        <w:overflowPunct w:val="0"/>
        <w:autoSpaceDE w:val="0"/>
        <w:autoSpaceDN w:val="0"/>
        <w:adjustRightInd w:val="0"/>
        <w:jc w:val="both"/>
        <w:textAlignment w:val="baseline"/>
      </w:pPr>
    </w:p>
    <w:p w:rsidR="007C4D6B" w:rsidRDefault="007C4D6B" w:rsidP="007C4D6B">
      <w:pPr>
        <w:widowControl w:val="0"/>
        <w:overflowPunct w:val="0"/>
        <w:autoSpaceDE w:val="0"/>
        <w:autoSpaceDN w:val="0"/>
        <w:adjustRightInd w:val="0"/>
        <w:ind w:left="360"/>
        <w:jc w:val="both"/>
        <w:textAlignment w:val="baseline"/>
      </w:pPr>
      <w:r w:rsidRPr="00786A8B">
        <w:t xml:space="preserve">Cena za plnění dle </w:t>
      </w:r>
      <w:r>
        <w:t>písm</w:t>
      </w:r>
      <w:r w:rsidRPr="00786A8B">
        <w:t xml:space="preserve">. a) až </w:t>
      </w:r>
      <w:r>
        <w:t>c</w:t>
      </w:r>
      <w:r w:rsidRPr="00786A8B">
        <w:t xml:space="preserve">) tohoto odstavce bude účtována dle přepočtu skutečné spotřeby. </w:t>
      </w:r>
      <w:r>
        <w:t>Cena za plnění dle písm. d) bude účtována dle instalovaného výkonu a provozu.</w:t>
      </w:r>
    </w:p>
    <w:p w:rsidR="007C4D6B" w:rsidRPr="00786A8B" w:rsidRDefault="007C4D6B" w:rsidP="007C4D6B">
      <w:pPr>
        <w:widowControl w:val="0"/>
        <w:overflowPunct w:val="0"/>
        <w:autoSpaceDE w:val="0"/>
        <w:autoSpaceDN w:val="0"/>
        <w:adjustRightInd w:val="0"/>
        <w:ind w:left="360"/>
        <w:jc w:val="both"/>
        <w:textAlignment w:val="baseline"/>
      </w:pPr>
      <w:r>
        <w:t xml:space="preserve">Odvod srážkové vody </w:t>
      </w:r>
      <w:r w:rsidRPr="00BF4401">
        <w:t xml:space="preserve"> bude</w:t>
      </w:r>
      <w:r>
        <w:t xml:space="preserve"> účtován dle výpočtu množství srážkových vod odvedených do kanalizace bez měření, které upravuje paragraf 31 prováděcí vyhlášky č. 428/2001 Sb. k zákonu č.274/2001 Sb. O vodovodech a kanalizacích pro veřejnou spotřebu.</w:t>
      </w:r>
    </w:p>
    <w:p w:rsidR="007C4D6B" w:rsidRPr="00786A8B" w:rsidRDefault="007C4D6B" w:rsidP="007C4D6B">
      <w:pPr>
        <w:widowControl w:val="0"/>
        <w:overflowPunct w:val="0"/>
        <w:autoSpaceDE w:val="0"/>
        <w:autoSpaceDN w:val="0"/>
        <w:adjustRightInd w:val="0"/>
        <w:ind w:firstLine="360"/>
        <w:jc w:val="both"/>
        <w:textAlignment w:val="baseline"/>
      </w:pPr>
    </w:p>
    <w:p w:rsidR="007C4D6B" w:rsidRPr="00786A8B" w:rsidRDefault="007C4D6B" w:rsidP="007C4D6B">
      <w:pPr>
        <w:pStyle w:val="Odstavecseseznamem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786A8B">
        <w:t>Cena za plnění dle této smlouvy bude zvýšena o DPH podle aktuální právní úpravy (</w:t>
      </w:r>
      <w:r>
        <w:t>z</w:t>
      </w:r>
      <w:r w:rsidRPr="00786A8B">
        <w:t>ákon č. 235/2004 Sb., o dani z přidané hodnoty, § 56a odst. 3).</w:t>
      </w:r>
    </w:p>
    <w:p w:rsidR="007C4D6B" w:rsidRPr="00786A8B" w:rsidRDefault="007C4D6B" w:rsidP="007C4D6B">
      <w:pPr>
        <w:pStyle w:val="Odstavecseseznamem"/>
        <w:widowControl w:val="0"/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w:rsidR="007C4D6B" w:rsidRPr="00786A8B" w:rsidRDefault="007C4D6B" w:rsidP="007C4D6B">
      <w:pPr>
        <w:pStyle w:val="Odstavecseseznamem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786A8B">
        <w:t xml:space="preserve">Úhrada za plnění dle této smlouvy bude probíhat na základě faktur s náležitostmi daňového dokladu vystaveného </w:t>
      </w:r>
      <w:r>
        <w:t>poskytovatelem</w:t>
      </w:r>
      <w:r w:rsidRPr="00786A8B">
        <w:t xml:space="preserve"> se </w:t>
      </w:r>
      <w:r>
        <w:t>s</w:t>
      </w:r>
      <w:r w:rsidRPr="00786A8B">
        <w:t>platností do 14 dnů ode dne vystavení. Faktury budou zasílány do datové schránky</w:t>
      </w:r>
      <w:r>
        <w:t xml:space="preserve"> odběratele ID:</w:t>
      </w:r>
      <w:r w:rsidR="002F0B42" w:rsidRPr="002F0B42">
        <w:t xml:space="preserve"> </w:t>
      </w:r>
      <w:r w:rsidR="002F0B42">
        <w:t>49mffbm.</w:t>
      </w:r>
    </w:p>
    <w:p w:rsidR="007C4D6B" w:rsidRPr="00786A8B" w:rsidRDefault="007C4D6B" w:rsidP="007C4D6B">
      <w:pPr>
        <w:pStyle w:val="Odstavecseseznamem"/>
        <w:widowControl w:val="0"/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w:rsidR="007C4D6B" w:rsidRPr="00D15D6D" w:rsidRDefault="007C4D6B" w:rsidP="007C4D6B">
      <w:pPr>
        <w:pStyle w:val="Odstavecseseznamem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D15D6D">
        <w:t>Odběratel se dále zavazuje zřídit si na své náklady vlastní trafostanici na odběr elektrické energie. Od měsíce následujícího po měsíci zřízení jednotlivých zmíněných přípojných míst, nebude poskytovatelem faktur</w:t>
      </w:r>
      <w:r w:rsidR="00E27E2D" w:rsidRPr="00D15D6D">
        <w:t>ována úhrada za příslušné náklady; úhradu energií</w:t>
      </w:r>
      <w:r w:rsidRPr="00D15D6D">
        <w:t xml:space="preserve"> bude odběratel provádět přímo dodavatelům energií.</w:t>
      </w:r>
    </w:p>
    <w:p w:rsidR="007C4D6B" w:rsidRPr="00786A8B" w:rsidRDefault="007C4D6B" w:rsidP="007C4D6B">
      <w:pPr>
        <w:widowControl w:val="0"/>
        <w:tabs>
          <w:tab w:val="left" w:pos="284"/>
          <w:tab w:val="left" w:pos="1843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vertAlign w:val="superscript"/>
        </w:rPr>
      </w:pPr>
    </w:p>
    <w:p w:rsidR="007C4D6B" w:rsidRPr="00786A8B" w:rsidRDefault="007C4D6B" w:rsidP="007C4D6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786A8B">
        <w:rPr>
          <w:b/>
          <w:sz w:val="28"/>
          <w:szCs w:val="28"/>
        </w:rPr>
        <w:t>II.</w:t>
      </w:r>
    </w:p>
    <w:p w:rsidR="007C4D6B" w:rsidRPr="00786A8B" w:rsidRDefault="007C4D6B" w:rsidP="007C4D6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786A8B">
        <w:rPr>
          <w:b/>
          <w:sz w:val="28"/>
          <w:szCs w:val="28"/>
        </w:rPr>
        <w:t>DOBA TRVÁNÍ NÁJMU</w:t>
      </w:r>
    </w:p>
    <w:p w:rsidR="007C4D6B" w:rsidRPr="00786A8B" w:rsidRDefault="007C4D6B" w:rsidP="007C4D6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7C4D6B" w:rsidRPr="00786A8B" w:rsidRDefault="007C4D6B" w:rsidP="007C4D6B">
      <w:pPr>
        <w:pStyle w:val="Bezmezer"/>
        <w:numPr>
          <w:ilvl w:val="0"/>
          <w:numId w:val="2"/>
        </w:numPr>
        <w:jc w:val="both"/>
      </w:pPr>
      <w:r w:rsidRPr="00F3771B">
        <w:rPr>
          <w:szCs w:val="24"/>
        </w:rPr>
        <w:t>Smlouva</w:t>
      </w:r>
      <w:r w:rsidRPr="00786A8B">
        <w:t xml:space="preserve"> se uzavírá s účinn</w:t>
      </w:r>
      <w:r w:rsidR="00EB07B4">
        <w:t xml:space="preserve">ostí od </w:t>
      </w:r>
      <w:proofErr w:type="gramStart"/>
      <w:r w:rsidR="00EB07B4">
        <w:t>01.08.2022</w:t>
      </w:r>
      <w:proofErr w:type="gramEnd"/>
      <w:r w:rsidR="00EB07B4">
        <w:t xml:space="preserve"> do 31.03.2024</w:t>
      </w:r>
      <w:r w:rsidRPr="00786A8B">
        <w:t>.</w:t>
      </w:r>
      <w:r>
        <w:t xml:space="preserve"> </w:t>
      </w:r>
    </w:p>
    <w:p w:rsidR="007C4D6B" w:rsidRPr="0003154F" w:rsidRDefault="007C4D6B" w:rsidP="007C4D6B">
      <w:pPr>
        <w:pStyle w:val="Bezmezer"/>
        <w:numPr>
          <w:ilvl w:val="0"/>
          <w:numId w:val="2"/>
        </w:numPr>
        <w:jc w:val="both"/>
      </w:pPr>
      <w:r w:rsidRPr="00444D84">
        <w:t xml:space="preserve">Odběratel se současně zavazuje uhradit cenu za </w:t>
      </w:r>
      <w:r w:rsidRPr="00D15D6D">
        <w:t xml:space="preserve">již </w:t>
      </w:r>
      <w:r w:rsidR="00E27E2D" w:rsidRPr="00D15D6D">
        <w:t>odebrané</w:t>
      </w:r>
      <w:r w:rsidRPr="00D15D6D">
        <w:t xml:space="preserve"> energie v období od</w:t>
      </w:r>
      <w:r w:rsidR="00EB07B4">
        <w:t xml:space="preserve"> </w:t>
      </w:r>
      <w:proofErr w:type="gramStart"/>
      <w:r w:rsidR="00EB07B4">
        <w:t>01.07.2022</w:t>
      </w:r>
      <w:proofErr w:type="gramEnd"/>
      <w:r w:rsidR="00EB07B4">
        <w:t xml:space="preserve"> do 31.7</w:t>
      </w:r>
      <w:r w:rsidRPr="00101171">
        <w:t>.2022, a to o</w:t>
      </w:r>
      <w:r w:rsidRPr="0003154F">
        <w:t>bdobným způsobem, jakým jsou hrazena plnění dle této smlouvy, a to na základě faktury vystaven</w:t>
      </w:r>
      <w:r w:rsidR="00EB07B4">
        <w:t>é poskytovatelem v měsíci srpnu</w:t>
      </w:r>
      <w:r w:rsidRPr="0003154F">
        <w:t xml:space="preserve"> 2022. </w:t>
      </w:r>
    </w:p>
    <w:p w:rsidR="007C4D6B" w:rsidRPr="00786A8B" w:rsidRDefault="007C4D6B" w:rsidP="007C4D6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7C4D6B" w:rsidRPr="00786A8B" w:rsidRDefault="007C4D6B" w:rsidP="007C4D6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786A8B">
        <w:rPr>
          <w:b/>
          <w:sz w:val="28"/>
          <w:szCs w:val="28"/>
        </w:rPr>
        <w:t>III.</w:t>
      </w:r>
    </w:p>
    <w:p w:rsidR="007C4D6B" w:rsidRPr="00786A8B" w:rsidRDefault="007C4D6B" w:rsidP="007C4D6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786A8B">
        <w:rPr>
          <w:b/>
          <w:sz w:val="28"/>
          <w:szCs w:val="28"/>
        </w:rPr>
        <w:t>ZÁVĚREČNÁ UJEDNÁNÍ</w:t>
      </w:r>
    </w:p>
    <w:p w:rsidR="007C4D6B" w:rsidRPr="00786A8B" w:rsidRDefault="007C4D6B" w:rsidP="007C4D6B">
      <w:pPr>
        <w:widowControl w:val="0"/>
        <w:tabs>
          <w:tab w:val="left" w:pos="284"/>
          <w:tab w:val="left" w:pos="1843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vertAlign w:val="superscript"/>
        </w:rPr>
      </w:pPr>
    </w:p>
    <w:p w:rsidR="007C4D6B" w:rsidRPr="00786A8B" w:rsidRDefault="007C4D6B" w:rsidP="007C4D6B">
      <w:pPr>
        <w:pStyle w:val="Bezmezer"/>
        <w:numPr>
          <w:ilvl w:val="0"/>
          <w:numId w:val="5"/>
        </w:numPr>
        <w:jc w:val="both"/>
        <w:rPr>
          <w:szCs w:val="24"/>
        </w:rPr>
      </w:pPr>
      <w:r w:rsidRPr="00786A8B">
        <w:rPr>
          <w:szCs w:val="24"/>
        </w:rPr>
        <w:t>Změny a doplňky této smlouvy vyžadují formu pořadově číslovaného písemného dodatku, podepsaného oběma smluvními stranami.</w:t>
      </w:r>
    </w:p>
    <w:p w:rsidR="007C4D6B" w:rsidRPr="00786A8B" w:rsidRDefault="007C4D6B" w:rsidP="007C4D6B">
      <w:pPr>
        <w:jc w:val="both"/>
      </w:pPr>
    </w:p>
    <w:p w:rsidR="007C4D6B" w:rsidRPr="00786A8B" w:rsidRDefault="007C4D6B" w:rsidP="007C4D6B">
      <w:pPr>
        <w:pStyle w:val="Odstavecseseznamem"/>
        <w:numPr>
          <w:ilvl w:val="0"/>
          <w:numId w:val="5"/>
        </w:numPr>
        <w:jc w:val="both"/>
      </w:pPr>
      <w:r w:rsidRPr="00786A8B">
        <w:t xml:space="preserve">Tato smlouva je vyhotovena ve dvou vyhotoveních, kdy každý je originálem. Každá smluvní strana obdrží jedno vyhotovení. </w:t>
      </w:r>
    </w:p>
    <w:p w:rsidR="007C4D6B" w:rsidRPr="00786A8B" w:rsidRDefault="007C4D6B" w:rsidP="007C4D6B">
      <w:pPr>
        <w:jc w:val="both"/>
      </w:pPr>
    </w:p>
    <w:p w:rsidR="007C4D6B" w:rsidRPr="00786A8B" w:rsidRDefault="007C4D6B" w:rsidP="007C4D6B">
      <w:pPr>
        <w:pStyle w:val="Odstavecseseznamem"/>
        <w:numPr>
          <w:ilvl w:val="0"/>
          <w:numId w:val="5"/>
        </w:numPr>
        <w:jc w:val="both"/>
      </w:pPr>
      <w:r w:rsidRPr="00786A8B">
        <w:t>Smluvní strany berou na vědomí, že tato smlouva včetně jejích dodatků bude uveřejněna v registru smluv podle zákona č. 340/2015 Sb., o zvláštních podmínkách účinnosti některých smluv, uveřejňování těchto smluv a o registru smluv (zákon o registru smluv), ve znění pozdějších předpisů.</w:t>
      </w:r>
    </w:p>
    <w:p w:rsidR="007C4D6B" w:rsidRPr="00786A8B" w:rsidRDefault="007C4D6B" w:rsidP="007C4D6B">
      <w:pPr>
        <w:pStyle w:val="Odstavecseseznamem"/>
      </w:pPr>
    </w:p>
    <w:p w:rsidR="007C4D6B" w:rsidRPr="00786A8B" w:rsidRDefault="007C4D6B" w:rsidP="007C4D6B">
      <w:pPr>
        <w:pStyle w:val="Odstavecseseznamem"/>
        <w:numPr>
          <w:ilvl w:val="0"/>
          <w:numId w:val="5"/>
        </w:numPr>
        <w:jc w:val="both"/>
      </w:pPr>
      <w:r w:rsidRPr="00786A8B">
        <w:t>Smluvní strany prohlašují, že smlouva neobsahuje žádné obchodní tajemství.</w:t>
      </w:r>
    </w:p>
    <w:p w:rsidR="007C4D6B" w:rsidRPr="00786A8B" w:rsidRDefault="007C4D6B" w:rsidP="007C4D6B">
      <w:pPr>
        <w:pStyle w:val="Odstavecseseznamem"/>
        <w:jc w:val="both"/>
      </w:pPr>
    </w:p>
    <w:p w:rsidR="007C4D6B" w:rsidRDefault="007C4D6B" w:rsidP="007C4D6B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3771B">
        <w:t>Nedílnou součástí této smlouvy je její Příloha č. 1, která obsahuje soupis elektroměrů a vodomě</w:t>
      </w:r>
      <w:r w:rsidR="00146DF2">
        <w:t>rů s čísly měřidel a stavem k </w:t>
      </w:r>
      <w:proofErr w:type="gramStart"/>
      <w:r w:rsidR="00146DF2">
        <w:t>30.06</w:t>
      </w:r>
      <w:r w:rsidRPr="00F3771B">
        <w:t>.2022</w:t>
      </w:r>
      <w:proofErr w:type="gramEnd"/>
      <w:r w:rsidRPr="00F3771B">
        <w:t>.</w:t>
      </w:r>
    </w:p>
    <w:p w:rsidR="007C4D6B" w:rsidRDefault="007C4D6B" w:rsidP="007C4D6B">
      <w:pPr>
        <w:pStyle w:val="Odstavecseseznamem"/>
      </w:pPr>
    </w:p>
    <w:p w:rsidR="007C4D6B" w:rsidRDefault="007C4D6B" w:rsidP="007C4D6B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</w:p>
    <w:p w:rsidR="007C4D6B" w:rsidRDefault="007C4D6B" w:rsidP="007C4D6B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</w:p>
    <w:p w:rsidR="007C4D6B" w:rsidRDefault="007C4D6B" w:rsidP="007C4D6B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</w:p>
    <w:p w:rsidR="007C4D6B" w:rsidRDefault="007C4D6B" w:rsidP="007C4D6B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</w:p>
    <w:p w:rsidR="007C4D6B" w:rsidRDefault="007C4D6B" w:rsidP="007C4D6B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</w:p>
    <w:p w:rsidR="007C4D6B" w:rsidRDefault="007C4D6B" w:rsidP="007C4D6B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</w:p>
    <w:p w:rsidR="007C4D6B" w:rsidRDefault="007C4D6B" w:rsidP="007C4D6B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</w:p>
    <w:p w:rsidR="007C4D6B" w:rsidRPr="00F3771B" w:rsidRDefault="007C4D6B" w:rsidP="007C4D6B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</w:p>
    <w:p w:rsidR="007C4D6B" w:rsidRPr="00786A8B" w:rsidRDefault="007C4D6B" w:rsidP="007C4D6B">
      <w:pPr>
        <w:pStyle w:val="Odstavecseseznamem"/>
      </w:pPr>
    </w:p>
    <w:p w:rsidR="007C4D6B" w:rsidRPr="00786A8B" w:rsidRDefault="007C4D6B" w:rsidP="007C4D6B">
      <w:pPr>
        <w:pStyle w:val="Odstavecseseznamem"/>
        <w:numPr>
          <w:ilvl w:val="0"/>
          <w:numId w:val="5"/>
        </w:numPr>
        <w:jc w:val="both"/>
      </w:pPr>
      <w:r w:rsidRPr="00786A8B">
        <w:t>Smluvní strany berou na vědom</w:t>
      </w:r>
      <w:r>
        <w:t>í</w:t>
      </w:r>
      <w:r w:rsidRPr="00786A8B">
        <w:t>, že nebude-li smlouva zveřejněna ani do 3 (tří) měsíců od jejího uzavření, platí, že je zrušena od počátku, s následky případného bezdůvodného obohacení.</w:t>
      </w:r>
    </w:p>
    <w:p w:rsidR="007C4D6B" w:rsidRDefault="007C4D6B" w:rsidP="007C4D6B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5221E8" w:rsidRDefault="005221E8" w:rsidP="007C4D6B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5221E8" w:rsidRDefault="005221E8" w:rsidP="007C4D6B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5221E8" w:rsidRPr="00786A8B" w:rsidRDefault="005221E8" w:rsidP="007C4D6B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7C4D6B" w:rsidRPr="00786A8B" w:rsidRDefault="007C4D6B" w:rsidP="007C4D6B">
      <w:pPr>
        <w:widowControl w:val="0"/>
        <w:tabs>
          <w:tab w:val="left" w:pos="5387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786A8B">
        <w:t>V Mostě dne:..............</w:t>
      </w:r>
      <w:r w:rsidRPr="00786A8B">
        <w:tab/>
        <w:t>V Mostě dne:..............</w:t>
      </w:r>
    </w:p>
    <w:p w:rsidR="007C4D6B" w:rsidRPr="00786A8B" w:rsidRDefault="007C4D6B" w:rsidP="007C4D6B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</w:pPr>
    </w:p>
    <w:p w:rsidR="007C4D6B" w:rsidRPr="00786A8B" w:rsidRDefault="007C4D6B" w:rsidP="007C4D6B">
      <w:pPr>
        <w:widowControl w:val="0"/>
        <w:tabs>
          <w:tab w:val="left" w:pos="5387"/>
        </w:tabs>
        <w:overflowPunct w:val="0"/>
        <w:autoSpaceDE w:val="0"/>
        <w:autoSpaceDN w:val="0"/>
        <w:adjustRightInd w:val="0"/>
        <w:textAlignment w:val="baseline"/>
      </w:pPr>
      <w:r w:rsidRPr="00786A8B">
        <w:t xml:space="preserve">Pronajímatel: </w:t>
      </w:r>
      <w:r w:rsidRPr="00786A8B">
        <w:tab/>
        <w:t>Nájemce:</w:t>
      </w:r>
    </w:p>
    <w:p w:rsidR="007C4D6B" w:rsidRPr="00786A8B" w:rsidRDefault="007C4D6B" w:rsidP="007C4D6B">
      <w:pPr>
        <w:widowControl w:val="0"/>
        <w:tabs>
          <w:tab w:val="left" w:pos="5387"/>
        </w:tabs>
        <w:overflowPunct w:val="0"/>
        <w:autoSpaceDE w:val="0"/>
        <w:autoSpaceDN w:val="0"/>
        <w:adjustRightInd w:val="0"/>
        <w:textAlignment w:val="baseline"/>
      </w:pPr>
    </w:p>
    <w:p w:rsidR="007C4D6B" w:rsidRPr="00786A8B" w:rsidRDefault="007C4D6B" w:rsidP="007C4D6B">
      <w:pPr>
        <w:widowControl w:val="0"/>
        <w:tabs>
          <w:tab w:val="left" w:pos="5387"/>
        </w:tabs>
        <w:overflowPunct w:val="0"/>
        <w:autoSpaceDE w:val="0"/>
        <w:autoSpaceDN w:val="0"/>
        <w:adjustRightInd w:val="0"/>
        <w:textAlignment w:val="baseline"/>
      </w:pPr>
    </w:p>
    <w:p w:rsidR="007C4D6B" w:rsidRPr="00786A8B" w:rsidRDefault="007C4D6B" w:rsidP="007C4D6B">
      <w:pPr>
        <w:widowControl w:val="0"/>
        <w:tabs>
          <w:tab w:val="left" w:pos="5387"/>
        </w:tabs>
        <w:overflowPunct w:val="0"/>
        <w:autoSpaceDE w:val="0"/>
        <w:autoSpaceDN w:val="0"/>
        <w:adjustRightInd w:val="0"/>
        <w:textAlignment w:val="baseline"/>
      </w:pPr>
      <w:r w:rsidRPr="00786A8B">
        <w:t>…………………………….</w:t>
      </w:r>
      <w:r w:rsidRPr="00786A8B">
        <w:tab/>
        <w:t>………………………………….</w:t>
      </w:r>
    </w:p>
    <w:p w:rsidR="007C4D6B" w:rsidRPr="00786A8B" w:rsidRDefault="007C4D6B" w:rsidP="007C4D6B">
      <w:pPr>
        <w:widowControl w:val="0"/>
        <w:tabs>
          <w:tab w:val="left" w:pos="1134"/>
          <w:tab w:val="left" w:pos="6237"/>
        </w:tabs>
        <w:overflowPunct w:val="0"/>
        <w:autoSpaceDE w:val="0"/>
        <w:autoSpaceDN w:val="0"/>
        <w:adjustRightInd w:val="0"/>
        <w:textAlignment w:val="baseline"/>
      </w:pPr>
      <w:bookmarkStart w:id="0" w:name="_GoBack"/>
      <w:bookmarkEnd w:id="0"/>
      <w:r w:rsidRPr="00786A8B">
        <w:t xml:space="preserve">ředitelka organizace                                              </w:t>
      </w:r>
      <w:r w:rsidR="00AB27D4">
        <w:t xml:space="preserve">            člen správní rady</w:t>
      </w:r>
      <w:r w:rsidRPr="00786A8B">
        <w:t xml:space="preserve">                                                                      </w:t>
      </w:r>
    </w:p>
    <w:p w:rsidR="00C0619D" w:rsidRDefault="00C0619D"/>
    <w:sectPr w:rsidR="00C0619D" w:rsidSect="005C092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418" w:bottom="568" w:left="1418" w:header="709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E3C" w:rsidRDefault="00D34E3C">
      <w:r>
        <w:separator/>
      </w:r>
    </w:p>
  </w:endnote>
  <w:endnote w:type="continuationSeparator" w:id="0">
    <w:p w:rsidR="00D34E3C" w:rsidRDefault="00D3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640" w:rsidRPr="00F01EC0" w:rsidRDefault="007C4D6B" w:rsidP="00B02CBF">
    <w:pPr>
      <w:pStyle w:val="Zpat"/>
      <w:jc w:val="right"/>
      <w:rPr>
        <w:rFonts w:ascii="Arial" w:hAnsi="Arial" w:cs="Arial"/>
        <w:sz w:val="16"/>
        <w:szCs w:val="16"/>
      </w:rPr>
    </w:pPr>
    <w:r w:rsidRPr="00F01EC0">
      <w:rPr>
        <w:rStyle w:val="slostrnky"/>
        <w:rFonts w:ascii="Arial" w:hAnsi="Arial" w:cs="Arial"/>
        <w:sz w:val="16"/>
        <w:szCs w:val="16"/>
      </w:rPr>
      <w:fldChar w:fldCharType="begin"/>
    </w:r>
    <w:r w:rsidRPr="00F01EC0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F01EC0">
      <w:rPr>
        <w:rStyle w:val="slostrnky"/>
        <w:rFonts w:ascii="Arial" w:hAnsi="Arial" w:cs="Arial"/>
        <w:sz w:val="16"/>
        <w:szCs w:val="16"/>
      </w:rPr>
      <w:fldChar w:fldCharType="separate"/>
    </w:r>
    <w:r w:rsidR="00BE2CA2">
      <w:rPr>
        <w:rStyle w:val="slostrnky"/>
        <w:rFonts w:ascii="Arial" w:hAnsi="Arial" w:cs="Arial"/>
        <w:noProof/>
        <w:sz w:val="16"/>
        <w:szCs w:val="16"/>
      </w:rPr>
      <w:t>2</w:t>
    </w:r>
    <w:r w:rsidRPr="00F01EC0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36" w:type="pct"/>
      <w:tblInd w:w="-426" w:type="dxa"/>
      <w:tblBorders>
        <w:top w:val="single" w:sz="4" w:space="0" w:color="007002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716"/>
      <w:gridCol w:w="5782"/>
    </w:tblGrid>
    <w:tr w:rsidR="00EF099E" w:rsidRPr="00C26F28" w:rsidTr="00AD65FC">
      <w:trPr>
        <w:trHeight w:val="173"/>
      </w:trPr>
      <w:tc>
        <w:tcPr>
          <w:tcW w:w="1956" w:type="pct"/>
          <w:tcBorders>
            <w:top w:val="nil"/>
          </w:tcBorders>
          <w:shd w:val="clear" w:color="auto" w:fill="auto"/>
          <w:tcMar>
            <w:top w:w="57" w:type="dxa"/>
          </w:tcMar>
        </w:tcPr>
        <w:p w:rsidR="00EF099E" w:rsidRPr="00C26F28" w:rsidRDefault="00D34E3C" w:rsidP="00F20B6F">
          <w:pPr>
            <w:pStyle w:val="Zpat"/>
            <w:rPr>
              <w:rFonts w:ascii="Arial" w:hAnsi="Arial" w:cs="Arial"/>
              <w:i/>
              <w:color w:val="333333"/>
              <w:sz w:val="16"/>
              <w:szCs w:val="16"/>
            </w:rPr>
          </w:pPr>
        </w:p>
      </w:tc>
      <w:tc>
        <w:tcPr>
          <w:tcW w:w="3044" w:type="pct"/>
          <w:tcBorders>
            <w:top w:val="nil"/>
          </w:tcBorders>
          <w:shd w:val="clear" w:color="auto" w:fill="auto"/>
          <w:tcMar>
            <w:top w:w="57" w:type="dxa"/>
          </w:tcMar>
        </w:tcPr>
        <w:p w:rsidR="00EF099E" w:rsidRPr="00C26F28" w:rsidRDefault="00D34E3C" w:rsidP="00C26F28">
          <w:pPr>
            <w:pStyle w:val="Zpat"/>
            <w:spacing w:line="276" w:lineRule="auto"/>
            <w:rPr>
              <w:rFonts w:ascii="Arial" w:hAnsi="Arial" w:cs="Arial"/>
              <w:noProof/>
              <w:sz w:val="14"/>
              <w:szCs w:val="14"/>
            </w:rPr>
          </w:pPr>
        </w:p>
      </w:tc>
    </w:tr>
  </w:tbl>
  <w:p w:rsidR="00C348E9" w:rsidRDefault="007C4D6B" w:rsidP="00EF099E">
    <w:pPr>
      <w:pStyle w:val="Zpa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E3C" w:rsidRDefault="00D34E3C">
      <w:r>
        <w:separator/>
      </w:r>
    </w:p>
  </w:footnote>
  <w:footnote w:type="continuationSeparator" w:id="0">
    <w:p w:rsidR="00D34E3C" w:rsidRDefault="00D34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16C" w:rsidRDefault="00D34E3C" w:rsidP="0030516C">
    <w:pPr>
      <w:pStyle w:val="Zhlav"/>
      <w:spacing w:before="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insideH w:val="single" w:sz="4" w:space="0" w:color="007002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79"/>
      <w:gridCol w:w="1567"/>
      <w:gridCol w:w="6324"/>
    </w:tblGrid>
    <w:tr w:rsidR="00EF099E" w:rsidRPr="00C26F28" w:rsidTr="00C26F28">
      <w:trPr>
        <w:trHeight w:val="893"/>
        <w:jc w:val="center"/>
      </w:trPr>
      <w:tc>
        <w:tcPr>
          <w:tcW w:w="650" w:type="pct"/>
          <w:shd w:val="clear" w:color="auto" w:fill="auto"/>
        </w:tcPr>
        <w:p w:rsidR="00EF099E" w:rsidRPr="00C26F28" w:rsidRDefault="007C4D6B" w:rsidP="00C26F28">
          <w:pPr>
            <w:pStyle w:val="Zhlav"/>
            <w:jc w:val="right"/>
            <w:rPr>
              <w:rFonts w:ascii="Arial" w:hAnsi="Arial" w:cs="Arial"/>
              <w:b/>
              <w:color w:val="008000"/>
              <w:sz w:val="20"/>
              <w:szCs w:val="20"/>
            </w:rPr>
          </w:pPr>
          <w:r w:rsidRPr="00C26F28">
            <w:rPr>
              <w:rFonts w:ascii="Arial" w:hAnsi="Arial" w:cs="Arial"/>
              <w:b/>
              <w:noProof/>
              <w:color w:val="008000"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2187DBC3" wp14:editId="74069995">
                <wp:simplePos x="0" y="0"/>
                <wp:positionH relativeFrom="margin">
                  <wp:posOffset>-36195</wp:posOffset>
                </wp:positionH>
                <wp:positionV relativeFrom="margin">
                  <wp:posOffset>-36195</wp:posOffset>
                </wp:positionV>
                <wp:extent cx="720090" cy="659130"/>
                <wp:effectExtent l="0" t="0" r="3810" b="7620"/>
                <wp:wrapNone/>
                <wp:docPr id="44" name="obrázek 44" descr="Logo_Páteřní_škola_hl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4" descr="Logo_Páteřní_škola_hla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90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" w:type="pct"/>
          <w:shd w:val="clear" w:color="auto" w:fill="auto"/>
          <w:tcMar>
            <w:top w:w="57" w:type="dxa"/>
            <w:left w:w="28" w:type="dxa"/>
            <w:right w:w="28" w:type="dxa"/>
          </w:tcMar>
        </w:tcPr>
        <w:p w:rsidR="00EF099E" w:rsidRPr="00C26F28" w:rsidRDefault="007C4D6B" w:rsidP="00C26F28">
          <w:pPr>
            <w:pStyle w:val="Zhlav"/>
            <w:spacing w:after="60"/>
            <w:rPr>
              <w:rFonts w:ascii="Arial" w:hAnsi="Arial" w:cs="Arial"/>
              <w:b/>
              <w:color w:val="008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3C3EEFDA" wp14:editId="55844873">
                <wp:extent cx="914400" cy="647700"/>
                <wp:effectExtent l="0" t="0" r="0" b="0"/>
                <wp:docPr id="1" name="obrázek 1" descr="sst_logo_0720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st_logo_0720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1" w:type="pct"/>
          <w:shd w:val="clear" w:color="auto" w:fill="auto"/>
          <w:tcMar>
            <w:left w:w="0" w:type="dxa"/>
          </w:tcMar>
          <w:vAlign w:val="bottom"/>
        </w:tcPr>
        <w:p w:rsidR="00EF099E" w:rsidRPr="00C26F28" w:rsidRDefault="007C4D6B" w:rsidP="00C26F28">
          <w:pPr>
            <w:pStyle w:val="Zhlav"/>
            <w:jc w:val="right"/>
            <w:rPr>
              <w:rFonts w:ascii="Arial" w:hAnsi="Arial" w:cs="Arial"/>
              <w:b/>
              <w:color w:val="008000"/>
              <w:spacing w:val="8"/>
              <w:sz w:val="22"/>
              <w:szCs w:val="22"/>
            </w:rPr>
          </w:pPr>
          <w:r w:rsidRPr="00C26F28">
            <w:rPr>
              <w:rFonts w:ascii="Arial" w:hAnsi="Arial" w:cs="Arial"/>
              <w:b/>
              <w:color w:val="008000"/>
              <w:spacing w:val="8"/>
              <w:sz w:val="22"/>
              <w:szCs w:val="22"/>
            </w:rPr>
            <w:t>Střední škola technická, Most, příspěvková organizace</w:t>
          </w:r>
        </w:p>
        <w:p w:rsidR="00EF099E" w:rsidRPr="00C26F28" w:rsidRDefault="007C4D6B" w:rsidP="00C26F28">
          <w:pPr>
            <w:pStyle w:val="Zhlav"/>
            <w:spacing w:after="60"/>
            <w:jc w:val="right"/>
            <w:rPr>
              <w:rFonts w:ascii="Calibri" w:hAnsi="Calibri" w:cs="Arial"/>
              <w:sz w:val="20"/>
              <w:szCs w:val="20"/>
            </w:rPr>
          </w:pPr>
          <w:r w:rsidRPr="00C26F28">
            <w:rPr>
              <w:rFonts w:ascii="Arial" w:hAnsi="Arial" w:cs="Arial"/>
              <w:color w:val="008000"/>
              <w:sz w:val="20"/>
              <w:szCs w:val="20"/>
            </w:rPr>
            <w:t>Dělnická 21,</w:t>
          </w:r>
          <w:r>
            <w:rPr>
              <w:rFonts w:ascii="Arial" w:hAnsi="Arial" w:cs="Arial"/>
              <w:color w:val="008000"/>
              <w:sz w:val="20"/>
              <w:szCs w:val="20"/>
            </w:rPr>
            <w:t xml:space="preserve"> Velebudice,</w:t>
          </w:r>
          <w:r w:rsidRPr="00C26F28">
            <w:rPr>
              <w:rFonts w:ascii="Arial" w:hAnsi="Arial" w:cs="Arial"/>
              <w:color w:val="008000"/>
              <w:sz w:val="20"/>
              <w:szCs w:val="20"/>
            </w:rPr>
            <w:t xml:space="preserve"> 434 01 Most</w:t>
          </w:r>
        </w:p>
      </w:tc>
    </w:tr>
    <w:tr w:rsidR="00EF099E" w:rsidRPr="0030516C" w:rsidTr="00C26F28">
      <w:trPr>
        <w:trHeight w:val="20"/>
        <w:jc w:val="center"/>
      </w:trPr>
      <w:tc>
        <w:tcPr>
          <w:tcW w:w="650" w:type="pct"/>
          <w:shd w:val="clear" w:color="auto" w:fill="auto"/>
        </w:tcPr>
        <w:p w:rsidR="00EF099E" w:rsidRPr="00C26F28" w:rsidRDefault="00D34E3C" w:rsidP="00F20B6F">
          <w:pPr>
            <w:pStyle w:val="Zhlav"/>
            <w:rPr>
              <w:rFonts w:ascii="Arial" w:hAnsi="Arial" w:cs="Arial"/>
              <w:b/>
              <w:color w:val="008000"/>
              <w:sz w:val="20"/>
              <w:szCs w:val="20"/>
            </w:rPr>
          </w:pPr>
        </w:p>
      </w:tc>
      <w:tc>
        <w:tcPr>
          <w:tcW w:w="864" w:type="pct"/>
          <w:shd w:val="clear" w:color="auto" w:fill="auto"/>
          <w:tcMar>
            <w:top w:w="57" w:type="dxa"/>
            <w:left w:w="28" w:type="dxa"/>
            <w:right w:w="28" w:type="dxa"/>
          </w:tcMar>
        </w:tcPr>
        <w:p w:rsidR="00EF099E" w:rsidRDefault="00D34E3C" w:rsidP="00C26F28">
          <w:pPr>
            <w:pStyle w:val="Zhlav"/>
            <w:jc w:val="center"/>
          </w:pPr>
        </w:p>
      </w:tc>
      <w:tc>
        <w:tcPr>
          <w:tcW w:w="3541" w:type="pct"/>
          <w:shd w:val="clear" w:color="auto" w:fill="auto"/>
          <w:tcMar>
            <w:left w:w="0" w:type="dxa"/>
          </w:tcMar>
          <w:vAlign w:val="bottom"/>
        </w:tcPr>
        <w:p w:rsidR="00EF099E" w:rsidRDefault="00D34E3C" w:rsidP="00C26F28">
          <w:pPr>
            <w:pStyle w:val="Zhlav"/>
            <w:jc w:val="center"/>
          </w:pPr>
        </w:p>
      </w:tc>
    </w:tr>
  </w:tbl>
  <w:p w:rsidR="00F60799" w:rsidRPr="00AB6FA3" w:rsidRDefault="00D34E3C" w:rsidP="00802930">
    <w:pPr>
      <w:pStyle w:val="Zhlav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71B3A"/>
    <w:multiLevelType w:val="hybridMultilevel"/>
    <w:tmpl w:val="603E93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92ED7"/>
    <w:multiLevelType w:val="hybridMultilevel"/>
    <w:tmpl w:val="603E93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A630B"/>
    <w:multiLevelType w:val="hybridMultilevel"/>
    <w:tmpl w:val="0914C2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24F49"/>
    <w:multiLevelType w:val="hybridMultilevel"/>
    <w:tmpl w:val="0914C2E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76266"/>
    <w:multiLevelType w:val="hybridMultilevel"/>
    <w:tmpl w:val="3EA6B5F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6B"/>
    <w:rsid w:val="000572CD"/>
    <w:rsid w:val="00075015"/>
    <w:rsid w:val="00146DF2"/>
    <w:rsid w:val="002F0186"/>
    <w:rsid w:val="002F0B42"/>
    <w:rsid w:val="00346F11"/>
    <w:rsid w:val="00417602"/>
    <w:rsid w:val="00470E8C"/>
    <w:rsid w:val="004B29A8"/>
    <w:rsid w:val="005221E8"/>
    <w:rsid w:val="006050CE"/>
    <w:rsid w:val="007C4D6B"/>
    <w:rsid w:val="008540F5"/>
    <w:rsid w:val="00A350EC"/>
    <w:rsid w:val="00A87621"/>
    <w:rsid w:val="00AB27D4"/>
    <w:rsid w:val="00AB3DC2"/>
    <w:rsid w:val="00BC7B9C"/>
    <w:rsid w:val="00BE2CA2"/>
    <w:rsid w:val="00C01B85"/>
    <w:rsid w:val="00C0619D"/>
    <w:rsid w:val="00D15D6D"/>
    <w:rsid w:val="00D34E3C"/>
    <w:rsid w:val="00DA0B35"/>
    <w:rsid w:val="00DB6F50"/>
    <w:rsid w:val="00E27E2D"/>
    <w:rsid w:val="00EB07B4"/>
    <w:rsid w:val="00EC1BF6"/>
    <w:rsid w:val="00F227EA"/>
    <w:rsid w:val="00F5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BF077"/>
  <w15:chartTrackingRefBased/>
  <w15:docId w15:val="{987D0E73-5D53-4398-88EF-12683100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4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C4D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C4D6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7C4D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C4D6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7C4D6B"/>
  </w:style>
  <w:style w:type="paragraph" w:styleId="Bezmezer">
    <w:name w:val="No Spacing"/>
    <w:uiPriority w:val="1"/>
    <w:qFormat/>
    <w:rsid w:val="007C4D6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Odstavecseseznamem">
    <w:name w:val="List Paragraph"/>
    <w:basedOn w:val="Normln"/>
    <w:uiPriority w:val="34"/>
    <w:qFormat/>
    <w:rsid w:val="007C4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691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</dc:creator>
  <cp:keywords/>
  <dc:description/>
  <cp:lastModifiedBy>Cebová</cp:lastModifiedBy>
  <cp:revision>4</cp:revision>
  <dcterms:created xsi:type="dcterms:W3CDTF">2022-08-09T05:35:00Z</dcterms:created>
  <dcterms:modified xsi:type="dcterms:W3CDTF">2022-08-09T06:06:00Z</dcterms:modified>
</cp:coreProperties>
</file>