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878" w14:textId="77777777" w:rsidR="005B1ABF" w:rsidRDefault="00756C0F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4D95B87D" w14:textId="77777777" w:rsidR="005B1ABF" w:rsidRDefault="00756C0F">
      <w:pPr>
        <w:jc w:val="center"/>
        <w:rPr>
          <w:sz w:val="24"/>
        </w:rPr>
      </w:pPr>
      <w:r>
        <w:rPr>
          <w:sz w:val="24"/>
        </w:rPr>
        <w:t>O POSKYTNUTÍ DOTACE Z ROZPOČTU KRÁLOVÉHRADECKÉHO KRAJE</w:t>
      </w:r>
    </w:p>
    <w:p w14:paraId="03D36589" w14:textId="5E3C0A08" w:rsidR="005B1ABF" w:rsidRDefault="00756C0F">
      <w:pPr>
        <w:jc w:val="center"/>
      </w:pPr>
      <w:bookmarkStart w:id="0" w:name="_Hlk68683640"/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</w:t>
      </w:r>
      <w:r w:rsidR="009450CF">
        <w:rPr>
          <w:b/>
          <w:sz w:val="24"/>
        </w:rPr>
        <w:t>224</w:t>
      </w:r>
      <w:r>
        <w:fldChar w:fldCharType="end"/>
      </w:r>
    </w:p>
    <w:p w14:paraId="4059BDBB" w14:textId="362E6289" w:rsidR="00B86591" w:rsidRPr="00B86591" w:rsidRDefault="00B86591" w:rsidP="00B86591">
      <w:pPr>
        <w:jc w:val="center"/>
        <w:rPr>
          <w:b/>
          <w:bCs/>
          <w:sz w:val="24"/>
        </w:rPr>
      </w:pPr>
      <w:r w:rsidRPr="00B86591">
        <w:rPr>
          <w:b/>
          <w:bCs/>
          <w:sz w:val="24"/>
        </w:rPr>
        <w:t>v režimu de minimis</w:t>
      </w:r>
    </w:p>
    <w:p w14:paraId="3C27D297" w14:textId="7BBA446F" w:rsidR="00CF6519" w:rsidRDefault="00CF6519">
      <w:pPr>
        <w:jc w:val="center"/>
      </w:pPr>
    </w:p>
    <w:p w14:paraId="33E04871" w14:textId="77777777" w:rsidR="00CF6519" w:rsidRDefault="00CF6519">
      <w:pPr>
        <w:jc w:val="center"/>
      </w:pPr>
    </w:p>
    <w:p w14:paraId="1D6B6061" w14:textId="77777777" w:rsidR="00CF6519" w:rsidRDefault="00CF6519">
      <w:pPr>
        <w:jc w:val="center"/>
        <w:rPr>
          <w:b/>
          <w:sz w:val="24"/>
        </w:rPr>
      </w:pPr>
    </w:p>
    <w:bookmarkEnd w:id="0"/>
    <w:p w14:paraId="5FEAEF3E" w14:textId="153F073C" w:rsidR="005B1ABF" w:rsidRDefault="00756C0F">
      <w:pPr>
        <w:jc w:val="both"/>
        <w:rPr>
          <w:sz w:val="24"/>
        </w:rPr>
      </w:pPr>
      <w:r>
        <w:rPr>
          <w:sz w:val="24"/>
        </w:rPr>
        <w:t xml:space="preserve">kterou v souladu s ustanovením § 10a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</w:t>
      </w:r>
      <w:r>
        <w:br/>
      </w:r>
      <w:r>
        <w:rPr>
          <w:sz w:val="24"/>
        </w:rPr>
        <w:t>č. 89/2012 Sb., občanský zákoník, ve znění pozdějších předpisů uzavřely tyto smluvní strany:</w:t>
      </w:r>
    </w:p>
    <w:p w14:paraId="2E053CCD" w14:textId="1E9746D3" w:rsidR="00CF6519" w:rsidRDefault="00CF6519">
      <w:pPr>
        <w:jc w:val="both"/>
        <w:rPr>
          <w:sz w:val="24"/>
        </w:rPr>
      </w:pPr>
    </w:p>
    <w:p w14:paraId="2C84BFAE" w14:textId="77777777" w:rsidR="00CF6519" w:rsidRDefault="00CF6519">
      <w:pPr>
        <w:jc w:val="both"/>
        <w:rPr>
          <w:sz w:val="24"/>
        </w:rPr>
      </w:pPr>
    </w:p>
    <w:p w14:paraId="52E8F962" w14:textId="77777777" w:rsidR="005B1ABF" w:rsidRDefault="005B1ABF">
      <w:pPr>
        <w:jc w:val="center"/>
        <w:rPr>
          <w:sz w:val="24"/>
        </w:rPr>
      </w:pPr>
    </w:p>
    <w:p w14:paraId="4EB418F7" w14:textId="77777777" w:rsidR="005B1ABF" w:rsidRDefault="00756C0F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6E2E98F0" w14:textId="77777777" w:rsidR="005B1ABF" w:rsidRDefault="005B1ABF" w:rsidP="00CF6519">
      <w:pPr>
        <w:spacing w:line="360" w:lineRule="auto"/>
        <w:jc w:val="center"/>
        <w:rPr>
          <w:sz w:val="24"/>
        </w:rPr>
      </w:pPr>
    </w:p>
    <w:tbl>
      <w:tblPr>
        <w:tblW w:w="10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4"/>
        <w:gridCol w:w="5881"/>
      </w:tblGrid>
      <w:tr w:rsidR="005B1ABF" w14:paraId="15B33073" w14:textId="77777777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0CAE2DE5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112363AA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5B1ABF" w14:paraId="7E06E1D2" w14:textId="77777777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16566E64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0CD5B82A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5B1ABF" w14:paraId="592A6B06" w14:textId="77777777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691228D4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78B52A73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5B1ABF" w14:paraId="7A7059FB" w14:textId="77777777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4B5898B9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bankovní účet:</w:t>
            </w:r>
            <w:r>
              <w:rPr>
                <w:sz w:val="24"/>
              </w:rPr>
              <w:tab/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20E7DF5B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27-2031110287/0100</w:t>
            </w:r>
          </w:p>
        </w:tc>
      </w:tr>
      <w:tr w:rsidR="005B1ABF" w14:paraId="4C06E47E" w14:textId="77777777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4338EDAA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variabilní symbol: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7A0279C8" w14:textId="4D1795C4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99900</w:t>
            </w:r>
            <w:r w:rsidR="0051197D" w:rsidRPr="0051197D">
              <w:rPr>
                <w:sz w:val="24"/>
              </w:rPr>
              <w:t>29337</w:t>
            </w:r>
          </w:p>
        </w:tc>
      </w:tr>
    </w:tbl>
    <w:p w14:paraId="3F7892E9" w14:textId="77777777" w:rsidR="005B1ABF" w:rsidRDefault="00756C0F" w:rsidP="00CF6519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FA8C605" w14:textId="77777777" w:rsidR="005B1ABF" w:rsidRDefault="00756C0F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58C16B55" w14:textId="77777777" w:rsidR="005B1ABF" w:rsidRDefault="00756C0F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0F3F7A97" w14:textId="77777777" w:rsidR="005B1ABF" w:rsidRDefault="005B1ABF">
      <w:pPr>
        <w:rPr>
          <w:color w:val="000000"/>
          <w:sz w:val="24"/>
        </w:rPr>
      </w:pPr>
    </w:p>
    <w:p w14:paraId="114EBD1D" w14:textId="7B512469" w:rsidR="005B1ABF" w:rsidRDefault="00756C0F" w:rsidP="00CF6519">
      <w:pPr>
        <w:spacing w:line="360" w:lineRule="auto"/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KLICPEROVO DIVADLO o.p.s.</w:t>
      </w:r>
      <w:r>
        <w:fldChar w:fldCharType="end"/>
      </w:r>
    </w:p>
    <w:p w14:paraId="72EED391" w14:textId="77777777" w:rsidR="00B86591" w:rsidRDefault="00B86591" w:rsidP="00CF6519">
      <w:pPr>
        <w:spacing w:line="360" w:lineRule="auto"/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5B1ABF" w14:paraId="1D5720E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4B9B53D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A560" w14:textId="66E0444B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Dlouhá 99/9, 500</w:t>
            </w:r>
            <w:r w:rsidR="00CF6519">
              <w:rPr>
                <w:sz w:val="24"/>
              </w:rPr>
              <w:t xml:space="preserve"> </w:t>
            </w:r>
            <w:r>
              <w:rPr>
                <w:sz w:val="24"/>
              </w:rPr>
              <w:t>03 Hradec Králové</w:t>
            </w:r>
            <w:r>
              <w:fldChar w:fldCharType="end"/>
            </w:r>
          </w:p>
        </w:tc>
      </w:tr>
      <w:tr w:rsidR="005B1ABF" w14:paraId="1273858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2960D45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7D141" w14:textId="77777777" w:rsidR="005B1ABF" w:rsidRDefault="00756C0F" w:rsidP="00CF6519">
            <w:pPr>
              <w:spacing w:line="360" w:lineRule="auto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Ing. Eva Mikulková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87753E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ředitelka</w:t>
            </w:r>
            <w:r>
              <w:fldChar w:fldCharType="end"/>
            </w:r>
          </w:p>
        </w:tc>
      </w:tr>
      <w:tr w:rsidR="005B1ABF" w14:paraId="3BB1D4C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4D56600" w14:textId="77777777" w:rsidR="005B1ABF" w:rsidRDefault="00756C0F" w:rsidP="00CF6519">
            <w:pPr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FA6C" w14:textId="77777777" w:rsidR="005B1ABF" w:rsidRDefault="00756C0F" w:rsidP="00CF6519">
            <w:pPr>
              <w:spacing w:after="120" w:line="360" w:lineRule="auto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27504689</w:t>
            </w:r>
            <w:r>
              <w:fldChar w:fldCharType="end"/>
            </w:r>
          </w:p>
        </w:tc>
      </w:tr>
      <w:tr w:rsidR="005B1ABF" w14:paraId="536C09F0" w14:textId="77777777" w:rsidTr="00CF6519">
        <w:trPr>
          <w:trHeight w:val="48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03CC470" w14:textId="77777777" w:rsidR="005B1ABF" w:rsidRDefault="00756C0F" w:rsidP="00CF6519">
            <w:pPr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D6FA" w14:textId="77777777" w:rsidR="005B1ABF" w:rsidRDefault="00756C0F" w:rsidP="00CF6519">
            <w:pPr>
              <w:spacing w:after="120" w:line="360" w:lineRule="auto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35-7066770237/0100</w:t>
            </w:r>
            <w:r>
              <w:fldChar w:fldCharType="end"/>
            </w:r>
          </w:p>
        </w:tc>
      </w:tr>
    </w:tbl>
    <w:p w14:paraId="72C62336" w14:textId="77777777" w:rsidR="005B1ABF" w:rsidRDefault="005B1ABF">
      <w:pPr>
        <w:rPr>
          <w:sz w:val="24"/>
        </w:rPr>
      </w:pPr>
    </w:p>
    <w:p w14:paraId="3641C574" w14:textId="77777777" w:rsidR="005B1ABF" w:rsidRDefault="00756C0F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1440D048" w14:textId="77777777" w:rsidR="005B1ABF" w:rsidRDefault="005B1ABF">
      <w:pPr>
        <w:jc w:val="center"/>
        <w:rPr>
          <w:sz w:val="24"/>
        </w:rPr>
      </w:pPr>
    </w:p>
    <w:p w14:paraId="1583052B" w14:textId="77777777" w:rsidR="005B1ABF" w:rsidRDefault="00756C0F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5E6A0023" w14:textId="77777777" w:rsidR="005B1ABF" w:rsidRDefault="00756C0F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23941D6D" w14:textId="2DD86259" w:rsidR="005B1ABF" w:rsidRDefault="00756C0F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8C513B">
        <w:rPr>
          <w:sz w:val="24"/>
        </w:rPr>
        <w:t xml:space="preserve">neinvestiční </w:t>
      </w:r>
      <w:r>
        <w:rPr>
          <w:sz w:val="24"/>
        </w:rPr>
        <w:t xml:space="preserve">dotace z rozpočtu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REGIONY Mezinárodní divadelní festival Hradec Králové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</w:t>
      </w:r>
      <w:r w:rsidR="009450CF">
        <w:rPr>
          <w:b/>
          <w:sz w:val="24"/>
        </w:rPr>
        <w:t>224</w:t>
      </w:r>
      <w:r>
        <w:fldChar w:fldCharType="end"/>
      </w:r>
      <w:r>
        <w:rPr>
          <w:sz w:val="24"/>
        </w:rPr>
        <w:t>, (dále jen „projekt“).</w:t>
      </w:r>
    </w:p>
    <w:p w14:paraId="3F937A32" w14:textId="186860DF" w:rsidR="009D359E" w:rsidRPr="00766C61" w:rsidRDefault="00756C0F" w:rsidP="009D359E">
      <w:pPr>
        <w:numPr>
          <w:ilvl w:val="0"/>
          <w:numId w:val="34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sz w:val="24"/>
        </w:rPr>
        <w:t xml:space="preserve">Dotace je určena na účel: </w:t>
      </w:r>
      <w:r w:rsidRPr="009D359E">
        <w:rPr>
          <w:b/>
          <w:bCs/>
          <w:sz w:val="24"/>
        </w:rPr>
        <w:t xml:space="preserve">Pokrytí nákladů přímo spojených s realizací festivalu uvedených v rozpočtu žádosti: umělecká a kulturní vystoupení, honoráře a doprava hostujících souborů, ubytování účastníků projektu, materiál a vybavení související s projektem, využití děl </w:t>
      </w:r>
      <w:r w:rsidRPr="009D359E">
        <w:rPr>
          <w:b/>
          <w:bCs/>
          <w:sz w:val="24"/>
        </w:rPr>
        <w:lastRenderedPageBreak/>
        <w:t>chráněných autorskými právy</w:t>
      </w:r>
      <w:r>
        <w:rPr>
          <w:sz w:val="24"/>
        </w:rPr>
        <w:t>.</w:t>
      </w:r>
      <w:r>
        <w:rPr>
          <w:i/>
          <w:sz w:val="24"/>
        </w:rPr>
        <w:t xml:space="preserve"> </w:t>
      </w:r>
      <w:r w:rsidR="009D359E" w:rsidRPr="00766C61">
        <w:rPr>
          <w:sz w:val="24"/>
          <w:szCs w:val="24"/>
        </w:rPr>
        <w:t xml:space="preserve">Na jiné výdaje, směřující k realizaci projektu, lze dotaci použít jen se souhlasem </w:t>
      </w:r>
      <w:r w:rsidR="009D359E">
        <w:rPr>
          <w:sz w:val="24"/>
          <w:szCs w:val="24"/>
        </w:rPr>
        <w:t>poskytovatele</w:t>
      </w:r>
      <w:r w:rsidR="009D359E" w:rsidRPr="00766C61">
        <w:rPr>
          <w:sz w:val="24"/>
          <w:szCs w:val="24"/>
        </w:rPr>
        <w:t>.</w:t>
      </w:r>
    </w:p>
    <w:p w14:paraId="2CA36D86" w14:textId="77777777" w:rsidR="00B86591" w:rsidRDefault="00B86591">
      <w:pPr>
        <w:spacing w:before="240"/>
        <w:ind w:left="357"/>
        <w:jc w:val="center"/>
        <w:rPr>
          <w:b/>
          <w:sz w:val="24"/>
        </w:rPr>
      </w:pPr>
    </w:p>
    <w:p w14:paraId="330F8D43" w14:textId="775901B5" w:rsidR="005B1ABF" w:rsidRDefault="00756C0F">
      <w:pPr>
        <w:spacing w:before="240"/>
        <w:ind w:left="357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76AB038D" w14:textId="77777777" w:rsidR="005B1ABF" w:rsidRDefault="00756C0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19B42B9D" w14:textId="2D96C027" w:rsidR="005B1ABF" w:rsidRDefault="00756C0F">
      <w:pPr>
        <w:numPr>
          <w:ilvl w:val="0"/>
          <w:numId w:val="11"/>
        </w:numPr>
        <w:spacing w:after="120"/>
        <w:jc w:val="both"/>
        <w:rPr>
          <w:sz w:val="24"/>
        </w:rPr>
      </w:pPr>
      <w:r>
        <w:rPr>
          <w:sz w:val="24"/>
        </w:rPr>
        <w:t>Příjemci je poskytována neinvestiční dotace ve výši</w:t>
      </w:r>
      <w:r>
        <w:rPr>
          <w:b/>
          <w:sz w:val="24"/>
        </w:rPr>
        <w:t xml:space="preserve"> </w:t>
      </w:r>
      <w:r w:rsidR="009450CF" w:rsidRPr="009D359E">
        <w:rPr>
          <w:b/>
          <w:sz w:val="24"/>
        </w:rPr>
        <w:t>300 000,00</w:t>
      </w:r>
      <w:r>
        <w:rPr>
          <w:b/>
          <w:sz w:val="24"/>
        </w:rPr>
        <w:t xml:space="preserve"> Kč</w:t>
      </w:r>
      <w:r>
        <w:rPr>
          <w:sz w:val="24"/>
        </w:rPr>
        <w:t xml:space="preserve"> v souladu s rozpočtem uvedeným v žádosti o poskytnutí dotace z rozpočtu Královéhradeckého kraje 22RGI02-0</w:t>
      </w:r>
      <w:r w:rsidR="009D359E">
        <w:rPr>
          <w:sz w:val="24"/>
        </w:rPr>
        <w:t>224</w:t>
      </w:r>
      <w:r>
        <w:rPr>
          <w:sz w:val="24"/>
        </w:rPr>
        <w:t xml:space="preserve"> (dále jen „žádost o dotaci“).</w:t>
      </w:r>
      <w:r w:rsidR="009D359E">
        <w:rPr>
          <w:sz w:val="24"/>
        </w:rPr>
        <w:t xml:space="preserve"> </w:t>
      </w:r>
      <w:r w:rsidR="00B86591" w:rsidRPr="00B86591">
        <w:rPr>
          <w:sz w:val="24"/>
        </w:rPr>
        <w:t xml:space="preserve">Maximální procentuální podíl dotace na uznatelných výdajích projektu nesmí přesáhnout </w:t>
      </w:r>
      <w:r w:rsidR="00B86591" w:rsidRPr="00B86591">
        <w:rPr>
          <w:b/>
          <w:bCs/>
          <w:sz w:val="24"/>
        </w:rPr>
        <w:fldChar w:fldCharType="begin"/>
      </w:r>
      <w:r w:rsidR="00B86591" w:rsidRPr="00B86591">
        <w:rPr>
          <w:b/>
          <w:bCs/>
          <w:sz w:val="24"/>
        </w:rPr>
        <w:instrText xml:space="preserve"> DOCVARIABLE  DotisAppGrantPercent  \* MERGEFORMAT </w:instrText>
      </w:r>
      <w:r w:rsidR="00B86591" w:rsidRPr="00B86591">
        <w:rPr>
          <w:b/>
          <w:bCs/>
          <w:sz w:val="24"/>
        </w:rPr>
        <w:fldChar w:fldCharType="separate"/>
      </w:r>
      <w:r w:rsidR="00B86591" w:rsidRPr="00B86591">
        <w:rPr>
          <w:b/>
          <w:bCs/>
          <w:sz w:val="24"/>
        </w:rPr>
        <w:t>3,82</w:t>
      </w:r>
      <w:r w:rsidR="00B86591" w:rsidRPr="00B86591">
        <w:rPr>
          <w:b/>
          <w:bCs/>
          <w:sz w:val="24"/>
        </w:rPr>
        <w:fldChar w:fldCharType="end"/>
      </w:r>
      <w:r w:rsidR="00B86591" w:rsidRPr="00B86591">
        <w:rPr>
          <w:b/>
          <w:bCs/>
          <w:sz w:val="24"/>
        </w:rPr>
        <w:t xml:space="preserve">  %</w:t>
      </w:r>
      <w:r w:rsidR="00B86591" w:rsidRPr="00B86591">
        <w:rPr>
          <w:sz w:val="24"/>
        </w:rPr>
        <w:t>, uvedených v žádosti o dotaci.</w:t>
      </w:r>
    </w:p>
    <w:p w14:paraId="2FF9F563" w14:textId="77777777" w:rsidR="005B1ABF" w:rsidRDefault="00756C0F">
      <w:pPr>
        <w:numPr>
          <w:ilvl w:val="0"/>
          <w:numId w:val="11"/>
        </w:numPr>
        <w:spacing w:after="120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2DDA5E97" w14:textId="77777777" w:rsidR="005B1ABF" w:rsidRDefault="005B1ABF">
      <w:pPr>
        <w:spacing w:after="120"/>
        <w:ind w:left="360"/>
        <w:jc w:val="both"/>
        <w:rPr>
          <w:sz w:val="24"/>
        </w:rPr>
      </w:pPr>
    </w:p>
    <w:p w14:paraId="2D6B8CEA" w14:textId="77777777" w:rsidR="005B1ABF" w:rsidRDefault="00756C0F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1209C07B" w14:textId="77777777" w:rsidR="005B1ABF" w:rsidRDefault="00756C0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1B29EF80" w14:textId="77777777" w:rsidR="005B1ABF" w:rsidRDefault="00756C0F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dotace se zavazuje použít dotaci maximálně hospodárným způsobem.</w:t>
      </w:r>
    </w:p>
    <w:p w14:paraId="32D5B98C" w14:textId="77777777" w:rsidR="005B1ABF" w:rsidRDefault="00756C0F">
      <w:pPr>
        <w:keepNext/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>Doba, v níž má být dosaženo účelu stanoveného v článku I. odst. 2) této smlouvy, tj. doba, ve které musejí být provedeny všechny činnosti spojené s realizací předmětného projektu, (dále jen „</w:t>
      </w:r>
      <w:r>
        <w:rPr>
          <w:b/>
          <w:sz w:val="24"/>
        </w:rPr>
        <w:t>doba realizace projektu</w:t>
      </w:r>
      <w:r>
        <w:rPr>
          <w:sz w:val="24"/>
        </w:rPr>
        <w:t xml:space="preserve">“) se stanovuje od </w:t>
      </w:r>
      <w:r>
        <w:rPr>
          <w:b/>
          <w:sz w:val="24"/>
        </w:rPr>
        <w:t>1. ledna 2022 do 31. prosince 2022.</w:t>
      </w:r>
      <w:r>
        <w:rPr>
          <w:sz w:val="24"/>
        </w:rPr>
        <w:t xml:space="preserve"> </w:t>
      </w:r>
      <w:r>
        <w:rPr>
          <w:b/>
          <w:sz w:val="24"/>
        </w:rPr>
        <w:t>V době realizace</w:t>
      </w:r>
      <w:r>
        <w:rPr>
          <w:sz w:val="24"/>
        </w:rPr>
        <w:t xml:space="preserve"> projektu </w:t>
      </w:r>
      <w:r>
        <w:rPr>
          <w:b/>
          <w:sz w:val="24"/>
        </w:rPr>
        <w:t>musí být uhrazeny veškeré výdaje</w:t>
      </w:r>
      <w:r>
        <w:rPr>
          <w:sz w:val="24"/>
        </w:rPr>
        <w:t xml:space="preserve"> projektu.</w:t>
      </w:r>
    </w:p>
    <w:p w14:paraId="74FA30D9" w14:textId="66D6778D" w:rsidR="005B1ABF" w:rsidRDefault="00756C0F" w:rsidP="00EB100E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 xml:space="preserve">Podpora </w:t>
      </w:r>
      <w:r w:rsidR="00EB100E">
        <w:rPr>
          <w:sz w:val="24"/>
        </w:rPr>
        <w:t>je v souladu s čl. 87, odst. 3, písm. d) Smlouvy o založení Evropského společenství (EU) a je určena na pomoc kultuře a zachování kulturního dědictví.</w:t>
      </w:r>
    </w:p>
    <w:p w14:paraId="3D30F64F" w14:textId="77777777" w:rsidR="005B1ABF" w:rsidRDefault="00756C0F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>DPH, o jejíž vrácení může příjemce zpětně zažádat, není uznatelným výdajem.</w:t>
      </w:r>
    </w:p>
    <w:p w14:paraId="1A6609BF" w14:textId="77777777" w:rsidR="005B1ABF" w:rsidRDefault="00756C0F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57909E15" w14:textId="77777777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postupovat při zadávání zakázky, při jejíž realizaci bude použita dotace, v souladu se zákonem č. 134/2016 Sb., o zadávání veřejných zakázek (dále jen „ZVZ“). </w:t>
      </w:r>
    </w:p>
    <w:p w14:paraId="620D6039" w14:textId="77777777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Příjemce je povinen v rámci účetnictví vést výdaje vynaložené na realizaci projektu odděleně (např. analytická evidence, střediska apod.) v souladu se zákonem č. 563/1991 Sb., o 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36314752" w14:textId="77777777" w:rsidR="005B1ABF" w:rsidRDefault="00756C0F">
      <w:pPr>
        <w:numPr>
          <w:ilvl w:val="0"/>
          <w:numId w:val="1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14:paraId="1B89DBC0" w14:textId="77777777" w:rsidR="005B1ABF" w:rsidRDefault="00756C0F">
      <w:pPr>
        <w:numPr>
          <w:ilvl w:val="0"/>
          <w:numId w:val="1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>Příjemce je povinen uvést Královéhradecký kraj jako poskytovatele dotace na realizaci projektu na své webové stránce, nebo na místě jeho realizace či bezprostředním okolí, na veřejně přístupném prostranství, v čitelné a viditelné podobě, a to po dobu realizace projektu. Příjemce je povinen poskytnout aktuální informace o konané akci na webu prokreativitu.cz a hkregion.cz.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12C008C1" w14:textId="25236A18" w:rsidR="005B1ABF" w:rsidRDefault="00756C0F">
      <w:pPr>
        <w:pStyle w:val="Odstavecseseznamem"/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b/>
          <w:sz w:val="24"/>
        </w:rPr>
        <w:lastRenderedPageBreak/>
        <w:t>Příjemce je povinen předat poskytovateli Závěrečnou zprávu</w:t>
      </w:r>
      <w:r>
        <w:rPr>
          <w:sz w:val="24"/>
        </w:rPr>
        <w:t xml:space="preserve"> o realizaci projektu, jejíž součástí je finanční vypořádání dotace (dále jen „Závěrečná zpráva“) </w:t>
      </w:r>
      <w:r>
        <w:rPr>
          <w:b/>
          <w:sz w:val="24"/>
        </w:rPr>
        <w:t>do 10.</w:t>
      </w:r>
      <w:r w:rsidR="00B86591">
        <w:rPr>
          <w:b/>
          <w:sz w:val="24"/>
        </w:rPr>
        <w:t>0</w:t>
      </w:r>
      <w:r>
        <w:rPr>
          <w:b/>
          <w:sz w:val="24"/>
        </w:rPr>
        <w:t>1.2023</w:t>
      </w:r>
      <w:r>
        <w:rPr>
          <w:sz w:val="24"/>
        </w:rPr>
        <w:t xml:space="preserve">. Za den předání Závěrečné zprávy se považuje den jejího odeslání prostřednictvím dotačního portálu. </w:t>
      </w:r>
    </w:p>
    <w:p w14:paraId="6C1C89D6" w14:textId="2065748E" w:rsidR="005B1ABF" w:rsidRDefault="00756C0F">
      <w:pPr>
        <w:numPr>
          <w:ilvl w:val="0"/>
          <w:numId w:val="1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>Závěrečná zpráva musí obsahovat popis realizace projektu, vyhodnocení dopadu projektu, seznam účetních dokladů prokazujících výdaje vynaložené na realizaci projektu (číslo účetního dokladu, účel použití dotace a výši dotace použité na daný výdaj, datum výdaje, částka v Kč), čestné prohlášení o pravdivosti a úplnosti předloženého seznamu dokladů a doklad o naplnění publicity finanční podpory od poskytovatele dotace podle článku III. odst. 9) této smlouvy.</w:t>
      </w:r>
      <w:r w:rsidR="009D359E">
        <w:rPr>
          <w:sz w:val="24"/>
        </w:rPr>
        <w:t xml:space="preserve"> </w:t>
      </w:r>
      <w:r>
        <w:rPr>
          <w:sz w:val="24"/>
        </w:rPr>
        <w:t>Pokud výše poskytnuté dotace přesáhla 100.000 Kč, pak musí Závěrečná zpráva 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1DE0B9A6" w14:textId="77777777" w:rsidR="005B1ABF" w:rsidRDefault="00756C0F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>Příjemce je povinen ve lhůtě 5 pracovních dnů po uplynutí lhůty pro předání Závěrečné zprávy o realizaci projektu vrátit případnou nepoužitou část dotace, a to jejím odesláním na bankovní účet poskytovatele uvedený v záhlaví této smlouvy. Dotace či její části se považují za vrácené dnem, kdy byly připsány na bankovní účet poskytovatele uvedený v záhlaví této smlouvy.</w:t>
      </w:r>
    </w:p>
    <w:p w14:paraId="513EE627" w14:textId="3BA64843" w:rsidR="005B1ABF" w:rsidRDefault="00756C0F">
      <w:pPr>
        <w:numPr>
          <w:ilvl w:val="0"/>
          <w:numId w:val="1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 xml:space="preserve">V případě, že </w:t>
      </w:r>
      <w:bookmarkStart w:id="1" w:name="_Hlk32475684"/>
      <w:r>
        <w:rPr>
          <w:sz w:val="24"/>
        </w:rPr>
        <w:t xml:space="preserve">účinnost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 xml:space="preserve">do </w:t>
      </w:r>
      <w:r w:rsidR="009D359E">
        <w:rPr>
          <w:b/>
          <w:sz w:val="24"/>
        </w:rPr>
        <w:t>8. ledna</w:t>
      </w:r>
      <w:r>
        <w:rPr>
          <w:sz w:val="24"/>
        </w:rPr>
        <w:t xml:space="preserve"> </w:t>
      </w:r>
      <w:r w:rsidR="009D359E">
        <w:rPr>
          <w:sz w:val="24"/>
        </w:rPr>
        <w:t xml:space="preserve">následujícího </w:t>
      </w:r>
      <w:r>
        <w:rPr>
          <w:sz w:val="24"/>
        </w:rPr>
        <w:t>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  <w:bookmarkEnd w:id="1"/>
    </w:p>
    <w:p w14:paraId="75103FA1" w14:textId="77777777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B65FF0C" w14:textId="77777777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</w:t>
      </w:r>
      <w:r>
        <w:br/>
      </w:r>
      <w:r>
        <w:rPr>
          <w:sz w:val="24"/>
        </w:rPr>
        <w:t>a tištěné prezentace k případnému nekomerčnímu využití, a to bez souhlasu příjemce dotace. Příjemce dotace je povinen toto právo poskytovatele strpět a zavazuje se mu poskytnout k jeho realizaci veškerou součinnost.</w:t>
      </w:r>
    </w:p>
    <w:p w14:paraId="62F63710" w14:textId="2D23637B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 rámci realizace aktivit Strategie rozvoje kultury, kulturního dědictví a kulturních a kreativních odvětví Královéhradeckého kraje 2022–2030 vyzvat příjemce dotace k účasti na setkáních aktérů kultury a sdílení příkladů dobré praxe a příjemce dotace se touto smlouvou zavazuje k účasti na tomto setkání, resp. je povinen vynaložit   veškerou součinnost a úsilí k zajištění účasti oprávněné osoby příjemce na těchto setkáních. </w:t>
      </w:r>
    </w:p>
    <w:p w14:paraId="1AAB5A80" w14:textId="666179A2" w:rsidR="005B1ABF" w:rsidRDefault="00756C0F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V rámci realizace účelu dotace se příjemce zavazuje dodat poskytovateli dotace minimálně 5 fotografií z akce předmětného festivalu, a to za účelem jejich využití k propagaci a prezentaci Královéhradeckého kraje.  Příjemce odpovídá poskytovateli za právní bezvadnost práv k těmto fotografií (</w:t>
      </w:r>
      <w:r w:rsidR="009D359E">
        <w:rPr>
          <w:sz w:val="24"/>
        </w:rPr>
        <w:t>zejm. licenčních</w:t>
      </w:r>
      <w:r>
        <w:rPr>
          <w:sz w:val="24"/>
        </w:rPr>
        <w:t xml:space="preserve"> a autorských práv), tj. za to, že užitím fotografií poskytovatelem nemůže dojít k neoprávněnému zásahu do práv třetích osob ani k jinému porušení právních předpisů, a že případné majetkové nároky třetích osob byly vypořádány a poskytovateli v souvislosti s užitím fotografií nemohou vzniknout peněžité ani jiné povinnosti vůči třetím osobám.   Příjemce prohlašuje, že odpovídá poskytovateli za případnou vzniklou škodu v souvislosti s uplatněním práv třetích osob. </w:t>
      </w:r>
    </w:p>
    <w:p w14:paraId="1E5A29C5" w14:textId="77777777" w:rsidR="00B86591" w:rsidRPr="00B86591" w:rsidRDefault="00B86591" w:rsidP="00B86591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B86591">
        <w:rPr>
          <w:sz w:val="24"/>
        </w:rPr>
        <w:t>Poskytovatel prohlašuje, že poskytnutí dotace podle této smlouvy je poskytnutím podpory de minimis ve smyslu nařízení Komise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3ABB9361" w14:textId="0F1148D2" w:rsidR="005B1ABF" w:rsidRPr="00B86591" w:rsidRDefault="00B86591" w:rsidP="00B86591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B86591">
        <w:rPr>
          <w:sz w:val="24"/>
        </w:rPr>
        <w:lastRenderedPageBreak/>
        <w:t>Příjemce prohlašuje, že nenastaly okolnosti, které by vylučovaly aplikaci pravidla de minimis, především, že poskytnutím této dotace nedojde k takové kumulaci s jinou veřejnou podporu ohledně týchž výdajů,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7DEF7135" w14:textId="77777777" w:rsidR="00B86591" w:rsidRDefault="00B86591">
      <w:pPr>
        <w:spacing w:before="240"/>
        <w:jc w:val="center"/>
        <w:rPr>
          <w:b/>
          <w:sz w:val="24"/>
        </w:rPr>
      </w:pPr>
    </w:p>
    <w:p w14:paraId="4911B087" w14:textId="07630CD1" w:rsidR="005B1ABF" w:rsidRDefault="00756C0F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6ADFF0A" w14:textId="77777777" w:rsidR="005B1ABF" w:rsidRDefault="00756C0F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1C1DEDDD" w14:textId="77777777" w:rsidR="005B1ABF" w:rsidRDefault="00756C0F">
      <w:pPr>
        <w:numPr>
          <w:ilvl w:val="0"/>
          <w:numId w:val="18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2 tohoto článku, nejpozději do 5 pracovních dnů ode dne, kdy se o změnách dozvěděl. </w:t>
      </w:r>
    </w:p>
    <w:p w14:paraId="433AF8D9" w14:textId="77777777" w:rsidR="005B1ABF" w:rsidRDefault="00756C0F">
      <w:pPr>
        <w:numPr>
          <w:ilvl w:val="0"/>
          <w:numId w:val="18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14:paraId="049358C1" w14:textId="77777777" w:rsidR="00B86591" w:rsidRDefault="00B86591">
      <w:pPr>
        <w:keepNext/>
        <w:keepLines/>
        <w:spacing w:before="240"/>
        <w:jc w:val="center"/>
        <w:rPr>
          <w:b/>
          <w:sz w:val="24"/>
        </w:rPr>
      </w:pPr>
    </w:p>
    <w:p w14:paraId="48697433" w14:textId="65D702CD" w:rsidR="005B1ABF" w:rsidRDefault="00756C0F">
      <w:pPr>
        <w:keepNext/>
        <w:keepLines/>
        <w:spacing w:before="24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109B9A6D" w14:textId="77777777" w:rsidR="005B1ABF" w:rsidRDefault="00756C0F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3C800F88" w14:textId="77777777" w:rsidR="005B1ABF" w:rsidRDefault="00756C0F">
      <w:pPr>
        <w:numPr>
          <w:ilvl w:val="0"/>
          <w:numId w:val="4"/>
        </w:numPr>
        <w:tabs>
          <w:tab w:val="clear" w:pos="720"/>
          <w:tab w:val="left" w:pos="360"/>
        </w:tabs>
        <w:spacing w:after="120"/>
        <w:ind w:left="357" w:hanging="357"/>
        <w:jc w:val="both"/>
        <w:rPr>
          <w:sz w:val="24"/>
        </w:rPr>
      </w:pPr>
      <w:r>
        <w:rPr>
          <w:sz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 Sb.</w:t>
      </w:r>
    </w:p>
    <w:p w14:paraId="2E2B318A" w14:textId="77777777" w:rsidR="00B86591" w:rsidRDefault="00B86591">
      <w:pPr>
        <w:keepNext/>
        <w:keepLines/>
        <w:spacing w:before="240"/>
        <w:jc w:val="center"/>
        <w:rPr>
          <w:b/>
          <w:sz w:val="24"/>
        </w:rPr>
      </w:pPr>
    </w:p>
    <w:p w14:paraId="17E09645" w14:textId="23C09545" w:rsidR="005B1ABF" w:rsidRDefault="00756C0F">
      <w:pPr>
        <w:keepNext/>
        <w:keepLines/>
        <w:spacing w:before="240"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DF1A1F2" w14:textId="77777777" w:rsidR="005B1ABF" w:rsidRDefault="00756C0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59DE8253" w14:textId="77777777" w:rsidR="005B1ABF" w:rsidRDefault="00756C0F">
      <w:pPr>
        <w:numPr>
          <w:ilvl w:val="0"/>
          <w:numId w:val="6"/>
        </w:numPr>
        <w:spacing w:after="120"/>
        <w:jc w:val="both"/>
        <w:rPr>
          <w:sz w:val="24"/>
        </w:rPr>
      </w:pPr>
      <w:r>
        <w:rPr>
          <w:sz w:val="24"/>
        </w:rPr>
        <w:t>Pokud se příjemce dopustí porušení rozpočtové kázně, poskytovatel dotace bude postupovat dle §22 zákona č. 250/2000 Sb.</w:t>
      </w:r>
    </w:p>
    <w:p w14:paraId="483A99F2" w14:textId="77777777" w:rsidR="005B1ABF" w:rsidRDefault="00756C0F">
      <w:pPr>
        <w:numPr>
          <w:ilvl w:val="0"/>
          <w:numId w:val="6"/>
        </w:numPr>
        <w:spacing w:after="120"/>
        <w:jc w:val="both"/>
        <w:rPr>
          <w:sz w:val="24"/>
        </w:rPr>
      </w:pPr>
      <w:r>
        <w:rPr>
          <w:sz w:val="24"/>
        </w:rPr>
        <w:t>Podmínky, jejichž porušení je považováno za méně závažné, a výše odvodů za porušení rozpočtové kázně dle ustanovení § 10a odst. 6 zákona č. 250/2000, jsou vymezeny takto:</w:t>
      </w:r>
    </w:p>
    <w:p w14:paraId="0B30B30E" w14:textId="77777777" w:rsidR="005B1ABF" w:rsidRDefault="00756C0F">
      <w:pPr>
        <w:numPr>
          <w:ilvl w:val="1"/>
          <w:numId w:val="6"/>
        </w:numPr>
        <w:tabs>
          <w:tab w:val="clear" w:pos="720"/>
          <w:tab w:val="left" w:pos="567"/>
        </w:tabs>
        <w:ind w:left="567" w:hanging="283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lhůtě stanovené touto smlouvou:</w:t>
      </w:r>
    </w:p>
    <w:p w14:paraId="6651E744" w14:textId="77777777" w:rsidR="005B1ABF" w:rsidRDefault="00756C0F">
      <w:pPr>
        <w:numPr>
          <w:ilvl w:val="2"/>
          <w:numId w:val="6"/>
        </w:numPr>
        <w:ind w:left="1434" w:hanging="357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F220AF8" w14:textId="77777777" w:rsidR="005B1ABF" w:rsidRDefault="00756C0F">
      <w:pPr>
        <w:numPr>
          <w:ilvl w:val="2"/>
          <w:numId w:val="6"/>
        </w:numPr>
        <w:ind w:left="1434" w:hanging="357"/>
        <w:jc w:val="both"/>
        <w:rPr>
          <w:sz w:val="24"/>
        </w:rPr>
      </w:pPr>
      <w:r>
        <w:rPr>
          <w:sz w:val="24"/>
        </w:rPr>
        <w:t>odvod ve výši 2 % z celkové částky poskytnuté dotace při překročení lhůty o max. 20 pracovních dnů,</w:t>
      </w:r>
    </w:p>
    <w:p w14:paraId="080BC22F" w14:textId="77777777" w:rsidR="005B1ABF" w:rsidRDefault="00756C0F">
      <w:pPr>
        <w:numPr>
          <w:ilvl w:val="1"/>
          <w:numId w:val="6"/>
        </w:numPr>
        <w:tabs>
          <w:tab w:val="clear" w:pos="720"/>
          <w:tab w:val="left" w:pos="567"/>
        </w:tabs>
        <w:ind w:left="567" w:hanging="283"/>
        <w:jc w:val="both"/>
        <w:rPr>
          <w:sz w:val="24"/>
        </w:rPr>
      </w:pPr>
      <w:r>
        <w:rPr>
          <w:sz w:val="24"/>
        </w:rPr>
        <w:t xml:space="preserve">za každé jednotlivé porušení čl. III. odst. </w:t>
      </w:r>
      <w:bookmarkStart w:id="2" w:name="_Hlk32481409"/>
      <w:bookmarkStart w:id="3" w:name="_Hlk32475736"/>
      <w:r>
        <w:rPr>
          <w:sz w:val="24"/>
        </w:rPr>
        <w:t>4, 7, 8, 9, 11</w:t>
      </w:r>
      <w:bookmarkEnd w:id="2"/>
      <w:r>
        <w:rPr>
          <w:sz w:val="24"/>
        </w:rPr>
        <w:t xml:space="preserve"> </w:t>
      </w:r>
      <w:bookmarkEnd w:id="3"/>
      <w:r>
        <w:rPr>
          <w:sz w:val="24"/>
        </w:rPr>
        <w:t>této smlouvy – odvod ve výši 5 % z celkové částky poskytnuté dotace,</w:t>
      </w:r>
    </w:p>
    <w:p w14:paraId="462542BD" w14:textId="77777777" w:rsidR="005B1ABF" w:rsidRDefault="00756C0F">
      <w:pPr>
        <w:numPr>
          <w:ilvl w:val="1"/>
          <w:numId w:val="6"/>
        </w:numPr>
        <w:tabs>
          <w:tab w:val="clear" w:pos="720"/>
          <w:tab w:val="left" w:pos="567"/>
        </w:tabs>
        <w:ind w:left="567" w:hanging="283"/>
        <w:jc w:val="both"/>
        <w:rPr>
          <w:sz w:val="24"/>
        </w:rPr>
      </w:pPr>
      <w:r>
        <w:rPr>
          <w:sz w:val="24"/>
        </w:rPr>
        <w:t>za každé jednotlivé administrativní porušení ZVZ (např. pozdní zveřejnění smlouvy s dodavatelem), kterým nedošlo k ovlivnění výběru dodavatele – odvod ve výši 2000,- Kč</w:t>
      </w:r>
    </w:p>
    <w:p w14:paraId="1E7E394F" w14:textId="77777777" w:rsidR="005B1ABF" w:rsidRDefault="00756C0F">
      <w:pPr>
        <w:numPr>
          <w:ilvl w:val="1"/>
          <w:numId w:val="6"/>
        </w:numPr>
        <w:tabs>
          <w:tab w:val="clear" w:pos="720"/>
          <w:tab w:val="left" w:pos="567"/>
        </w:tabs>
        <w:ind w:left="567" w:hanging="283"/>
        <w:jc w:val="both"/>
        <w:rPr>
          <w:sz w:val="24"/>
        </w:rPr>
      </w:pPr>
      <w:r>
        <w:rPr>
          <w:sz w:val="24"/>
        </w:rPr>
        <w:lastRenderedPageBreak/>
        <w:t>jiné porušení ZVZ – odvod ve výši 50 % z celkové hodnoty veřejné zakázky, u níž došlo k porušení ZVZ, vyjma porušení ZVZ uvedeného pod písm. c) tohoto odstavce,</w:t>
      </w:r>
    </w:p>
    <w:p w14:paraId="6B694DB5" w14:textId="77777777" w:rsidR="005B1ABF" w:rsidRDefault="005B1ABF">
      <w:pPr>
        <w:ind w:left="567"/>
        <w:jc w:val="both"/>
        <w:rPr>
          <w:sz w:val="24"/>
        </w:rPr>
      </w:pPr>
    </w:p>
    <w:p w14:paraId="41D719EE" w14:textId="77777777" w:rsidR="005B1ABF" w:rsidRDefault="00756C0F">
      <w:pPr>
        <w:numPr>
          <w:ilvl w:val="0"/>
          <w:numId w:val="6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1E957344" w14:textId="77777777" w:rsidR="00B86591" w:rsidRDefault="00B86591">
      <w:pPr>
        <w:keepNext/>
        <w:spacing w:before="240"/>
        <w:jc w:val="center"/>
        <w:rPr>
          <w:b/>
          <w:sz w:val="24"/>
        </w:rPr>
      </w:pPr>
    </w:p>
    <w:p w14:paraId="740A9EFE" w14:textId="4A183AD2" w:rsidR="005B1ABF" w:rsidRDefault="00756C0F">
      <w:pPr>
        <w:keepNext/>
        <w:spacing w:before="240"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568266D1" w14:textId="77777777" w:rsidR="005B1ABF" w:rsidRDefault="00756C0F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63AF332B" w14:textId="77777777" w:rsidR="005B1ABF" w:rsidRDefault="00756C0F">
      <w:pPr>
        <w:numPr>
          <w:ilvl w:val="0"/>
          <w:numId w:val="5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>V případě, že příjemce nebude projekt realizovat, je kterákoli ze smluvních stran oprávněna smlouvu vypovědět.</w:t>
      </w:r>
    </w:p>
    <w:p w14:paraId="534AF141" w14:textId="77777777" w:rsidR="005B1ABF" w:rsidRDefault="00756C0F">
      <w:pPr>
        <w:numPr>
          <w:ilvl w:val="0"/>
          <w:numId w:val="5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>Výpovědní doba činí 15 dnů ode dne doručení výpovědi druhé smluvní straně. Výpověď smlouvy musí být učiněna písemnou formou.</w:t>
      </w:r>
    </w:p>
    <w:p w14:paraId="7D163562" w14:textId="77777777" w:rsidR="005B1ABF" w:rsidRDefault="00756C0F">
      <w:pPr>
        <w:numPr>
          <w:ilvl w:val="0"/>
          <w:numId w:val="5"/>
        </w:numPr>
        <w:spacing w:after="120"/>
        <w:ind w:hanging="357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</w:t>
      </w:r>
    </w:p>
    <w:p w14:paraId="013B15B4" w14:textId="77777777" w:rsidR="00B86591" w:rsidRDefault="00B86591">
      <w:pPr>
        <w:keepNext/>
        <w:keepLines/>
        <w:spacing w:before="240"/>
        <w:jc w:val="center"/>
        <w:rPr>
          <w:b/>
          <w:sz w:val="24"/>
        </w:rPr>
      </w:pPr>
    </w:p>
    <w:p w14:paraId="580AEA95" w14:textId="6673BD89" w:rsidR="005B1ABF" w:rsidRDefault="00756C0F">
      <w:pPr>
        <w:keepNext/>
        <w:keepLines/>
        <w:spacing w:before="240"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35D64B3E" w14:textId="77777777" w:rsidR="005B1ABF" w:rsidRDefault="00756C0F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9115FB0" w14:textId="77777777" w:rsidR="005B1ABF" w:rsidRDefault="00756C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2A90DECC" w14:textId="77777777" w:rsidR="005B1ABF" w:rsidRDefault="00756C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V případě, že dotace je použita na vytvoření předmětu duševního vlastnictví (zejména autorského díla), poskytuje příjemce dotace poskytovateli dotace právo dílo užít pro své potřeby, a to bezplatně na území České republiky na dobu neurčitou.</w:t>
      </w:r>
    </w:p>
    <w:p w14:paraId="12BFF554" w14:textId="77777777" w:rsidR="005B1ABF" w:rsidRDefault="00756C0F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69335A59" w14:textId="77777777" w:rsidR="005B1ABF" w:rsidRDefault="00756C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721E096E" w14:textId="77777777" w:rsidR="005B1ABF" w:rsidRDefault="00756C0F">
      <w:pPr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055CBFE5" w14:textId="77777777" w:rsidR="005B1ABF" w:rsidRDefault="00756C0F">
      <w:pPr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14:paraId="523A5C47" w14:textId="77777777" w:rsidR="005B1ABF" w:rsidRDefault="00756C0F">
      <w:pPr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23F2F074" w14:textId="77777777" w:rsidR="005B1ABF" w:rsidRDefault="00756C0F">
      <w:pPr>
        <w:numPr>
          <w:ilvl w:val="0"/>
          <w:numId w:val="3"/>
        </w:numPr>
        <w:spacing w:after="480"/>
        <w:ind w:left="357" w:hanging="357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2F03B1F" w14:textId="77777777" w:rsidR="005B1ABF" w:rsidRDefault="00756C0F">
      <w:pPr>
        <w:keepNext/>
        <w:ind w:left="357"/>
        <w:jc w:val="both"/>
        <w:rPr>
          <w:sz w:val="24"/>
        </w:rPr>
      </w:pPr>
      <w:r>
        <w:rPr>
          <w:b/>
          <w:sz w:val="24"/>
        </w:rPr>
        <w:lastRenderedPageBreak/>
        <w:t xml:space="preserve">Doložka podle ustanovení § 23 odst. (1) zákona o krajích </w:t>
      </w:r>
    </w:p>
    <w:p w14:paraId="2518DE38" w14:textId="2AD65394" w:rsidR="005B1ABF" w:rsidRDefault="00756C0F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8E1A24">
        <w:rPr>
          <w:sz w:val="24"/>
        </w:rPr>
        <w:t>20. 6</w:t>
      </w:r>
      <w:r>
        <w:rPr>
          <w:sz w:val="24"/>
        </w:rPr>
        <w:t xml:space="preserve">. 2022 usnesením č. </w:t>
      </w:r>
      <w:hyperlink r:id="rId9" w:history="1">
        <w:r>
          <w:rPr>
            <w:rStyle w:val="Hypertextovodkaz"/>
            <w:color w:val="auto"/>
            <w:sz w:val="24"/>
            <w:u w:val="none"/>
          </w:rPr>
          <w:t>ZK/</w:t>
        </w:r>
      </w:hyperlink>
      <w:r w:rsidR="00B86591">
        <w:rPr>
          <w:rStyle w:val="Hypertextovodkaz"/>
          <w:color w:val="auto"/>
          <w:sz w:val="24"/>
          <w:u w:val="none"/>
        </w:rPr>
        <w:t>13</w:t>
      </w:r>
      <w:r>
        <w:rPr>
          <w:sz w:val="24"/>
        </w:rPr>
        <w:t>/</w:t>
      </w:r>
      <w:r w:rsidR="00B86591">
        <w:rPr>
          <w:sz w:val="24"/>
        </w:rPr>
        <w:t>931</w:t>
      </w:r>
      <w:r>
        <w:rPr>
          <w:sz w:val="24"/>
        </w:rPr>
        <w:t>/2022.</w:t>
      </w:r>
    </w:p>
    <w:p w14:paraId="4611C889" w14:textId="56282E82" w:rsidR="005B1ABF" w:rsidRDefault="005B1ABF">
      <w:pPr>
        <w:keepNext/>
        <w:ind w:left="357"/>
        <w:jc w:val="both"/>
        <w:rPr>
          <w:sz w:val="24"/>
        </w:rPr>
      </w:pPr>
    </w:p>
    <w:p w14:paraId="5E8D104F" w14:textId="52BC4134" w:rsidR="000A17E3" w:rsidRDefault="000A17E3">
      <w:pPr>
        <w:keepNext/>
        <w:ind w:left="357"/>
        <w:jc w:val="both"/>
        <w:rPr>
          <w:sz w:val="24"/>
        </w:rPr>
      </w:pPr>
    </w:p>
    <w:p w14:paraId="1B1E452E" w14:textId="7350BA1E" w:rsidR="00B86591" w:rsidRDefault="00B86591">
      <w:pPr>
        <w:keepNext/>
        <w:ind w:left="357"/>
        <w:jc w:val="both"/>
        <w:rPr>
          <w:sz w:val="24"/>
        </w:rPr>
      </w:pPr>
    </w:p>
    <w:p w14:paraId="7B010AE1" w14:textId="77777777" w:rsidR="00B86591" w:rsidRDefault="00B86591">
      <w:pPr>
        <w:keepNext/>
        <w:ind w:left="357"/>
        <w:jc w:val="both"/>
        <w:rPr>
          <w:sz w:val="24"/>
        </w:rPr>
      </w:pPr>
    </w:p>
    <w:p w14:paraId="33470078" w14:textId="77777777" w:rsidR="005B1ABF" w:rsidRDefault="005B1ABF">
      <w:pPr>
        <w:keepNext/>
        <w:ind w:left="357"/>
        <w:jc w:val="both"/>
        <w:rPr>
          <w:sz w:val="24"/>
        </w:rPr>
      </w:pPr>
    </w:p>
    <w:p w14:paraId="45E9C71F" w14:textId="77777777" w:rsidR="005B1ABF" w:rsidRDefault="00756C0F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14:paraId="3488CDB3" w14:textId="77777777" w:rsidR="005B1ABF" w:rsidRDefault="005B1ABF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7F4812E8" w14:textId="64B793CB" w:rsidR="005B1ABF" w:rsidRDefault="005B1ABF">
      <w:pPr>
        <w:tabs>
          <w:tab w:val="center" w:pos="2160"/>
          <w:tab w:val="center" w:pos="7020"/>
        </w:tabs>
        <w:rPr>
          <w:sz w:val="24"/>
        </w:rPr>
      </w:pPr>
    </w:p>
    <w:p w14:paraId="71ADBE91" w14:textId="3174A921" w:rsidR="000A17E3" w:rsidRDefault="000A17E3">
      <w:pPr>
        <w:tabs>
          <w:tab w:val="center" w:pos="2160"/>
          <w:tab w:val="center" w:pos="7020"/>
        </w:tabs>
        <w:rPr>
          <w:sz w:val="24"/>
        </w:rPr>
      </w:pPr>
    </w:p>
    <w:p w14:paraId="6389128E" w14:textId="1C99BAF0" w:rsidR="000A17E3" w:rsidRDefault="000A17E3">
      <w:pPr>
        <w:tabs>
          <w:tab w:val="center" w:pos="2160"/>
          <w:tab w:val="center" w:pos="7020"/>
        </w:tabs>
        <w:rPr>
          <w:sz w:val="24"/>
        </w:rPr>
      </w:pPr>
    </w:p>
    <w:p w14:paraId="50A54B80" w14:textId="77777777" w:rsidR="000A17E3" w:rsidRDefault="000A17E3">
      <w:pPr>
        <w:tabs>
          <w:tab w:val="center" w:pos="2160"/>
          <w:tab w:val="center" w:pos="7020"/>
        </w:tabs>
        <w:rPr>
          <w:sz w:val="24"/>
        </w:rPr>
      </w:pPr>
    </w:p>
    <w:p w14:paraId="0B0A480B" w14:textId="77777777" w:rsidR="005B1ABF" w:rsidRDefault="00756C0F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       …...……………………………………….</w:t>
      </w:r>
    </w:p>
    <w:p w14:paraId="247A87EB" w14:textId="77777777" w:rsidR="005B1ABF" w:rsidRDefault="00756C0F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5B1ABF">
      <w:footerReference w:type="even" r:id="rId10"/>
      <w:footerReference w:type="default" r:id="rId11"/>
      <w:pgSz w:w="11906" w:h="16838"/>
      <w:pgMar w:top="1440" w:right="1077" w:bottom="851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691D" w14:textId="77777777" w:rsidR="0087753E" w:rsidRDefault="0087753E">
      <w:r>
        <w:separator/>
      </w:r>
    </w:p>
  </w:endnote>
  <w:endnote w:type="continuationSeparator" w:id="0">
    <w:p w14:paraId="3506C219" w14:textId="77777777" w:rsidR="0087753E" w:rsidRDefault="008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B74" w14:textId="77777777" w:rsidR="005B1ABF" w:rsidRDefault="00756C0F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1</w:t>
    </w:r>
    <w:r>
      <w:fldChar w:fldCharType="end"/>
    </w:r>
  </w:p>
  <w:p w14:paraId="1C09B2CE" w14:textId="77777777" w:rsidR="005B1ABF" w:rsidRDefault="005B1A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23A4" w14:textId="77777777" w:rsidR="005B1ABF" w:rsidRDefault="005B1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F79E" w14:textId="77777777" w:rsidR="0087753E" w:rsidRDefault="0087753E">
      <w:r>
        <w:separator/>
      </w:r>
    </w:p>
  </w:footnote>
  <w:footnote w:type="continuationSeparator" w:id="0">
    <w:p w14:paraId="3E8B7374" w14:textId="77777777" w:rsidR="0087753E" w:rsidRDefault="0087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3D"/>
    <w:multiLevelType w:val="hybridMultilevel"/>
    <w:tmpl w:val="2B969D16"/>
    <w:lvl w:ilvl="0" w:tplc="034604F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C1A5E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962D4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E889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B829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7E32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9622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046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C236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75B5B63"/>
    <w:multiLevelType w:val="hybridMultilevel"/>
    <w:tmpl w:val="7A5CABF6"/>
    <w:lvl w:ilvl="0" w:tplc="7146134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 w:tplc="BC129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F72A1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C20260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4F2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D4E58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AB482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D488F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56FD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08391B"/>
    <w:multiLevelType w:val="multilevel"/>
    <w:tmpl w:val="23D64D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D1F0930"/>
    <w:multiLevelType w:val="multilevel"/>
    <w:tmpl w:val="28C429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D6C192F"/>
    <w:multiLevelType w:val="multilevel"/>
    <w:tmpl w:val="91AAAE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2B00EED"/>
    <w:multiLevelType w:val="hybridMultilevel"/>
    <w:tmpl w:val="B2BEB356"/>
    <w:lvl w:ilvl="0" w:tplc="A122404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FDA28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6C032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9A47C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3A2D3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C690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92036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7D6FF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F10FE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4AF3CF5"/>
    <w:multiLevelType w:val="multilevel"/>
    <w:tmpl w:val="8AF2DD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6C8383C"/>
    <w:multiLevelType w:val="hybridMultilevel"/>
    <w:tmpl w:val="35544FF2"/>
    <w:lvl w:ilvl="0" w:tplc="80B2CE8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CAC21DC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E146D4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BB0F59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4288CB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EFE8AF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758901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6E4B91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7F489A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1AC665FA"/>
    <w:multiLevelType w:val="hybridMultilevel"/>
    <w:tmpl w:val="C93EF71A"/>
    <w:lvl w:ilvl="0" w:tplc="59C659D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C4691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600E6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FDA72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DA0A5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6030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95885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186C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0E09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C1D2D65"/>
    <w:multiLevelType w:val="multilevel"/>
    <w:tmpl w:val="7262A96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FB0574B"/>
    <w:multiLevelType w:val="multilevel"/>
    <w:tmpl w:val="5B88053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1590EF6"/>
    <w:multiLevelType w:val="hybridMultilevel"/>
    <w:tmpl w:val="349C999E"/>
    <w:lvl w:ilvl="0" w:tplc="C28AD86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BDEA9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F288E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882C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9307C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5C642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6AA71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7CF1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B9AFB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A57880"/>
    <w:multiLevelType w:val="hybridMultilevel"/>
    <w:tmpl w:val="56C2D776"/>
    <w:lvl w:ilvl="0" w:tplc="5E7E64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65846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9EE96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3ADB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6C1D8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12870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0E03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86ED9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8C80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4325327"/>
    <w:multiLevelType w:val="hybridMultilevel"/>
    <w:tmpl w:val="B07C047A"/>
    <w:lvl w:ilvl="0" w:tplc="046C141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0BC821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A8EFD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EF6E2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9C032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4D22A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99683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B5EE0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BF49A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E610D2A"/>
    <w:multiLevelType w:val="hybridMultilevel"/>
    <w:tmpl w:val="4B00BF9C"/>
    <w:lvl w:ilvl="0" w:tplc="3BAE09D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8B4623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1365D7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83EB4F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8C2F27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F5AB08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2F6AEB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4C4A3F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F0A355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2F2A0F16"/>
    <w:multiLevelType w:val="hybridMultilevel"/>
    <w:tmpl w:val="D34E0912"/>
    <w:lvl w:ilvl="0" w:tplc="7AB02B7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0985E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F6BF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C78FD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D894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1094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7066F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C802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EAC73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F60447"/>
    <w:multiLevelType w:val="multilevel"/>
    <w:tmpl w:val="6DB2D2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31A1248C"/>
    <w:multiLevelType w:val="hybridMultilevel"/>
    <w:tmpl w:val="9B407BD2"/>
    <w:lvl w:ilvl="0" w:tplc="CBDC2D7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18C1F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829F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F5AE2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AB609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C0CC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D02CA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EC646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646CA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3AE563C"/>
    <w:multiLevelType w:val="hybridMultilevel"/>
    <w:tmpl w:val="1D48C0F6"/>
    <w:lvl w:ilvl="0" w:tplc="3A8C654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C0ED34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2A2FA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E5241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F463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5608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826BB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AEAAB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7CFBC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6C44402"/>
    <w:multiLevelType w:val="hybridMultilevel"/>
    <w:tmpl w:val="8BBE7892"/>
    <w:lvl w:ilvl="0" w:tplc="F1500C1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F1A135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9A849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641E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0086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C1641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CB8CD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6E8F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807E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7DC3359"/>
    <w:multiLevelType w:val="multilevel"/>
    <w:tmpl w:val="249AA1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8902AE1"/>
    <w:multiLevelType w:val="hybridMultilevel"/>
    <w:tmpl w:val="B91E3264"/>
    <w:lvl w:ilvl="0" w:tplc="AD3A2E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D750A"/>
    <w:multiLevelType w:val="hybridMultilevel"/>
    <w:tmpl w:val="95B257C6"/>
    <w:lvl w:ilvl="0" w:tplc="B148B1B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FDB6B7B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78032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66257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8F8E0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7E45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1E2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4447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625F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7E9062B"/>
    <w:multiLevelType w:val="multilevel"/>
    <w:tmpl w:val="C2663A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4A35086A"/>
    <w:multiLevelType w:val="multilevel"/>
    <w:tmpl w:val="D6E0D5B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4A9571E0"/>
    <w:multiLevelType w:val="hybridMultilevel"/>
    <w:tmpl w:val="9B94FDE6"/>
    <w:lvl w:ilvl="0" w:tplc="B3D2027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E2BAAE8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CD487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BC820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89A34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93626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3CCF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4EE3E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5940E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F037077"/>
    <w:multiLevelType w:val="multilevel"/>
    <w:tmpl w:val="8E6C5C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20012FF"/>
    <w:multiLevelType w:val="multilevel"/>
    <w:tmpl w:val="DF8CAB0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5D22728"/>
    <w:multiLevelType w:val="hybridMultilevel"/>
    <w:tmpl w:val="E868A382"/>
    <w:lvl w:ilvl="0" w:tplc="23A243C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A304D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900E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804C5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7835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1A186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BFEE3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FDCD1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B1827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32848A5"/>
    <w:multiLevelType w:val="multilevel"/>
    <w:tmpl w:val="39E2E1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63EF0268"/>
    <w:multiLevelType w:val="multilevel"/>
    <w:tmpl w:val="16E47E7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1" w15:restartNumberingAfterBreak="0">
    <w:nsid w:val="65535D3D"/>
    <w:multiLevelType w:val="hybridMultilevel"/>
    <w:tmpl w:val="6248E930"/>
    <w:lvl w:ilvl="0" w:tplc="7E54E4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61AE9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BCF8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49887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4E94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2A10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C38B78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46A6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12DD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97D2634"/>
    <w:multiLevelType w:val="multilevel"/>
    <w:tmpl w:val="C45218F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70CF10AB"/>
    <w:multiLevelType w:val="multilevel"/>
    <w:tmpl w:val="28DA941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75D8432B"/>
    <w:multiLevelType w:val="hybridMultilevel"/>
    <w:tmpl w:val="08B8F0BC"/>
    <w:lvl w:ilvl="0" w:tplc="F60CD31A">
      <w:start w:val="1"/>
      <w:numFmt w:val="lowerLetter"/>
      <w:lvlText w:val="%1)"/>
      <w:lvlJc w:val="left"/>
      <w:pPr>
        <w:ind w:left="1854" w:hanging="360"/>
      </w:pPr>
    </w:lvl>
    <w:lvl w:ilvl="1" w:tplc="0C80CF80">
      <w:start w:val="1"/>
      <w:numFmt w:val="lowerLetter"/>
      <w:lvlText w:val="%2."/>
      <w:lvlJc w:val="left"/>
      <w:pPr>
        <w:ind w:left="2574" w:hanging="360"/>
      </w:pPr>
    </w:lvl>
    <w:lvl w:ilvl="2" w:tplc="E4C604F4">
      <w:start w:val="1"/>
      <w:numFmt w:val="lowerLetter"/>
      <w:lvlText w:val="%3."/>
      <w:lvlJc w:val="left"/>
      <w:pPr>
        <w:ind w:left="3294" w:hanging="180"/>
      </w:pPr>
    </w:lvl>
    <w:lvl w:ilvl="3" w:tplc="4A865CF8">
      <w:start w:val="1"/>
      <w:numFmt w:val="decimal"/>
      <w:lvlText w:val="%4."/>
      <w:lvlJc w:val="left"/>
      <w:pPr>
        <w:ind w:left="4014" w:hanging="360"/>
      </w:pPr>
    </w:lvl>
    <w:lvl w:ilvl="4" w:tplc="F3F45A02">
      <w:start w:val="1"/>
      <w:numFmt w:val="lowerLetter"/>
      <w:lvlText w:val="%5."/>
      <w:lvlJc w:val="left"/>
      <w:pPr>
        <w:ind w:left="4734" w:hanging="360"/>
      </w:pPr>
    </w:lvl>
    <w:lvl w:ilvl="5" w:tplc="8F80C38C">
      <w:start w:val="1"/>
      <w:numFmt w:val="lowerRoman"/>
      <w:lvlText w:val="%6."/>
      <w:lvlJc w:val="right"/>
      <w:pPr>
        <w:ind w:left="5454" w:hanging="180"/>
      </w:pPr>
    </w:lvl>
    <w:lvl w:ilvl="6" w:tplc="4406E802">
      <w:start w:val="1"/>
      <w:numFmt w:val="decimal"/>
      <w:lvlText w:val="%7."/>
      <w:lvlJc w:val="left"/>
      <w:pPr>
        <w:ind w:left="6174" w:hanging="360"/>
      </w:pPr>
    </w:lvl>
    <w:lvl w:ilvl="7" w:tplc="5AD4CBDA">
      <w:start w:val="1"/>
      <w:numFmt w:val="lowerLetter"/>
      <w:lvlText w:val="%8."/>
      <w:lvlJc w:val="left"/>
      <w:pPr>
        <w:ind w:left="6894" w:hanging="360"/>
      </w:pPr>
    </w:lvl>
    <w:lvl w:ilvl="8" w:tplc="09DCA69E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D3417A1"/>
    <w:multiLevelType w:val="hybridMultilevel"/>
    <w:tmpl w:val="6DC21832"/>
    <w:lvl w:ilvl="0" w:tplc="AEEC2DF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63696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84E0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F10D6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1A28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F823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6DAD6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B27C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A84D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13"/>
  </w:num>
  <w:num w:numId="5">
    <w:abstractNumId w:val="23"/>
  </w:num>
  <w:num w:numId="6">
    <w:abstractNumId w:val="32"/>
  </w:num>
  <w:num w:numId="7">
    <w:abstractNumId w:val="19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6"/>
  </w:num>
  <w:num w:numId="13">
    <w:abstractNumId w:val="2"/>
  </w:num>
  <w:num w:numId="14">
    <w:abstractNumId w:val="30"/>
  </w:num>
  <w:num w:numId="15">
    <w:abstractNumId w:val="29"/>
  </w:num>
  <w:num w:numId="16">
    <w:abstractNumId w:val="4"/>
  </w:num>
  <w:num w:numId="17">
    <w:abstractNumId w:val="6"/>
  </w:num>
  <w:num w:numId="18">
    <w:abstractNumId w:val="27"/>
  </w:num>
  <w:num w:numId="19">
    <w:abstractNumId w:val="35"/>
  </w:num>
  <w:num w:numId="20">
    <w:abstractNumId w:val="28"/>
  </w:num>
  <w:num w:numId="21">
    <w:abstractNumId w:val="18"/>
  </w:num>
  <w:num w:numId="22">
    <w:abstractNumId w:val="34"/>
  </w:num>
  <w:num w:numId="23">
    <w:abstractNumId w:val="22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33"/>
  </w:num>
  <w:num w:numId="29">
    <w:abstractNumId w:val="7"/>
  </w:num>
  <w:num w:numId="30">
    <w:abstractNumId w:val="20"/>
  </w:num>
  <w:num w:numId="31">
    <w:abstractNumId w:val="10"/>
  </w:num>
  <w:num w:numId="32">
    <w:abstractNumId w:val="26"/>
  </w:num>
  <w:num w:numId="33">
    <w:abstractNumId w:val="1"/>
  </w:num>
  <w:num w:numId="34">
    <w:abstractNumId w:val="25"/>
  </w:num>
  <w:num w:numId="35">
    <w:abstractNumId w:val="2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200 000,00"/>
    <w:docVar w:name="DotisAppGrantPercent" w:val="100,00"/>
    <w:docVar w:name="DotisAppIncomeOrganization" w:val="0,00"/>
    <w:docVar w:name="DotisAppInvestmentGrant" w:val="0,00"/>
    <w:docVar w:name="DotisAppOtherGrant" w:val="200 000,00"/>
    <w:docVar w:name="DotisAppPersonalGrant" w:val="0,00"/>
    <w:docVar w:name="DotisAppTotalGrant" w:val=" 650 000,00"/>
    <w:docVar w:name="DotisDateTimeSent" w:val="08.03.2018 09:54:25"/>
    <w:docVar w:name="DotisEndDate" w:val="31.12.2018"/>
    <w:docVar w:name="DotisEvalPercent" w:val=" "/>
    <w:docVar w:name="DotisFounderAddress" w:val=" "/>
    <w:docVar w:name="DotisFounderBankAcc" w:val=" "/>
    <w:docVar w:name="DotisFounderDeputyName" w:val=" "/>
    <w:docVar w:name="DotisFounderDIC" w:val=" "/>
    <w:docVar w:name="DotisFounderIC" w:val=" "/>
    <w:docVar w:name="DotisFounderName" w:val=" "/>
    <w:docVar w:name="DotisGrantAnnouncementDate" w:val=" "/>
    <w:docVar w:name="DotisGrantAnnouncementNumber" w:val=" "/>
    <w:docVar w:name="DotisGrantApprovalDate" w:val=" "/>
    <w:docVar w:name="DotisGrantApprovalNumber" w:val=" "/>
    <w:docVar w:name="DotisPurpose" w:val="Propagace a realizace projektu 152. výročí bitvy u Hradce Králové 1866, včetně režijních nákladů spojených s administrací projektu."/>
    <w:docVar w:name="DotisReqCostSumm" w:val="1 035 000,00"/>
    <w:docVar w:name="DotisReqIncomeOrganization" w:val="535 000,00"/>
    <w:docVar w:name="DotisReqInvestmentGrant" w:val="0,00"/>
    <w:docVar w:name="DotisReqOtherGrant" w:val="500 000,00"/>
    <w:docVar w:name="DotisReqPersonalGrant" w:val="0,00"/>
    <w:docVar w:name="DotisReqRepContactFunction" w:val="ředitelka"/>
    <w:docVar w:name="DotisReqRepContactName" w:val="Ing. Eva Mikulková"/>
    <w:docVar w:name="DotisReqStatOrgFunction" w:val="předseda"/>
    <w:docVar w:name="DotisReqStatOrgName" w:val=" "/>
    <w:docVar w:name="DotisReqTotalGrant" w:val="500 000,00"/>
    <w:docVar w:name="DotisStartDate" w:val="01.06.2018"/>
    <w:docVar w:name="DotisSubjBankAccount" w:val="78-7533270267/0100"/>
    <w:docVar w:name="DotisSubjBankName" w:val="Komerční banka, a.s."/>
    <w:docVar w:name="DotisSugCostSumm" w:val="200 000,00"/>
    <w:docVar w:name="DotisSugIncomeOrganization" w:val="0,00"/>
    <w:docVar w:name="DotisSugInvestmentGrant" w:val="0,00"/>
    <w:docVar w:name="DotisSugOtherGrant" w:val="200 000,00"/>
    <w:docVar w:name="DotisSugPersonalGrant" w:val="0,00"/>
    <w:docVar w:name="DotisSugTotalGrant" w:val="200 000,00"/>
    <w:docVar w:name="ProfisConAddress" w:val="_x000d_Velké náměstí 1/3_x000d_50003  Hradec Králové"/>
    <w:docVar w:name="ProfisConBirthDate" w:val=" "/>
    <w:docVar w:name="ProfisConCntCode" w:val="CZ"/>
    <w:docVar w:name="ProfisConCntName" w:val="Česko"/>
    <w:docVar w:name="ProfisConFax" w:val=" "/>
    <w:docVar w:name="ProfisConFirstName" w:val="Radek"/>
    <w:docVar w:name="ProfisConMail" w:val=" "/>
    <w:docVar w:name="ProfisConMobile" w:val=" "/>
    <w:docVar w:name="ProfisConPhone" w:val=" "/>
    <w:docVar w:name="ProfisConPosition" w:val=" "/>
    <w:docVar w:name="ProfisConStreet" w:val="Velké náměstí 1/3"/>
    <w:docVar w:name="ProfisConSurname" w:val="Balcárek"/>
    <w:docVar w:name="ProfisConTitleBeg" w:val=" "/>
    <w:docVar w:name="ProfisConTitleEnd" w:val=" "/>
    <w:docVar w:name="ProfisConTown" w:val="Hradec Králové"/>
    <w:docVar w:name="ProfisConZIP" w:val="50003"/>
    <w:docVar w:name="ProfisDate" w:val="20.06.2018"/>
    <w:docVar w:name="ProfisDelAddCntCode" w:val="CZ"/>
    <w:docVar w:name="ProfisDelAddCntName" w:val="Česko"/>
    <w:docVar w:name="ProfisDelAddStreet" w:val="Chlum 32"/>
    <w:docVar w:name="ProfisDelAddTown" w:val="Všestary"/>
    <w:docVar w:name="ProfisDelAddZIP" w:val="50312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8RGI02"/>
    <w:docVar w:name="ProfisPprName" w:val="Dotace na individuální účel - jednorázové akce"/>
    <w:docVar w:name="ProfisPrjCode" w:val="RGI"/>
    <w:docVar w:name="ProfisPrjName" w:val="Dotace na individuální účel"/>
    <w:docVar w:name="ProfisSubjAccountName" w:val="Garda města Hradce Králové"/>
    <w:docVar w:name="ProfisSubjAddress" w:val="Garda města Hradce Králové, z. s._x000d_Radek Balcárek_x000d_Velké náměstí 1/3_x000d_500 03  Hradec Králové"/>
    <w:docVar w:name="ProfisSubjBankAccount" w:val="35-7066770237/0100"/>
    <w:docVar w:name="ProfisSubjBankName" w:val="Komerční bank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KLICPEROVO DIVADLO o.p.s."/>
    <w:docVar w:name="ProfisSubjOIN" w:val="27504689"/>
    <w:docVar w:name="ProfisSubjPayDays" w:val=" "/>
    <w:docVar w:name="ProfisSubjPhone" w:val=" "/>
    <w:docVar w:name="ProfisSubjSalut" w:val=" "/>
    <w:docVar w:name="ProfisSubjStreet" w:val="Velké náměstí 1/3"/>
    <w:docVar w:name="ProfisSubjStreetZIPTown" w:val="Dlouhá 99/9, 50003  Hradec Králové"/>
    <w:docVar w:name="ProfisSubjTIN" w:val=" "/>
    <w:docVar w:name="ProfisSubjTown" w:val="Hradec Králové"/>
    <w:docVar w:name="ProfisSubjZIP" w:val="50003"/>
    <w:docVar w:name="ProfisTaskCode" w:val="22RGI02-000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08.03.2018"/>
    <w:docVar w:name="ProfisTaskEnd" w:val="31.12.2018"/>
    <w:docVar w:name="ProfisTaskId" w:val="28413"/>
    <w:docVar w:name="ProfisTaskPlace" w:val=" "/>
    <w:docVar w:name="ProfisTaskPrice" w:val="500 000,00"/>
    <w:docVar w:name="ProfisTaskPriceWords" w:val="pětsettisíc"/>
    <w:docVar w:name="ProfisTaskSol" w:val="Mazanková Pavlína, Mgr."/>
    <w:docVar w:name="ProfisTaskSolMail" w:val=" "/>
    <w:docVar w:name="ProfisTaskSolMobile" w:val=" "/>
    <w:docVar w:name="ProfisTaskSolTel" w:val=" "/>
    <w:docVar w:name="ProfisTaskTerm" w:val="08.01.2019"/>
    <w:docVar w:name="ProfisTaskText" w:val=" "/>
    <w:docVar w:name="ProfisTaskTitle" w:val="REGIONY Mezinárodní divadelní festival Hradec Králové"/>
    <w:docVar w:name="ProfisTaskValidFrom" w:val=" "/>
    <w:docVar w:name="ProfisUser" w:val="Šimek Antonín, Bc."/>
    <w:docVar w:name="ProfisUserDocSign" w:val=" "/>
    <w:docVar w:name="ProfisUserEmail" w:val="asimek@kr-kralovehradecky.cz"/>
    <w:docVar w:name="ProfisUserMobile" w:val=" "/>
    <w:docVar w:name="ProfisUserPhone" w:val=" "/>
    <w:docVar w:name="ProfisVat1" w:val="21%"/>
    <w:docVar w:name="ProfisVat2" w:val="15%"/>
    <w:docVar w:name="ProfisVat3" w:val="10%"/>
  </w:docVars>
  <w:rsids>
    <w:rsidRoot w:val="005B1ABF"/>
    <w:rsid w:val="000A17E3"/>
    <w:rsid w:val="0051197D"/>
    <w:rsid w:val="005B1ABF"/>
    <w:rsid w:val="00756C0F"/>
    <w:rsid w:val="0087753E"/>
    <w:rsid w:val="008A5556"/>
    <w:rsid w:val="008C513B"/>
    <w:rsid w:val="008E1A24"/>
    <w:rsid w:val="009450CF"/>
    <w:rsid w:val="009D359E"/>
    <w:rsid w:val="00B86591"/>
    <w:rsid w:val="00C96B3B"/>
    <w:rsid w:val="00CB7EEA"/>
    <w:rsid w:val="00CF6519"/>
    <w:rsid w:val="00EB100E"/>
    <w:rsid w:val="00F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4B1A"/>
  <w15:docId w15:val="{C6C7C393-7CBC-4BE3-9C7F-90D5092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pPr>
      <w:shd w:val="clear" w:color="auto" w:fill="FFFFFF"/>
      <w:spacing w:before="120"/>
      <w:contextualSpacing/>
    </w:pPr>
    <w:rPr>
      <w:rFonts w:ascii="Arial" w:hAnsi="Arial" w:cs="Arial"/>
      <w:b/>
      <w:color w:val="000000" w:themeColor="dark1"/>
      <w:sz w:val="100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hAnsi="Arial" w:cs="Arial"/>
      <w:b/>
      <w:color w:val="000000" w:themeColor="dark1"/>
      <w:sz w:val="100"/>
      <w:shd w:val="clear" w:color="auto" w:fill="FFFFFF"/>
    </w:rPr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r-kralovehradecky.int\Dfs\App\KU-data\KP-agenda\AppData\Local\Temp\Profis\636\539\vzory%20dota&#269;n&#237;ch%20smluv\rok%202016\pracovn&#237;%20verze\vzor%20dota&#269;n&#237;%20smlouvy%20pro%20rok%202016\dota&#269;n&#237;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neseni.tck.kr-kralovehradecky.cz/part_ressug/search/open_ressug.php?app=zk&amp;resolution_id=11487&amp;suggestion_id=10482&amp;n_resolution=1015&amp;n_sitting=14&amp;year=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Fikarová Helena Ing. Mgr.</dc:creator>
  <cp:lastModifiedBy>Skalská Iva Mgr.</cp:lastModifiedBy>
  <cp:revision>2</cp:revision>
  <dcterms:created xsi:type="dcterms:W3CDTF">2022-07-04T15:25:00Z</dcterms:created>
  <dcterms:modified xsi:type="dcterms:W3CDTF">2022-07-04T15:25:00Z</dcterms:modified>
</cp:coreProperties>
</file>