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A578" w14:textId="5BB08CAB" w:rsidR="004243BC" w:rsidRPr="0002187F" w:rsidRDefault="004243BC" w:rsidP="000B0AA7">
      <w:pPr>
        <w:pStyle w:val="StylDoprava"/>
      </w:pPr>
      <w:r w:rsidRPr="00D06D0F">
        <w:t xml:space="preserve">Č.j. SPÚ </w:t>
      </w:r>
      <w:r w:rsidR="003F7E80" w:rsidRPr="0002187F">
        <w:t>280824/2022</w:t>
      </w:r>
    </w:p>
    <w:p w14:paraId="78FBD185"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6FA1CEDA"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2D8984FF"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0FBFF199"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51A42E95"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Mgr. Dana Lišková, ředitelka Krajského pozemkového úřadu pro Moravskoslezský kraj</w:t>
      </w:r>
    </w:p>
    <w:p w14:paraId="229BE638" w14:textId="77777777" w:rsidR="00FB6E4E" w:rsidRPr="00A2149C" w:rsidRDefault="00BC17A6" w:rsidP="000B0AA7">
      <w:pPr>
        <w:pStyle w:val="VnitrniText"/>
        <w:ind w:firstLine="0"/>
        <w:rPr>
          <w:sz w:val="22"/>
          <w:szCs w:val="22"/>
        </w:rPr>
      </w:pPr>
      <w:r w:rsidRPr="00A2149C">
        <w:rPr>
          <w:sz w:val="22"/>
          <w:szCs w:val="22"/>
        </w:rPr>
        <w:t>adresa Libušina 502/5, 70200 Ostrava</w:t>
      </w:r>
    </w:p>
    <w:p w14:paraId="51DBAEE3"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73D10B4F" w14:textId="77777777" w:rsidR="00BC17A6" w:rsidRPr="00A2149C" w:rsidRDefault="00BC17A6" w:rsidP="000B0AA7">
      <w:pPr>
        <w:pStyle w:val="VnitrniText"/>
        <w:ind w:firstLine="0"/>
        <w:rPr>
          <w:sz w:val="22"/>
          <w:szCs w:val="22"/>
        </w:rPr>
      </w:pPr>
    </w:p>
    <w:p w14:paraId="35ABD587" w14:textId="77777777" w:rsidR="00CF17C0" w:rsidRPr="00A2149C" w:rsidRDefault="00CF17C0" w:rsidP="000B0AA7">
      <w:pPr>
        <w:pStyle w:val="VnitrniText"/>
        <w:ind w:firstLine="0"/>
        <w:rPr>
          <w:sz w:val="22"/>
          <w:szCs w:val="22"/>
        </w:rPr>
      </w:pPr>
      <w:r w:rsidRPr="00A2149C">
        <w:rPr>
          <w:sz w:val="22"/>
          <w:szCs w:val="22"/>
        </w:rPr>
        <w:t>a</w:t>
      </w:r>
    </w:p>
    <w:p w14:paraId="3985E3D6" w14:textId="77777777" w:rsidR="008F5C74" w:rsidRPr="00511C9B" w:rsidRDefault="008F5C74" w:rsidP="000B0AA7">
      <w:pPr>
        <w:pStyle w:val="VnitrniText"/>
        <w:ind w:firstLine="0"/>
        <w:rPr>
          <w:color w:val="000000" w:themeColor="text1"/>
          <w:sz w:val="22"/>
          <w:szCs w:val="22"/>
        </w:rPr>
      </w:pPr>
    </w:p>
    <w:p w14:paraId="49A9B888" w14:textId="38413B1F" w:rsidR="00BC17A6" w:rsidRPr="00511C9B" w:rsidRDefault="00BC17A6" w:rsidP="000B0AA7">
      <w:pPr>
        <w:pStyle w:val="VnitrniText"/>
        <w:ind w:firstLine="0"/>
        <w:rPr>
          <w:color w:val="000000" w:themeColor="text1"/>
          <w:sz w:val="22"/>
          <w:szCs w:val="22"/>
        </w:rPr>
      </w:pPr>
      <w:r w:rsidRPr="00511C9B">
        <w:rPr>
          <w:b/>
          <w:color w:val="000000" w:themeColor="text1"/>
          <w:sz w:val="22"/>
          <w:szCs w:val="22"/>
        </w:rPr>
        <w:t>NET4GAS, s.r.o.</w:t>
      </w:r>
    </w:p>
    <w:p w14:paraId="476392DA" w14:textId="77777777" w:rsidR="008F5C74" w:rsidRPr="00511C9B" w:rsidRDefault="008F5C74" w:rsidP="008F5C74">
      <w:pPr>
        <w:tabs>
          <w:tab w:val="num" w:pos="540"/>
        </w:tabs>
        <w:jc w:val="both"/>
        <w:rPr>
          <w:rFonts w:ascii="Arial" w:hAnsi="Arial" w:cs="Arial"/>
          <w:color w:val="000000" w:themeColor="text1"/>
          <w:sz w:val="22"/>
          <w:szCs w:val="22"/>
        </w:rPr>
      </w:pPr>
      <w:r w:rsidRPr="00511C9B">
        <w:rPr>
          <w:rFonts w:ascii="Arial" w:hAnsi="Arial" w:cs="Arial"/>
          <w:color w:val="000000" w:themeColor="text1"/>
          <w:sz w:val="22"/>
          <w:szCs w:val="22"/>
        </w:rPr>
        <w:t>Se sídlem: Na Hřebenech II 1718/8, 140 21 Praha 4 – Nusle, Česká republika</w:t>
      </w:r>
    </w:p>
    <w:p w14:paraId="10875A3A" w14:textId="77777777" w:rsidR="008F5C74" w:rsidRPr="00511C9B" w:rsidRDefault="008F5C74" w:rsidP="008F5C74">
      <w:pPr>
        <w:rPr>
          <w:rFonts w:ascii="Arial" w:hAnsi="Arial" w:cs="Arial"/>
          <w:color w:val="000000" w:themeColor="text1"/>
          <w:sz w:val="22"/>
          <w:szCs w:val="22"/>
        </w:rPr>
      </w:pPr>
      <w:r w:rsidRPr="00511C9B">
        <w:rPr>
          <w:rFonts w:ascii="Arial" w:hAnsi="Arial" w:cs="Arial"/>
          <w:color w:val="000000" w:themeColor="text1"/>
          <w:sz w:val="22"/>
          <w:szCs w:val="22"/>
        </w:rPr>
        <w:t>IČO: 27260364</w:t>
      </w:r>
    </w:p>
    <w:p w14:paraId="34AD7A52" w14:textId="339D11D4" w:rsidR="008F5C74" w:rsidRPr="00511C9B" w:rsidRDefault="008F5C74" w:rsidP="008F5C74">
      <w:pPr>
        <w:tabs>
          <w:tab w:val="num" w:pos="540"/>
        </w:tabs>
        <w:jc w:val="both"/>
        <w:rPr>
          <w:rFonts w:ascii="Arial" w:hAnsi="Arial" w:cs="Arial"/>
          <w:color w:val="000000" w:themeColor="text1"/>
          <w:sz w:val="22"/>
          <w:szCs w:val="22"/>
        </w:rPr>
      </w:pPr>
      <w:r w:rsidRPr="00511C9B">
        <w:rPr>
          <w:rFonts w:ascii="Arial" w:hAnsi="Arial" w:cs="Arial"/>
          <w:color w:val="000000" w:themeColor="text1"/>
          <w:sz w:val="22"/>
          <w:szCs w:val="22"/>
        </w:rPr>
        <w:t>DIČ: CZ27260364</w:t>
      </w:r>
    </w:p>
    <w:p w14:paraId="520594E1" w14:textId="75B17A4B" w:rsidR="008F5C74" w:rsidRPr="00511C9B" w:rsidRDefault="008F5C74" w:rsidP="008F5C74">
      <w:pPr>
        <w:tabs>
          <w:tab w:val="num" w:pos="540"/>
        </w:tabs>
        <w:jc w:val="both"/>
        <w:rPr>
          <w:rFonts w:ascii="Arial" w:hAnsi="Arial" w:cs="Arial"/>
          <w:color w:val="000000" w:themeColor="text1"/>
          <w:sz w:val="22"/>
          <w:szCs w:val="22"/>
        </w:rPr>
      </w:pPr>
      <w:r w:rsidRPr="00511C9B">
        <w:rPr>
          <w:rFonts w:ascii="Arial" w:hAnsi="Arial" w:cs="Arial"/>
          <w:color w:val="000000" w:themeColor="text1"/>
          <w:sz w:val="22"/>
          <w:szCs w:val="22"/>
        </w:rPr>
        <w:t xml:space="preserve">Zapsaná: v obchodním rejstříku vedeném Městským soudem v Praze, oddíl C, vložka 108316, </w:t>
      </w:r>
    </w:p>
    <w:p w14:paraId="3B2D53DB" w14:textId="77777777" w:rsidR="008F5C74" w:rsidRPr="00511C9B" w:rsidRDefault="008F5C74" w:rsidP="008F5C74">
      <w:pPr>
        <w:tabs>
          <w:tab w:val="left" w:pos="1276"/>
        </w:tabs>
        <w:rPr>
          <w:rFonts w:ascii="Arial" w:hAnsi="Arial" w:cs="Arial"/>
          <w:color w:val="000000" w:themeColor="text1"/>
          <w:sz w:val="22"/>
          <w:szCs w:val="22"/>
        </w:rPr>
      </w:pPr>
      <w:r w:rsidRPr="00511C9B">
        <w:rPr>
          <w:rFonts w:ascii="Arial" w:hAnsi="Arial" w:cs="Arial"/>
          <w:color w:val="000000" w:themeColor="text1"/>
          <w:sz w:val="22"/>
          <w:szCs w:val="22"/>
        </w:rPr>
        <w:t>Zastoupená:</w:t>
      </w:r>
      <w:r w:rsidRPr="00511C9B">
        <w:rPr>
          <w:rFonts w:ascii="Arial" w:hAnsi="Arial" w:cs="Arial"/>
          <w:color w:val="000000" w:themeColor="text1"/>
          <w:sz w:val="22"/>
          <w:szCs w:val="22"/>
        </w:rPr>
        <w:tab/>
        <w:t>Ing. Jaroslavem Sedlákem, MBA, prokuristou</w:t>
      </w:r>
    </w:p>
    <w:p w14:paraId="54F6C369" w14:textId="77777777" w:rsidR="008F5C74" w:rsidRPr="00511C9B" w:rsidRDefault="008F5C74" w:rsidP="008F5C74">
      <w:pPr>
        <w:tabs>
          <w:tab w:val="left" w:pos="1276"/>
        </w:tabs>
        <w:rPr>
          <w:rFonts w:ascii="Arial" w:hAnsi="Arial" w:cs="Arial"/>
          <w:color w:val="000000" w:themeColor="text1"/>
          <w:sz w:val="22"/>
          <w:szCs w:val="22"/>
        </w:rPr>
      </w:pPr>
      <w:r w:rsidRPr="00511C9B">
        <w:rPr>
          <w:rFonts w:ascii="Arial" w:hAnsi="Arial" w:cs="Arial"/>
          <w:color w:val="000000" w:themeColor="text1"/>
          <w:sz w:val="22"/>
          <w:szCs w:val="22"/>
        </w:rPr>
        <w:tab/>
        <w:t>Ing. Janem Martincem, prokuristou</w:t>
      </w:r>
    </w:p>
    <w:p w14:paraId="71D25F09" w14:textId="77777777" w:rsidR="008F5C74" w:rsidRPr="00511C9B" w:rsidRDefault="008F5C74" w:rsidP="008F5C74">
      <w:pPr>
        <w:rPr>
          <w:rFonts w:ascii="Arial" w:hAnsi="Arial" w:cs="Arial"/>
          <w:color w:val="000000" w:themeColor="text1"/>
          <w:sz w:val="22"/>
          <w:szCs w:val="22"/>
        </w:rPr>
      </w:pPr>
      <w:r w:rsidRPr="00511C9B">
        <w:rPr>
          <w:rFonts w:ascii="Arial" w:hAnsi="Arial" w:cs="Arial"/>
          <w:color w:val="000000" w:themeColor="text1"/>
          <w:sz w:val="22"/>
          <w:szCs w:val="22"/>
        </w:rPr>
        <w:t xml:space="preserve">Bankovní spojení: ČSOB, </w:t>
      </w:r>
      <w:proofErr w:type="spellStart"/>
      <w:r w:rsidRPr="00511C9B">
        <w:rPr>
          <w:rFonts w:ascii="Arial" w:hAnsi="Arial" w:cs="Arial"/>
          <w:color w:val="000000" w:themeColor="text1"/>
          <w:sz w:val="22"/>
          <w:szCs w:val="22"/>
        </w:rPr>
        <w:t>č.ú</w:t>
      </w:r>
      <w:proofErr w:type="spellEnd"/>
      <w:r w:rsidRPr="00511C9B">
        <w:rPr>
          <w:rFonts w:ascii="Arial" w:hAnsi="Arial" w:cs="Arial"/>
          <w:color w:val="000000" w:themeColor="text1"/>
          <w:sz w:val="22"/>
          <w:szCs w:val="22"/>
        </w:rPr>
        <w:t>.: 17470543/0300</w:t>
      </w:r>
    </w:p>
    <w:p w14:paraId="3A3335BB" w14:textId="47DB6BBC" w:rsidR="008F5C74" w:rsidRPr="00511C9B" w:rsidRDefault="008F5C74" w:rsidP="008F5C74">
      <w:pPr>
        <w:pStyle w:val="VnitrniText"/>
        <w:ind w:firstLine="0"/>
        <w:rPr>
          <w:color w:val="000000" w:themeColor="text1"/>
          <w:sz w:val="22"/>
          <w:szCs w:val="22"/>
        </w:rPr>
      </w:pPr>
      <w:proofErr w:type="spellStart"/>
      <w:r w:rsidRPr="00511C9B">
        <w:rPr>
          <w:color w:val="000000" w:themeColor="text1"/>
          <w:sz w:val="22"/>
          <w:szCs w:val="22"/>
        </w:rPr>
        <w:t>Reg</w:t>
      </w:r>
      <w:proofErr w:type="spellEnd"/>
      <w:r w:rsidRPr="00511C9B">
        <w:rPr>
          <w:color w:val="000000" w:themeColor="text1"/>
          <w:sz w:val="22"/>
          <w:szCs w:val="22"/>
        </w:rPr>
        <w:t xml:space="preserve">. číslo smlouvy: </w:t>
      </w:r>
      <w:r w:rsidR="00D928BA" w:rsidRPr="00511C9B">
        <w:rPr>
          <w:color w:val="000000" w:themeColor="text1"/>
          <w:sz w:val="22"/>
          <w:szCs w:val="22"/>
        </w:rPr>
        <w:t>1715001662</w:t>
      </w:r>
    </w:p>
    <w:p w14:paraId="65CE60D8" w14:textId="0A5A0309" w:rsidR="00BC17A6" w:rsidRPr="00A2149C" w:rsidRDefault="00BC17A6" w:rsidP="008F5C74">
      <w:pPr>
        <w:pStyle w:val="VnitrniText"/>
        <w:ind w:firstLine="0"/>
        <w:rPr>
          <w:sz w:val="22"/>
          <w:szCs w:val="22"/>
        </w:rPr>
      </w:pPr>
      <w:r w:rsidRPr="00A2149C">
        <w:rPr>
          <w:sz w:val="22"/>
          <w:szCs w:val="22"/>
        </w:rPr>
        <w:t>(dále jen "nabyvatel")</w:t>
      </w:r>
    </w:p>
    <w:p w14:paraId="39662233" w14:textId="77777777" w:rsidR="00BC17A6" w:rsidRPr="00A2149C" w:rsidRDefault="00BC17A6" w:rsidP="000B0AA7">
      <w:pPr>
        <w:pStyle w:val="VnitrniText"/>
        <w:ind w:firstLine="0"/>
        <w:rPr>
          <w:sz w:val="22"/>
          <w:szCs w:val="22"/>
        </w:rPr>
      </w:pPr>
    </w:p>
    <w:p w14:paraId="1E3ACF4D" w14:textId="77777777" w:rsidR="00CF17C0" w:rsidRPr="00A2149C" w:rsidRDefault="00CF17C0" w:rsidP="000B0AA7">
      <w:pPr>
        <w:pStyle w:val="VnitrniText"/>
        <w:ind w:firstLine="0"/>
        <w:rPr>
          <w:sz w:val="22"/>
          <w:szCs w:val="22"/>
        </w:rPr>
      </w:pPr>
    </w:p>
    <w:p w14:paraId="512F8F78"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289FC7E9" w14:textId="77777777" w:rsidR="00CF17C0" w:rsidRPr="00A2149C" w:rsidRDefault="00CF17C0" w:rsidP="001274AE">
      <w:pPr>
        <w:rPr>
          <w:rFonts w:ascii="Arial" w:hAnsi="Arial" w:cs="Arial"/>
          <w:sz w:val="22"/>
          <w:szCs w:val="22"/>
        </w:rPr>
      </w:pPr>
    </w:p>
    <w:p w14:paraId="14C4FCE8" w14:textId="77777777" w:rsidR="00830569" w:rsidRPr="00A2149C" w:rsidRDefault="00830569" w:rsidP="001274AE">
      <w:pPr>
        <w:rPr>
          <w:rFonts w:ascii="Arial" w:hAnsi="Arial" w:cs="Arial"/>
          <w:sz w:val="22"/>
          <w:szCs w:val="22"/>
        </w:rPr>
      </w:pPr>
    </w:p>
    <w:p w14:paraId="6426F9CA"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4649AC59"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2001S21/56</w:t>
      </w:r>
    </w:p>
    <w:p w14:paraId="1365B6BD" w14:textId="77777777" w:rsidR="00CF17C0" w:rsidRPr="00A2149C" w:rsidRDefault="00CF17C0" w:rsidP="00D06D0F">
      <w:pPr>
        <w:rPr>
          <w:rFonts w:ascii="Arial" w:hAnsi="Arial" w:cs="Arial"/>
          <w:sz w:val="22"/>
          <w:szCs w:val="22"/>
        </w:rPr>
      </w:pPr>
    </w:p>
    <w:p w14:paraId="4020336C" w14:textId="77777777" w:rsidR="00CF17C0" w:rsidRPr="00A2149C" w:rsidRDefault="00CF17C0" w:rsidP="00D06D0F">
      <w:pPr>
        <w:rPr>
          <w:rFonts w:ascii="Arial" w:hAnsi="Arial" w:cs="Arial"/>
          <w:sz w:val="22"/>
          <w:szCs w:val="22"/>
        </w:rPr>
      </w:pPr>
    </w:p>
    <w:p w14:paraId="2E618A01"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6EF8250C" w14:textId="77777777" w:rsidR="00CF17C0" w:rsidRPr="00860D45" w:rsidRDefault="00DB57EC" w:rsidP="003B49DB">
      <w:pPr>
        <w:pStyle w:val="VnitrniText"/>
        <w:ind w:firstLine="0"/>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40B231A6" w14:textId="77777777" w:rsidR="008505AD" w:rsidRPr="00A2149C" w:rsidRDefault="008505AD" w:rsidP="000B0AA7">
      <w:pPr>
        <w:pStyle w:val="VnitrniText"/>
        <w:ind w:firstLine="0"/>
        <w:rPr>
          <w:sz w:val="22"/>
          <w:szCs w:val="22"/>
        </w:rPr>
      </w:pPr>
      <w:r w:rsidRPr="00A2149C">
        <w:rPr>
          <w:sz w:val="22"/>
          <w:szCs w:val="22"/>
        </w:rPr>
        <w:t>Pozemek:</w:t>
      </w:r>
    </w:p>
    <w:p w14:paraId="0F27838D" w14:textId="77777777" w:rsidR="008505AD" w:rsidRPr="00112F3C" w:rsidRDefault="008505AD" w:rsidP="00112F3C">
      <w:pPr>
        <w:pStyle w:val="cary"/>
      </w:pPr>
      <w:r w:rsidRPr="00112F3C">
        <w:t>------------------------------------------------------------------------------------------------------------------------</w:t>
      </w:r>
      <w:r w:rsidR="00E60971" w:rsidRPr="00112F3C">
        <w:t>--</w:t>
      </w:r>
      <w:r w:rsidR="007431BA" w:rsidRPr="00112F3C">
        <w:t>-----------</w:t>
      </w:r>
    </w:p>
    <w:p w14:paraId="79EE6E51"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4B0B1F2C" w14:textId="77777777" w:rsidR="007431BA" w:rsidRPr="007431BA" w:rsidRDefault="007431BA" w:rsidP="00112F3C">
      <w:pPr>
        <w:pStyle w:val="cary"/>
      </w:pPr>
      <w:r w:rsidRPr="007431BA">
        <w:t>-------------------------------------------------------------------------------------------------------------------------------------</w:t>
      </w:r>
    </w:p>
    <w:p w14:paraId="04B7BDA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17F4051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Nový Jičín</w:t>
      </w:r>
      <w:r w:rsidRPr="00257EB0">
        <w:rPr>
          <w:rStyle w:val="tabulkyNemovitosti"/>
        </w:rPr>
        <w:tab/>
        <w:t>Libhošť</w:t>
      </w:r>
      <w:r w:rsidRPr="00257EB0">
        <w:rPr>
          <w:rStyle w:val="tabulkyNemovitosti"/>
        </w:rPr>
        <w:tab/>
        <w:t>1688/16</w:t>
      </w:r>
      <w:r w:rsidRPr="00257EB0">
        <w:rPr>
          <w:rStyle w:val="tabulkyNemovitosti"/>
        </w:rPr>
        <w:tab/>
        <w:t>orná půda</w:t>
      </w:r>
      <w:r w:rsidRPr="00257EB0">
        <w:rPr>
          <w:rStyle w:val="tabulkyNemovitosti"/>
        </w:rPr>
        <w:tab/>
        <w:t>10002</w:t>
      </w:r>
    </w:p>
    <w:p w14:paraId="07731CA5" w14:textId="77777777" w:rsidR="007431BA" w:rsidRPr="007431BA" w:rsidRDefault="007431BA" w:rsidP="00112F3C">
      <w:pPr>
        <w:pStyle w:val="cary"/>
      </w:pPr>
      <w:r w:rsidRPr="007431BA">
        <w:t>-------------------------------------------------------------------------------------------------------------------------------------</w:t>
      </w:r>
    </w:p>
    <w:p w14:paraId="661E93A5" w14:textId="6F9714A0" w:rsidR="00213539" w:rsidRPr="00A2149C" w:rsidRDefault="00213539" w:rsidP="00213539">
      <w:pPr>
        <w:pStyle w:val="VnitrniText"/>
        <w:ind w:firstLine="0"/>
        <w:rPr>
          <w:sz w:val="22"/>
          <w:szCs w:val="22"/>
        </w:rPr>
      </w:pPr>
      <w:r w:rsidRPr="00A2149C">
        <w:rPr>
          <w:sz w:val="22"/>
          <w:szCs w:val="22"/>
        </w:rPr>
        <w:t>zapsaný na výše uvedeném LV u Katastrálního úřadu pro Moravskoslezský kraj, Katastrální pracoviště Nový Jičín.</w:t>
      </w:r>
    </w:p>
    <w:p w14:paraId="3E131980" w14:textId="77777777" w:rsidR="003D2D95" w:rsidRDefault="003D2D95" w:rsidP="003D2D95">
      <w:pPr>
        <w:pStyle w:val="VnitrniText"/>
        <w:ind w:firstLine="0"/>
      </w:pPr>
    </w:p>
    <w:p w14:paraId="7DC6274D"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35DEB314" w14:textId="77777777" w:rsidR="006E33CA" w:rsidRDefault="006E33CA" w:rsidP="001274AE">
      <w:pPr>
        <w:rPr>
          <w:rFonts w:ascii="Arial" w:hAnsi="Arial" w:cs="Arial"/>
          <w:sz w:val="22"/>
          <w:szCs w:val="22"/>
        </w:rPr>
      </w:pPr>
    </w:p>
    <w:p w14:paraId="3B88D4B7" w14:textId="662AE0C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90 940,00 Kč</w:t>
      </w:r>
      <w:r>
        <w:rPr>
          <w:rFonts w:ascii="Arial" w:hAnsi="Arial" w:cs="Arial"/>
          <w:iCs/>
          <w:sz w:val="22"/>
          <w:szCs w:val="22"/>
        </w:rPr>
        <w:t xml:space="preserve"> (slovy: </w:t>
      </w:r>
      <w:r w:rsidR="001A2AD4">
        <w:rPr>
          <w:rFonts w:ascii="Arial" w:hAnsi="Arial" w:cs="Arial"/>
          <w:iCs/>
          <w:sz w:val="22"/>
          <w:szCs w:val="22"/>
        </w:rPr>
        <w:t>devadesát tisíc devět set čtyřicet korun českých</w:t>
      </w:r>
      <w:r>
        <w:rPr>
          <w:rFonts w:ascii="Arial" w:hAnsi="Arial" w:cs="Arial"/>
          <w:iCs/>
          <w:sz w:val="22"/>
          <w:szCs w:val="22"/>
        </w:rPr>
        <w:t>)</w:t>
      </w:r>
      <w:r>
        <w:rPr>
          <w:rFonts w:ascii="Arial" w:hAnsi="Arial" w:cs="Arial"/>
          <w:color w:val="000000"/>
          <w:sz w:val="22"/>
          <w:szCs w:val="22"/>
        </w:rPr>
        <w:t xml:space="preserve">. </w:t>
      </w:r>
    </w:p>
    <w:p w14:paraId="0B555124" w14:textId="77777777" w:rsidR="00E6010E" w:rsidRPr="00A2149C" w:rsidRDefault="00E6010E" w:rsidP="001274AE">
      <w:pPr>
        <w:rPr>
          <w:rFonts w:ascii="Arial" w:hAnsi="Arial" w:cs="Arial"/>
          <w:sz w:val="22"/>
          <w:szCs w:val="22"/>
        </w:rPr>
      </w:pPr>
    </w:p>
    <w:p w14:paraId="631691B1"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73E0154E" w14:textId="77777777" w:rsidR="00F533CB" w:rsidRDefault="00F533CB" w:rsidP="00F533CB">
      <w:pPr>
        <w:pStyle w:val="VnitrniText"/>
        <w:ind w:firstLine="0"/>
        <w:rPr>
          <w:sz w:val="22"/>
          <w:szCs w:val="22"/>
        </w:rPr>
      </w:pPr>
      <w:r>
        <w:rPr>
          <w:sz w:val="22"/>
          <w:szCs w:val="22"/>
        </w:rPr>
        <w:t xml:space="preserve">Nabyvatel je vlastníkem nemovitých věcí: </w:t>
      </w:r>
    </w:p>
    <w:p w14:paraId="769E41A7" w14:textId="77777777" w:rsidR="00F533CB" w:rsidRDefault="00F533CB" w:rsidP="00F533CB">
      <w:pPr>
        <w:pStyle w:val="VnitrniText"/>
        <w:ind w:firstLine="0"/>
        <w:rPr>
          <w:sz w:val="22"/>
          <w:szCs w:val="22"/>
        </w:rPr>
      </w:pPr>
      <w:r>
        <w:rPr>
          <w:sz w:val="22"/>
          <w:szCs w:val="22"/>
        </w:rPr>
        <w:t>Pozemků:</w:t>
      </w:r>
    </w:p>
    <w:p w14:paraId="3049884C" w14:textId="77777777" w:rsidR="00F533CB" w:rsidRDefault="00F533CB" w:rsidP="00F533CB">
      <w:pPr>
        <w:pStyle w:val="cary"/>
      </w:pPr>
      <w:r>
        <w:t>-------------------------------------------------------------------------------------------------------------------------------------</w:t>
      </w:r>
    </w:p>
    <w:p w14:paraId="0FFEA35B"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36CD8212" w14:textId="77777777" w:rsidR="00F533CB" w:rsidRPr="00F533CB" w:rsidRDefault="00F533CB" w:rsidP="00F533CB">
      <w:pPr>
        <w:pStyle w:val="cary"/>
      </w:pPr>
      <w:r>
        <w:t>-------------------------------------------------------------------------------------------------------------------------------------</w:t>
      </w:r>
    </w:p>
    <w:p w14:paraId="0503C63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lastRenderedPageBreak/>
        <w:t xml:space="preserve">Katastr </w:t>
      </w:r>
      <w:proofErr w:type="gramStart"/>
      <w:r w:rsidRPr="00F533CB">
        <w:rPr>
          <w:rStyle w:val="tabulkyNemovitosti"/>
        </w:rPr>
        <w:t>nemovitostí - pozemkové</w:t>
      </w:r>
      <w:proofErr w:type="gramEnd"/>
    </w:p>
    <w:p w14:paraId="7CD8892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Otvice</w:t>
      </w:r>
      <w:r w:rsidRPr="00F533CB">
        <w:rPr>
          <w:rStyle w:val="tabulkyNemovitosti"/>
        </w:rPr>
        <w:tab/>
      </w:r>
      <w:proofErr w:type="spellStart"/>
      <w:r w:rsidRPr="00F533CB">
        <w:rPr>
          <w:rStyle w:val="tabulkyNemovitosti"/>
        </w:rPr>
        <w:t>Otvice</w:t>
      </w:r>
      <w:proofErr w:type="spellEnd"/>
      <w:r w:rsidRPr="00F533CB">
        <w:rPr>
          <w:rStyle w:val="tabulkyNemovitosti"/>
        </w:rPr>
        <w:tab/>
        <w:t>694/5</w:t>
      </w:r>
      <w:r w:rsidRPr="00F533CB">
        <w:rPr>
          <w:rStyle w:val="tabulkyNemovitosti"/>
        </w:rPr>
        <w:tab/>
        <w:t>orná půda</w:t>
      </w:r>
      <w:r w:rsidRPr="00F533CB">
        <w:rPr>
          <w:rStyle w:val="tabulkyNemovitosti"/>
        </w:rPr>
        <w:tab/>
        <w:t>793</w:t>
      </w:r>
    </w:p>
    <w:p w14:paraId="1A13184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Ústecký kraj, Katastrální pracoviště Chomutov</w:t>
      </w:r>
    </w:p>
    <w:p w14:paraId="6996432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Nově vytvořeno GP: číslo 1125-48/2018 ze dne 15.8.2018 z parcely č. 694/3</w:t>
      </w:r>
    </w:p>
    <w:p w14:paraId="449B7C06" w14:textId="77777777" w:rsidR="00F533CB" w:rsidRPr="00F533CB" w:rsidRDefault="00F533CB" w:rsidP="00F533CB">
      <w:pPr>
        <w:pStyle w:val="cary"/>
      </w:pPr>
      <w:r>
        <w:t>-------------------------------------------------------------------------------------------------------------------------------------</w:t>
      </w:r>
    </w:p>
    <w:p w14:paraId="1BF1BCE3"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23E8079D" w14:textId="77777777" w:rsidR="00F533CB" w:rsidRDefault="00F533CB" w:rsidP="00F533CB">
      <w:pPr>
        <w:pStyle w:val="VnitrniText"/>
        <w:rPr>
          <w:sz w:val="22"/>
          <w:szCs w:val="22"/>
        </w:rPr>
      </w:pPr>
    </w:p>
    <w:p w14:paraId="1778DFE3"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649 600,00 Kč (slovy: šest set čtyřicet devět tisíc šest set korun českých).</w:t>
      </w:r>
    </w:p>
    <w:p w14:paraId="1331D6BE" w14:textId="77777777" w:rsidR="00022579" w:rsidRPr="00A2149C" w:rsidRDefault="00022579" w:rsidP="00EB6C54">
      <w:pPr>
        <w:pStyle w:val="VnitrniText"/>
        <w:rPr>
          <w:sz w:val="22"/>
          <w:szCs w:val="22"/>
        </w:rPr>
      </w:pPr>
    </w:p>
    <w:p w14:paraId="7A07F13D"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1DBEB689" w14:textId="77777777" w:rsidR="00F533CB" w:rsidRDefault="00F533CB" w:rsidP="003B49DB">
      <w:pPr>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386D6589" w14:textId="77777777" w:rsidR="00F533CB" w:rsidRDefault="00F533CB" w:rsidP="006069E5">
      <w:pPr>
        <w:pStyle w:val="para"/>
        <w:rPr>
          <w:rFonts w:ascii="Arial" w:hAnsi="Arial" w:cs="Arial"/>
          <w:sz w:val="22"/>
          <w:szCs w:val="22"/>
        </w:rPr>
      </w:pPr>
    </w:p>
    <w:p w14:paraId="57DD0259" w14:textId="77777777" w:rsidR="004E34F7" w:rsidRDefault="004E34F7" w:rsidP="004E34F7">
      <w:pPr>
        <w:pStyle w:val="para"/>
        <w:rPr>
          <w:rFonts w:ascii="Arial" w:hAnsi="Arial" w:cs="Arial"/>
          <w:sz w:val="22"/>
          <w:szCs w:val="22"/>
        </w:rPr>
      </w:pPr>
      <w:r>
        <w:rPr>
          <w:rFonts w:ascii="Arial" w:hAnsi="Arial" w:cs="Arial"/>
          <w:sz w:val="22"/>
          <w:szCs w:val="22"/>
        </w:rPr>
        <w:t>IV.</w:t>
      </w:r>
    </w:p>
    <w:p w14:paraId="54AFF868" w14:textId="35E2A1E6" w:rsidR="00CF17C0" w:rsidRDefault="00C173D3" w:rsidP="001210FA">
      <w:pPr>
        <w:pStyle w:val="Zkladntext"/>
        <w:tabs>
          <w:tab w:val="left" w:pos="284"/>
        </w:tabs>
        <w:rPr>
          <w:rFonts w:ascii="Arial" w:hAnsi="Arial" w:cs="Arial"/>
          <w:color w:val="000000"/>
          <w:szCs w:val="22"/>
          <w:lang w:val="en-US"/>
        </w:rPr>
      </w:pPr>
      <w:r>
        <w:rPr>
          <w:rFonts w:ascii="Arial" w:hAnsi="Arial" w:cs="Arial"/>
          <w:color w:val="000000"/>
          <w:szCs w:val="22"/>
          <w:lang w:val="en-US"/>
        </w:rPr>
        <w:t xml:space="preserve">Cena </w:t>
      </w:r>
      <w:proofErr w:type="spellStart"/>
      <w:r>
        <w:rPr>
          <w:rFonts w:ascii="Arial" w:hAnsi="Arial" w:cs="Arial"/>
          <w:color w:val="000000"/>
          <w:szCs w:val="22"/>
          <w:lang w:val="en-US"/>
        </w:rPr>
        <w:t>nemovitých</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věcí</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uvedených</w:t>
      </w:r>
      <w:proofErr w:type="spellEnd"/>
      <w:r>
        <w:rPr>
          <w:rFonts w:ascii="Arial" w:hAnsi="Arial" w:cs="Arial"/>
          <w:color w:val="000000"/>
          <w:szCs w:val="22"/>
          <w:lang w:val="en-US"/>
        </w:rPr>
        <w:t xml:space="preserve"> v </w:t>
      </w:r>
      <w:proofErr w:type="spellStart"/>
      <w:r>
        <w:rPr>
          <w:rFonts w:ascii="Arial" w:hAnsi="Arial" w:cs="Arial"/>
          <w:color w:val="000000"/>
          <w:szCs w:val="22"/>
          <w:lang w:val="en-US"/>
        </w:rPr>
        <w:t>čl</w:t>
      </w:r>
      <w:proofErr w:type="spellEnd"/>
      <w:r>
        <w:rPr>
          <w:rFonts w:ascii="Arial" w:hAnsi="Arial" w:cs="Arial"/>
          <w:color w:val="000000"/>
          <w:szCs w:val="22"/>
          <w:lang w:val="en-US"/>
        </w:rPr>
        <w:t xml:space="preserve">. II., </w:t>
      </w:r>
      <w:proofErr w:type="spellStart"/>
      <w:r>
        <w:rPr>
          <w:rFonts w:ascii="Arial" w:hAnsi="Arial" w:cs="Arial"/>
          <w:color w:val="000000"/>
          <w:szCs w:val="22"/>
          <w:lang w:val="en-US"/>
        </w:rPr>
        <w:t>které</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nabyde</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Česká</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republika</w:t>
      </w:r>
      <w:proofErr w:type="spellEnd"/>
      <w:r>
        <w:rPr>
          <w:rFonts w:ascii="Arial" w:hAnsi="Arial" w:cs="Arial"/>
          <w:color w:val="000000"/>
          <w:szCs w:val="22"/>
          <w:lang w:val="en-US"/>
        </w:rPr>
        <w:t xml:space="preserve">, je </w:t>
      </w:r>
      <w:proofErr w:type="spellStart"/>
      <w:r>
        <w:rPr>
          <w:rFonts w:ascii="Arial" w:hAnsi="Arial" w:cs="Arial"/>
          <w:color w:val="000000"/>
          <w:szCs w:val="22"/>
          <w:lang w:val="en-US"/>
        </w:rPr>
        <w:t>vyšší</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než</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cena</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nemovitých</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věcí</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uvedených</w:t>
      </w:r>
      <w:proofErr w:type="spellEnd"/>
      <w:r>
        <w:rPr>
          <w:rFonts w:ascii="Arial" w:hAnsi="Arial" w:cs="Arial"/>
          <w:color w:val="000000"/>
          <w:szCs w:val="22"/>
          <w:lang w:val="en-US"/>
        </w:rPr>
        <w:t xml:space="preserve"> v </w:t>
      </w:r>
      <w:proofErr w:type="spellStart"/>
      <w:r>
        <w:rPr>
          <w:rFonts w:ascii="Arial" w:hAnsi="Arial" w:cs="Arial"/>
          <w:color w:val="000000"/>
          <w:szCs w:val="22"/>
          <w:lang w:val="en-US"/>
        </w:rPr>
        <w:t>čl</w:t>
      </w:r>
      <w:proofErr w:type="spellEnd"/>
      <w:r>
        <w:rPr>
          <w:rFonts w:ascii="Arial" w:hAnsi="Arial" w:cs="Arial"/>
          <w:color w:val="000000"/>
          <w:szCs w:val="22"/>
          <w:lang w:val="en-US"/>
        </w:rPr>
        <w:t xml:space="preserve">. I., </w:t>
      </w:r>
      <w:proofErr w:type="spellStart"/>
      <w:r>
        <w:rPr>
          <w:rFonts w:ascii="Arial" w:hAnsi="Arial" w:cs="Arial"/>
          <w:color w:val="000000"/>
          <w:szCs w:val="22"/>
          <w:lang w:val="en-US"/>
        </w:rPr>
        <w:t>které</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Česká</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republika</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pozbyde</w:t>
      </w:r>
      <w:proofErr w:type="spellEnd"/>
      <w:r>
        <w:rPr>
          <w:rFonts w:ascii="Arial" w:hAnsi="Arial" w:cs="Arial"/>
          <w:color w:val="000000"/>
          <w:szCs w:val="22"/>
          <w:lang w:val="en-US"/>
        </w:rPr>
        <w:t>. K </w:t>
      </w:r>
      <w:proofErr w:type="spellStart"/>
      <w:r>
        <w:rPr>
          <w:rFonts w:ascii="Arial" w:hAnsi="Arial" w:cs="Arial"/>
          <w:color w:val="000000"/>
          <w:szCs w:val="22"/>
          <w:lang w:val="en-US"/>
        </w:rPr>
        <w:t>úhradě</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cenového</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rozdílu</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ze</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strany</w:t>
      </w:r>
      <w:proofErr w:type="spellEnd"/>
      <w:r>
        <w:rPr>
          <w:rFonts w:ascii="Arial" w:hAnsi="Arial" w:cs="Arial"/>
          <w:color w:val="000000"/>
          <w:szCs w:val="22"/>
          <w:lang w:val="en-US"/>
        </w:rPr>
        <w:t xml:space="preserve"> SPÚ se </w:t>
      </w:r>
      <w:proofErr w:type="spellStart"/>
      <w:r>
        <w:rPr>
          <w:rFonts w:ascii="Arial" w:hAnsi="Arial" w:cs="Arial"/>
          <w:color w:val="000000"/>
          <w:szCs w:val="22"/>
          <w:lang w:val="en-US"/>
        </w:rPr>
        <w:t>nepřihlíží</w:t>
      </w:r>
      <w:proofErr w:type="spellEnd"/>
      <w:r>
        <w:rPr>
          <w:rFonts w:ascii="Arial" w:hAnsi="Arial" w:cs="Arial"/>
          <w:color w:val="000000"/>
          <w:szCs w:val="22"/>
          <w:lang w:val="en-US"/>
        </w:rPr>
        <w:t xml:space="preserve"> a SPÚ </w:t>
      </w:r>
      <w:proofErr w:type="spellStart"/>
      <w:r>
        <w:rPr>
          <w:rFonts w:ascii="Arial" w:hAnsi="Arial" w:cs="Arial"/>
          <w:color w:val="000000"/>
          <w:szCs w:val="22"/>
          <w:lang w:val="en-US"/>
        </w:rPr>
        <w:t>jej</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nehradí</w:t>
      </w:r>
      <w:proofErr w:type="spellEnd"/>
      <w:r>
        <w:rPr>
          <w:rFonts w:ascii="Arial" w:hAnsi="Arial" w:cs="Arial"/>
          <w:color w:val="000000"/>
          <w:szCs w:val="22"/>
          <w:lang w:val="en-US"/>
        </w:rPr>
        <w:t xml:space="preserve">. </w:t>
      </w:r>
    </w:p>
    <w:p w14:paraId="5269B870" w14:textId="77777777" w:rsidR="003B49DB" w:rsidRPr="00C173D3" w:rsidRDefault="003B49DB" w:rsidP="001210FA">
      <w:pPr>
        <w:pStyle w:val="Zkladntext"/>
        <w:tabs>
          <w:tab w:val="left" w:pos="284"/>
        </w:tabs>
        <w:rPr>
          <w:szCs w:val="22"/>
          <w:lang w:val="en-US"/>
        </w:rPr>
      </w:pPr>
    </w:p>
    <w:p w14:paraId="7DD99315"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1EEC7CA6" w14:textId="77777777" w:rsidR="00011A73" w:rsidRPr="00A2149C" w:rsidRDefault="00011A73" w:rsidP="003B49DB">
      <w:pPr>
        <w:pStyle w:val="VnitrniText"/>
        <w:ind w:firstLine="0"/>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28573D97" w14:textId="77777777" w:rsidR="003B49DB" w:rsidRDefault="003B49DB" w:rsidP="003B49DB">
      <w:pPr>
        <w:pStyle w:val="VnitrniText"/>
        <w:ind w:firstLine="0"/>
        <w:rPr>
          <w:sz w:val="22"/>
          <w:szCs w:val="22"/>
        </w:rPr>
      </w:pPr>
    </w:p>
    <w:p w14:paraId="7176B50F" w14:textId="08FB361A" w:rsidR="0037157C" w:rsidRPr="00A2149C" w:rsidRDefault="002709BE" w:rsidP="003B49DB">
      <w:pPr>
        <w:pStyle w:val="VnitrniText"/>
        <w:ind w:firstLine="0"/>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720CE899" w14:textId="77777777" w:rsidR="001D73FD" w:rsidRDefault="001D73FD" w:rsidP="000B0AA7">
      <w:pPr>
        <w:pStyle w:val="VnitrniText"/>
        <w:rPr>
          <w:sz w:val="22"/>
          <w:szCs w:val="22"/>
        </w:rPr>
      </w:pPr>
    </w:p>
    <w:p w14:paraId="74442200"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74D953E8" w14:textId="300E677B" w:rsidR="001D73FD" w:rsidRPr="00A2149C" w:rsidRDefault="0093274E" w:rsidP="003B49DB">
      <w:pPr>
        <w:pStyle w:val="VnitrniText"/>
        <w:numPr>
          <w:ilvl w:val="0"/>
          <w:numId w:val="15"/>
        </w:numPr>
        <w:rPr>
          <w:sz w:val="22"/>
          <w:szCs w:val="22"/>
        </w:rPr>
      </w:pPr>
      <w:r>
        <w:rPr>
          <w:sz w:val="22"/>
          <w:szCs w:val="22"/>
        </w:rPr>
        <w:t>N</w:t>
      </w:r>
      <w:r w:rsidR="00014CB4" w:rsidRPr="00A2149C">
        <w:rPr>
          <w:sz w:val="22"/>
          <w:szCs w:val="22"/>
        </w:rPr>
        <w:t xml:space="preserve">emovitost </w:t>
      </w:r>
      <w:r>
        <w:rPr>
          <w:sz w:val="22"/>
          <w:szCs w:val="22"/>
        </w:rPr>
        <w:t>uvedená v </w:t>
      </w:r>
      <w:proofErr w:type="spellStart"/>
      <w:r>
        <w:rPr>
          <w:sz w:val="22"/>
          <w:szCs w:val="22"/>
        </w:rPr>
        <w:t>čl.I</w:t>
      </w:r>
      <w:proofErr w:type="spellEnd"/>
      <w:r>
        <w:rPr>
          <w:sz w:val="22"/>
          <w:szCs w:val="22"/>
        </w:rPr>
        <w:t xml:space="preserve">. </w:t>
      </w:r>
      <w:r w:rsidR="00014CB4" w:rsidRPr="00A2149C">
        <w:rPr>
          <w:sz w:val="22"/>
          <w:szCs w:val="22"/>
        </w:rPr>
        <w:t>není zatížena užívacími právy třetích osob.</w:t>
      </w:r>
    </w:p>
    <w:p w14:paraId="5074D980" w14:textId="77777777" w:rsidR="001D73FD" w:rsidRPr="00A2149C" w:rsidRDefault="001D73FD" w:rsidP="000B0AA7">
      <w:pPr>
        <w:pStyle w:val="VnitrniText"/>
        <w:rPr>
          <w:sz w:val="22"/>
          <w:szCs w:val="22"/>
        </w:rPr>
      </w:pPr>
    </w:p>
    <w:p w14:paraId="2DC8E4D5" w14:textId="6D379520" w:rsidR="007D2608" w:rsidRPr="00A2149C" w:rsidRDefault="007D2608" w:rsidP="003B49DB">
      <w:pPr>
        <w:pStyle w:val="VnitrniText"/>
        <w:numPr>
          <w:ilvl w:val="0"/>
          <w:numId w:val="15"/>
        </w:numPr>
        <w:rPr>
          <w:sz w:val="22"/>
          <w:szCs w:val="22"/>
        </w:rPr>
      </w:pPr>
      <w:r w:rsidRPr="00A2149C">
        <w:rPr>
          <w:sz w:val="22"/>
          <w:szCs w:val="22"/>
        </w:rPr>
        <w:t>Pozemek převáděný z vlastnictví státu do vlastnictví nabyvatele je součástí společenstevní honitby Libhošť, jejímž držitelem je Honební společenstvo Libhošť. Tyto pozemky jsou ve smyslu zákona o SPÚ v režimu přičlenění.</w:t>
      </w:r>
    </w:p>
    <w:p w14:paraId="0EFF9759" w14:textId="77777777" w:rsidR="007D2608" w:rsidRPr="00A2149C" w:rsidRDefault="007D2608" w:rsidP="00EB6C54">
      <w:pPr>
        <w:pStyle w:val="VnitrniText"/>
        <w:rPr>
          <w:sz w:val="22"/>
          <w:szCs w:val="22"/>
        </w:rPr>
      </w:pPr>
    </w:p>
    <w:p w14:paraId="7E5DEE3F" w14:textId="0860E2B7" w:rsidR="007D2608" w:rsidRPr="00A2149C" w:rsidRDefault="007D2608" w:rsidP="003B49DB">
      <w:pPr>
        <w:pStyle w:val="VnitrniText"/>
        <w:numPr>
          <w:ilvl w:val="0"/>
          <w:numId w:val="15"/>
        </w:numPr>
        <w:rPr>
          <w:sz w:val="22"/>
          <w:szCs w:val="22"/>
        </w:rPr>
      </w:pPr>
      <w:r w:rsidRPr="00A2149C">
        <w:rPr>
          <w:sz w:val="22"/>
          <w:szCs w:val="22"/>
        </w:rPr>
        <w:t xml:space="preserve">Nabyvatel bere na vědomí a je srozuměn s tím, že ke dni uzavření této smlouvy dojde převodem pozemku </w:t>
      </w:r>
      <w:proofErr w:type="spellStart"/>
      <w:r w:rsidRPr="00A2149C">
        <w:rPr>
          <w:sz w:val="22"/>
          <w:szCs w:val="22"/>
        </w:rPr>
        <w:t>parc</w:t>
      </w:r>
      <w:proofErr w:type="spellEnd"/>
      <w:r w:rsidRPr="00A2149C">
        <w:rPr>
          <w:sz w:val="22"/>
          <w:szCs w:val="22"/>
        </w:rPr>
        <w:t xml:space="preserve">. č. 1688/16 ke splynutí osoby oprávněného a povinného v rámci věcného </w:t>
      </w:r>
      <w:proofErr w:type="gramStart"/>
      <w:r w:rsidRPr="00A2149C">
        <w:rPr>
          <w:sz w:val="22"/>
          <w:szCs w:val="22"/>
        </w:rPr>
        <w:t>břemene - práva</w:t>
      </w:r>
      <w:proofErr w:type="gramEnd"/>
      <w:r w:rsidRPr="00A2149C">
        <w:rPr>
          <w:sz w:val="22"/>
          <w:szCs w:val="22"/>
        </w:rPr>
        <w:t xml:space="preserve"> zřídit a provozovat na části pozemku stavbu "Elektrická přípojka ke vstupnímu objekt </w:t>
      </w:r>
      <w:proofErr w:type="spellStart"/>
      <w:r w:rsidRPr="00A2149C">
        <w:rPr>
          <w:sz w:val="22"/>
          <w:szCs w:val="22"/>
        </w:rPr>
        <w:t>vytl</w:t>
      </w:r>
      <w:proofErr w:type="spellEnd"/>
      <w:r w:rsidRPr="00A2149C">
        <w:rPr>
          <w:sz w:val="22"/>
          <w:szCs w:val="22"/>
        </w:rPr>
        <w:t xml:space="preserve">. plynovodu DN 500 PN 63 a PS </w:t>
      </w:r>
      <w:proofErr w:type="gramStart"/>
      <w:r w:rsidRPr="00A2149C">
        <w:rPr>
          <w:sz w:val="22"/>
          <w:szCs w:val="22"/>
        </w:rPr>
        <w:t>Příbor - Třanovice</w:t>
      </w:r>
      <w:proofErr w:type="gramEnd"/>
      <w:r w:rsidRPr="00A2149C">
        <w:rPr>
          <w:sz w:val="22"/>
          <w:szCs w:val="22"/>
        </w:rPr>
        <w:t xml:space="preserve"> (</w:t>
      </w:r>
      <w:proofErr w:type="spellStart"/>
      <w:r w:rsidRPr="00A2149C">
        <w:rPr>
          <w:sz w:val="22"/>
          <w:szCs w:val="22"/>
        </w:rPr>
        <w:t>Žukov</w:t>
      </w:r>
      <w:proofErr w:type="spellEnd"/>
      <w:r w:rsidRPr="00A2149C">
        <w:rPr>
          <w:sz w:val="22"/>
          <w:szCs w:val="22"/>
        </w:rPr>
        <w:t>). K výmazu věcného břemene z katastru nemovitostí dojde na návrh nabyvatele.</w:t>
      </w:r>
    </w:p>
    <w:p w14:paraId="7489DA93" w14:textId="77777777" w:rsidR="007D2608" w:rsidRPr="00A2149C" w:rsidRDefault="007D2608" w:rsidP="00EB6C54">
      <w:pPr>
        <w:pStyle w:val="VnitrniText"/>
        <w:rPr>
          <w:sz w:val="22"/>
          <w:szCs w:val="22"/>
        </w:rPr>
      </w:pPr>
    </w:p>
    <w:p w14:paraId="6793249F" w14:textId="07E64426" w:rsidR="007D2608" w:rsidRPr="00A2149C" w:rsidRDefault="007D2608" w:rsidP="003B49DB">
      <w:pPr>
        <w:pStyle w:val="VnitrniText"/>
        <w:numPr>
          <w:ilvl w:val="0"/>
          <w:numId w:val="15"/>
        </w:numPr>
        <w:rPr>
          <w:sz w:val="22"/>
          <w:szCs w:val="22"/>
        </w:rPr>
      </w:pPr>
      <w:r w:rsidRPr="00A2149C">
        <w:rPr>
          <w:sz w:val="22"/>
          <w:szCs w:val="22"/>
        </w:rPr>
        <w:t xml:space="preserve">Nabyvatel bere na vědomí a je srozuměn s tím, že na převáděném pozemku, resp. jeho části je zřízeno věcné </w:t>
      </w:r>
      <w:proofErr w:type="gramStart"/>
      <w:r w:rsidRPr="00A2149C">
        <w:rPr>
          <w:sz w:val="22"/>
          <w:szCs w:val="22"/>
        </w:rPr>
        <w:t>břemeno - právo</w:t>
      </w:r>
      <w:proofErr w:type="gramEnd"/>
      <w:r w:rsidRPr="00A2149C">
        <w:rPr>
          <w:sz w:val="22"/>
          <w:szCs w:val="22"/>
        </w:rPr>
        <w:t xml:space="preserve"> zřizovat a umisťovat podzemní vedení telekomunikační sítě, včetně jejích opěrných bodů a vytyčovacích bodů.</w:t>
      </w:r>
    </w:p>
    <w:p w14:paraId="12F0E545" w14:textId="77777777" w:rsidR="007D2608" w:rsidRPr="00A2149C" w:rsidRDefault="007D2608" w:rsidP="00EB6C54">
      <w:pPr>
        <w:pStyle w:val="VnitrniText"/>
        <w:rPr>
          <w:sz w:val="22"/>
          <w:szCs w:val="22"/>
        </w:rPr>
      </w:pPr>
    </w:p>
    <w:p w14:paraId="3E98450F" w14:textId="27D12C17" w:rsidR="007D2608" w:rsidRPr="00A2149C" w:rsidRDefault="007D2608" w:rsidP="003B49DB">
      <w:pPr>
        <w:pStyle w:val="VnitrniText"/>
        <w:numPr>
          <w:ilvl w:val="0"/>
          <w:numId w:val="15"/>
        </w:numPr>
        <w:rPr>
          <w:sz w:val="22"/>
          <w:szCs w:val="22"/>
        </w:rPr>
      </w:pPr>
      <w:r w:rsidRPr="00A2149C">
        <w:rPr>
          <w:sz w:val="22"/>
          <w:szCs w:val="22"/>
        </w:rPr>
        <w:t xml:space="preserve">SPÚ upozorňuje nabyvatele, že se na převáděném pozemku </w:t>
      </w:r>
      <w:proofErr w:type="spellStart"/>
      <w:r w:rsidRPr="00A2149C">
        <w:rPr>
          <w:sz w:val="22"/>
          <w:szCs w:val="22"/>
        </w:rPr>
        <w:t>parc</w:t>
      </w:r>
      <w:proofErr w:type="spellEnd"/>
      <w:r w:rsidRPr="00A2149C">
        <w:rPr>
          <w:sz w:val="22"/>
          <w:szCs w:val="22"/>
        </w:rPr>
        <w:t xml:space="preserve">. č. 1688/16 v k.ú. Libhošť může dle dostupných podkladů nacházet stavba vodního díla, konkrétně stavba k vodohospodářským melioracím </w:t>
      </w:r>
      <w:proofErr w:type="gramStart"/>
      <w:r w:rsidRPr="00A2149C">
        <w:rPr>
          <w:sz w:val="22"/>
          <w:szCs w:val="22"/>
        </w:rPr>
        <w:t>pozemků - podrobné</w:t>
      </w:r>
      <w:proofErr w:type="gramEnd"/>
      <w:r w:rsidRPr="00A2149C">
        <w:rPr>
          <w:sz w:val="22"/>
          <w:szCs w:val="22"/>
        </w:rPr>
        <w:t xml:space="preserve"> odvodňovací zařízení z roku 1977. Tato stavba vodního díla je součástí předmětného pozemku a spolu s ním přechází vlastnické právo na nabyvatele.</w:t>
      </w:r>
    </w:p>
    <w:p w14:paraId="729E24BE" w14:textId="77777777" w:rsidR="007D2608" w:rsidRPr="00A2149C" w:rsidRDefault="007D2608" w:rsidP="00EB6C54">
      <w:pPr>
        <w:pStyle w:val="VnitrniText"/>
        <w:rPr>
          <w:sz w:val="22"/>
          <w:szCs w:val="22"/>
        </w:rPr>
      </w:pPr>
    </w:p>
    <w:p w14:paraId="37F47420" w14:textId="1E95305F" w:rsidR="007D2608" w:rsidRPr="00A2149C" w:rsidRDefault="007D2608" w:rsidP="003B49DB">
      <w:pPr>
        <w:pStyle w:val="VnitrniText"/>
        <w:numPr>
          <w:ilvl w:val="0"/>
          <w:numId w:val="15"/>
        </w:numPr>
        <w:rPr>
          <w:sz w:val="22"/>
          <w:szCs w:val="22"/>
        </w:rPr>
      </w:pPr>
      <w:r w:rsidRPr="00A2149C">
        <w:rPr>
          <w:sz w:val="22"/>
          <w:szCs w:val="22"/>
        </w:rPr>
        <w:t xml:space="preserve">SPÚ upozorňuje nabyvatele, že pozemek </w:t>
      </w:r>
      <w:proofErr w:type="spellStart"/>
      <w:r w:rsidRPr="00A2149C">
        <w:rPr>
          <w:sz w:val="22"/>
          <w:szCs w:val="22"/>
        </w:rPr>
        <w:t>parc</w:t>
      </w:r>
      <w:proofErr w:type="spellEnd"/>
      <w:r w:rsidRPr="00A2149C">
        <w:rPr>
          <w:sz w:val="22"/>
          <w:szCs w:val="22"/>
        </w:rPr>
        <w:t>. č. 1688/16 v k.ú. Libhošť je určen zčásti na základě územně plánovací dokumentace obce pro realizaci územního systému ekologické stability.</w:t>
      </w:r>
    </w:p>
    <w:p w14:paraId="3817C711" w14:textId="77777777" w:rsidR="007D2608" w:rsidRPr="00A2149C" w:rsidRDefault="007D2608" w:rsidP="00EB6C54">
      <w:pPr>
        <w:pStyle w:val="VnitrniText"/>
        <w:rPr>
          <w:sz w:val="22"/>
          <w:szCs w:val="22"/>
        </w:rPr>
      </w:pPr>
    </w:p>
    <w:p w14:paraId="033CB00B" w14:textId="77777777" w:rsidR="0037157C" w:rsidRDefault="0037157C" w:rsidP="00EB6C54">
      <w:pPr>
        <w:pStyle w:val="VnitrniText"/>
        <w:rPr>
          <w:sz w:val="22"/>
          <w:szCs w:val="22"/>
        </w:rPr>
      </w:pPr>
    </w:p>
    <w:p w14:paraId="4A3A59CE" w14:textId="77777777" w:rsidR="00696D39" w:rsidRDefault="00696D39" w:rsidP="00696D39">
      <w:pPr>
        <w:pStyle w:val="VnitrniText"/>
        <w:ind w:firstLine="0"/>
        <w:rPr>
          <w:b/>
          <w:sz w:val="22"/>
          <w:szCs w:val="22"/>
        </w:rPr>
      </w:pPr>
      <w:r>
        <w:rPr>
          <w:b/>
          <w:sz w:val="22"/>
          <w:szCs w:val="22"/>
        </w:rPr>
        <w:lastRenderedPageBreak/>
        <w:t>Práva týkající se nemovitostí uvedených v čl. II.</w:t>
      </w:r>
    </w:p>
    <w:p w14:paraId="3B941C70" w14:textId="77777777" w:rsidR="00696D39" w:rsidRDefault="00696D39" w:rsidP="00696D39">
      <w:pPr>
        <w:pStyle w:val="VnitrniText"/>
        <w:rPr>
          <w:sz w:val="22"/>
          <w:szCs w:val="22"/>
        </w:rPr>
      </w:pPr>
      <w:r>
        <w:rPr>
          <w:sz w:val="22"/>
          <w:szCs w:val="22"/>
        </w:rPr>
        <w:t>1. Nemovitosti uvedené v čl. II. nejsou zatíženy užívacími právy třetích osob.</w:t>
      </w:r>
    </w:p>
    <w:p w14:paraId="54825C5B" w14:textId="77777777" w:rsidR="00696D39" w:rsidRDefault="00696D39" w:rsidP="00D928BA">
      <w:pPr>
        <w:pStyle w:val="para"/>
        <w:jc w:val="left"/>
        <w:rPr>
          <w:rFonts w:ascii="Arial" w:hAnsi="Arial" w:cs="Arial"/>
          <w:sz w:val="22"/>
          <w:szCs w:val="22"/>
        </w:rPr>
      </w:pPr>
    </w:p>
    <w:p w14:paraId="281DFDE1"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21A16D04" w14:textId="77777777" w:rsidR="00A87FFB" w:rsidRDefault="00A87FFB" w:rsidP="003B49DB">
      <w:pPr>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48E008D8" w14:textId="77777777" w:rsidR="00A87FFB" w:rsidRDefault="00A87FFB" w:rsidP="00A87FFB">
      <w:pPr>
        <w:tabs>
          <w:tab w:val="left" w:pos="709"/>
        </w:tabs>
        <w:ind w:firstLine="426"/>
        <w:jc w:val="both"/>
        <w:rPr>
          <w:rFonts w:ascii="Arial" w:hAnsi="Arial" w:cs="Arial"/>
          <w:sz w:val="22"/>
          <w:szCs w:val="22"/>
          <w:lang w:val="en-US"/>
        </w:rPr>
      </w:pPr>
    </w:p>
    <w:p w14:paraId="55C030DE" w14:textId="77777777" w:rsidR="00F359D3" w:rsidRDefault="00F359D3" w:rsidP="00F359D3">
      <w:pPr>
        <w:pStyle w:val="para"/>
        <w:rPr>
          <w:rFonts w:ascii="Arial" w:hAnsi="Arial" w:cs="Arial"/>
          <w:sz w:val="22"/>
          <w:szCs w:val="22"/>
        </w:rPr>
      </w:pPr>
      <w:r>
        <w:rPr>
          <w:rFonts w:ascii="Arial" w:hAnsi="Arial" w:cs="Arial"/>
          <w:sz w:val="22"/>
          <w:szCs w:val="22"/>
        </w:rPr>
        <w:t>VII.</w:t>
      </w:r>
    </w:p>
    <w:p w14:paraId="491F8BCA" w14:textId="77777777" w:rsidR="00A87FFB" w:rsidRDefault="00F359D3" w:rsidP="003B49DB">
      <w:pPr>
        <w:tabs>
          <w:tab w:val="left" w:pos="709"/>
        </w:tabs>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5A42A7BD" w14:textId="77777777" w:rsidR="00F359D3" w:rsidRDefault="00F359D3" w:rsidP="00F359D3">
      <w:pPr>
        <w:tabs>
          <w:tab w:val="left" w:pos="709"/>
        </w:tabs>
        <w:ind w:firstLine="426"/>
        <w:jc w:val="both"/>
        <w:rPr>
          <w:rFonts w:ascii="Arial" w:hAnsi="Arial" w:cs="Arial"/>
          <w:sz w:val="22"/>
          <w:szCs w:val="22"/>
        </w:rPr>
      </w:pPr>
    </w:p>
    <w:p w14:paraId="4A29D1F4" w14:textId="77777777" w:rsidR="00A87FFB" w:rsidRDefault="00A87FFB" w:rsidP="00A87FFB">
      <w:pPr>
        <w:pStyle w:val="para"/>
        <w:rPr>
          <w:rFonts w:ascii="Arial" w:hAnsi="Arial" w:cs="Arial"/>
          <w:sz w:val="22"/>
          <w:szCs w:val="22"/>
        </w:rPr>
      </w:pPr>
      <w:r>
        <w:rPr>
          <w:rFonts w:ascii="Arial" w:hAnsi="Arial" w:cs="Arial"/>
          <w:sz w:val="22"/>
          <w:szCs w:val="22"/>
        </w:rPr>
        <w:t>VIII.</w:t>
      </w:r>
    </w:p>
    <w:p w14:paraId="416864BE" w14:textId="77777777" w:rsidR="00F359D3" w:rsidRDefault="00F359D3" w:rsidP="003B49DB">
      <w:pPr>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5CEDA477" w14:textId="77777777" w:rsidR="00F359D3" w:rsidRDefault="00F359D3" w:rsidP="00F359D3">
      <w:pPr>
        <w:ind w:firstLine="360"/>
        <w:jc w:val="both"/>
        <w:rPr>
          <w:rFonts w:ascii="Arial" w:hAnsi="Arial" w:cs="Arial"/>
          <w:sz w:val="22"/>
          <w:szCs w:val="22"/>
        </w:rPr>
      </w:pPr>
    </w:p>
    <w:p w14:paraId="23CB4219"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47B37CE4" w14:textId="77777777" w:rsidR="00F359D3" w:rsidRDefault="00F359D3" w:rsidP="003B49DB">
      <w:pPr>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stejnopis(y) a ostatní jsou určeny pro </w:t>
      </w:r>
      <w:r>
        <w:rPr>
          <w:rFonts w:ascii="Arial" w:hAnsi="Arial" w:cs="Arial"/>
          <w:sz w:val="22"/>
          <w:szCs w:val="22"/>
        </w:rPr>
        <w:t>SPÚ</w:t>
      </w:r>
      <w:r w:rsidRPr="00BE50B5">
        <w:rPr>
          <w:rFonts w:ascii="Arial" w:hAnsi="Arial" w:cs="Arial"/>
          <w:sz w:val="22"/>
          <w:szCs w:val="22"/>
        </w:rPr>
        <w:t>.</w:t>
      </w:r>
    </w:p>
    <w:p w14:paraId="4BCB1F6D" w14:textId="77777777" w:rsidR="00F359D3" w:rsidRPr="00BE50B5" w:rsidRDefault="00F359D3" w:rsidP="003B49DB">
      <w:pPr>
        <w:jc w:val="both"/>
        <w:rPr>
          <w:rFonts w:ascii="Arial" w:hAnsi="Arial" w:cs="Arial"/>
          <w:sz w:val="22"/>
          <w:szCs w:val="22"/>
        </w:rPr>
      </w:pPr>
    </w:p>
    <w:p w14:paraId="4A818851" w14:textId="680BF935" w:rsidR="00F359D3" w:rsidRPr="00BE50B5" w:rsidRDefault="00F359D3" w:rsidP="003B49DB">
      <w:pPr>
        <w:jc w:val="both"/>
        <w:rPr>
          <w:rFonts w:ascii="Arial" w:hAnsi="Arial" w:cs="Arial"/>
          <w:sz w:val="22"/>
          <w:szCs w:val="22"/>
          <w:lang w:val="en-US"/>
        </w:rPr>
      </w:pPr>
      <w:r w:rsidRPr="00BE50B5">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66575E98" w14:textId="77777777" w:rsidR="002709BE" w:rsidRDefault="002709BE" w:rsidP="00AF6AEF">
      <w:pPr>
        <w:tabs>
          <w:tab w:val="left" w:pos="709"/>
        </w:tabs>
        <w:ind w:firstLine="426"/>
        <w:jc w:val="both"/>
        <w:rPr>
          <w:rFonts w:ascii="Arial" w:hAnsi="Arial" w:cs="Arial"/>
          <w:sz w:val="22"/>
          <w:szCs w:val="22"/>
          <w:lang w:val="en-US"/>
        </w:rPr>
      </w:pPr>
    </w:p>
    <w:p w14:paraId="40D4DEE3"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417772FF" w14:textId="77777777" w:rsidR="006B73C0" w:rsidRPr="009D4E32" w:rsidRDefault="00415244" w:rsidP="003B49DB">
      <w:pPr>
        <w:tabs>
          <w:tab w:val="left" w:pos="709"/>
        </w:tabs>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1E8373E2" w14:textId="77777777" w:rsidR="006B73C0" w:rsidRPr="009D4E32" w:rsidRDefault="006B73C0" w:rsidP="006B73C0">
      <w:pPr>
        <w:tabs>
          <w:tab w:val="left" w:pos="709"/>
        </w:tabs>
        <w:ind w:firstLine="426"/>
        <w:jc w:val="both"/>
        <w:rPr>
          <w:rFonts w:ascii="Arial" w:hAnsi="Arial" w:cs="Arial"/>
          <w:sz w:val="22"/>
          <w:szCs w:val="22"/>
        </w:rPr>
      </w:pPr>
    </w:p>
    <w:p w14:paraId="34017760"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374D6249" w14:textId="77777777" w:rsidR="00420F01" w:rsidRPr="00420F01" w:rsidRDefault="00420F01" w:rsidP="003B49DB">
      <w:pPr>
        <w:tabs>
          <w:tab w:val="left" w:pos="709"/>
        </w:tabs>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2EC05E24" w14:textId="77777777" w:rsidR="00420F01" w:rsidRPr="00420F01" w:rsidRDefault="00420F01" w:rsidP="00420F01">
      <w:pPr>
        <w:tabs>
          <w:tab w:val="left" w:pos="709"/>
        </w:tabs>
        <w:ind w:firstLine="426"/>
        <w:jc w:val="both"/>
        <w:rPr>
          <w:rFonts w:ascii="Arial" w:hAnsi="Arial" w:cs="Arial"/>
          <w:sz w:val="22"/>
          <w:szCs w:val="22"/>
        </w:rPr>
      </w:pPr>
    </w:p>
    <w:p w14:paraId="24E859D4" w14:textId="77777777" w:rsidR="00420F01" w:rsidRPr="00420F01" w:rsidRDefault="00420F01" w:rsidP="003B49DB">
      <w:pPr>
        <w:tabs>
          <w:tab w:val="left" w:pos="709"/>
        </w:tabs>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00CAF030" w14:textId="77777777" w:rsidR="00420F01" w:rsidRPr="00420F01" w:rsidRDefault="00420F01" w:rsidP="00420F01">
      <w:pPr>
        <w:tabs>
          <w:tab w:val="left" w:pos="709"/>
        </w:tabs>
        <w:ind w:firstLine="426"/>
        <w:jc w:val="both"/>
        <w:rPr>
          <w:rFonts w:ascii="Arial" w:hAnsi="Arial" w:cs="Arial"/>
          <w:sz w:val="22"/>
          <w:szCs w:val="22"/>
        </w:rPr>
      </w:pPr>
    </w:p>
    <w:p w14:paraId="046D1092" w14:textId="77777777" w:rsidR="00420F01" w:rsidRPr="00420F01" w:rsidRDefault="00420F01" w:rsidP="003B49DB">
      <w:pPr>
        <w:tabs>
          <w:tab w:val="left" w:pos="709"/>
        </w:tabs>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1BF25698" w14:textId="77777777" w:rsidR="006B73C0" w:rsidRPr="009D4E32" w:rsidRDefault="006B73C0" w:rsidP="00D928BA">
      <w:pPr>
        <w:pStyle w:val="VnitrniText"/>
        <w:ind w:firstLine="0"/>
        <w:rPr>
          <w:b/>
          <w:sz w:val="22"/>
          <w:szCs w:val="22"/>
        </w:rPr>
      </w:pPr>
    </w:p>
    <w:p w14:paraId="3AF0B9E5"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40185444" w14:textId="2E64602A" w:rsidR="006B73C0" w:rsidRDefault="006B73C0" w:rsidP="003B49DB">
      <w:pPr>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079352DB" w14:textId="77777777" w:rsidR="003B49DB" w:rsidRDefault="003B49DB" w:rsidP="003B49DB">
      <w:pPr>
        <w:jc w:val="both"/>
        <w:rPr>
          <w:rFonts w:ascii="Arial" w:hAnsi="Arial"/>
          <w:sz w:val="22"/>
          <w:szCs w:val="22"/>
        </w:rPr>
      </w:pPr>
    </w:p>
    <w:p w14:paraId="006598E3" w14:textId="6D7DA0EB" w:rsidR="006B73C0" w:rsidRPr="001627D0" w:rsidRDefault="005D64D5" w:rsidP="003B49DB">
      <w:pPr>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4A6EA52" w14:textId="77777777" w:rsidR="00E37537" w:rsidRPr="009D4E32" w:rsidRDefault="00E37537" w:rsidP="00E37537">
      <w:pPr>
        <w:pStyle w:val="VnitrniText"/>
        <w:rPr>
          <w:sz w:val="22"/>
          <w:szCs w:val="22"/>
        </w:rPr>
      </w:pPr>
    </w:p>
    <w:p w14:paraId="22782BED"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7739E6AE" w14:textId="77777777" w:rsidR="0037157C" w:rsidRPr="009D4E32" w:rsidRDefault="00E37537" w:rsidP="003B49DB">
      <w:pPr>
        <w:pStyle w:val="VnitrniText"/>
        <w:ind w:firstLine="0"/>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03539B46"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39787BDC"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5E347FF0"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W w:w="0" w:type="auto"/>
        <w:tblLook w:val="04A0" w:firstRow="1" w:lastRow="0" w:firstColumn="1" w:lastColumn="0" w:noHBand="0" w:noVBand="1"/>
      </w:tblPr>
      <w:tblGrid>
        <w:gridCol w:w="4818"/>
        <w:gridCol w:w="4819"/>
      </w:tblGrid>
      <w:tr w:rsidR="004E17F9" w:rsidRPr="003B49DB" w14:paraId="10AEA19D" w14:textId="77777777" w:rsidTr="003B49DB">
        <w:tc>
          <w:tcPr>
            <w:tcW w:w="4888" w:type="dxa"/>
            <w:shd w:val="clear" w:color="auto" w:fill="auto"/>
            <w:hideMark/>
          </w:tcPr>
          <w:p w14:paraId="1F1D02F1" w14:textId="46F29A1C" w:rsidR="004E17F9" w:rsidRPr="003B49DB" w:rsidRDefault="004E17F9" w:rsidP="003B49DB">
            <w:pPr>
              <w:pStyle w:val="VnitrniText"/>
              <w:ind w:firstLine="0"/>
              <w:rPr>
                <w:sz w:val="22"/>
                <w:szCs w:val="22"/>
              </w:rPr>
            </w:pPr>
            <w:r w:rsidRPr="003B49DB">
              <w:rPr>
                <w:sz w:val="22"/>
                <w:szCs w:val="22"/>
              </w:rPr>
              <w:t xml:space="preserve">V Ostravě dne </w:t>
            </w:r>
            <w:r w:rsidR="003F7E80">
              <w:rPr>
                <w:sz w:val="22"/>
                <w:szCs w:val="22"/>
              </w:rPr>
              <w:t>1. 8. 2022</w:t>
            </w:r>
          </w:p>
        </w:tc>
        <w:tc>
          <w:tcPr>
            <w:tcW w:w="4889" w:type="dxa"/>
            <w:shd w:val="clear" w:color="auto" w:fill="auto"/>
            <w:hideMark/>
          </w:tcPr>
          <w:p w14:paraId="3706887B" w14:textId="484C44A3" w:rsidR="004E17F9" w:rsidRPr="003B49DB" w:rsidRDefault="004E17F9" w:rsidP="003B49DB">
            <w:pPr>
              <w:pStyle w:val="VnitrniText"/>
              <w:tabs>
                <w:tab w:val="left" w:pos="4820"/>
              </w:tabs>
              <w:ind w:firstLine="0"/>
              <w:rPr>
                <w:sz w:val="22"/>
                <w:szCs w:val="22"/>
              </w:rPr>
            </w:pPr>
            <w:r w:rsidRPr="003B49DB">
              <w:rPr>
                <w:sz w:val="22"/>
                <w:szCs w:val="22"/>
              </w:rPr>
              <w:t xml:space="preserve">V </w:t>
            </w:r>
            <w:r w:rsidR="003F7E80">
              <w:rPr>
                <w:sz w:val="22"/>
                <w:szCs w:val="22"/>
              </w:rPr>
              <w:t>Ostravě</w:t>
            </w:r>
            <w:r w:rsidRPr="003B49DB">
              <w:rPr>
                <w:sz w:val="22"/>
                <w:szCs w:val="22"/>
              </w:rPr>
              <w:t xml:space="preserve"> dne </w:t>
            </w:r>
            <w:r w:rsidR="003F7E80">
              <w:rPr>
                <w:sz w:val="22"/>
                <w:szCs w:val="22"/>
              </w:rPr>
              <w:t>1. 8. 2022</w:t>
            </w:r>
          </w:p>
        </w:tc>
      </w:tr>
    </w:tbl>
    <w:p w14:paraId="167AD017"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008DC3D9" w14:textId="77777777" w:rsidR="004E17F9" w:rsidRPr="004E17F9" w:rsidRDefault="004E17F9" w:rsidP="004E17F9">
      <w:pPr>
        <w:pStyle w:val="VnitrniText"/>
        <w:tabs>
          <w:tab w:val="left" w:pos="5103"/>
        </w:tabs>
        <w:ind w:firstLine="142"/>
        <w:rPr>
          <w:sz w:val="22"/>
          <w:szCs w:val="22"/>
        </w:rPr>
      </w:pPr>
    </w:p>
    <w:p w14:paraId="599F05DE" w14:textId="77777777" w:rsidR="004E17F9" w:rsidRPr="004E17F9" w:rsidRDefault="004E17F9" w:rsidP="004E17F9">
      <w:pPr>
        <w:pStyle w:val="VnitrniText"/>
        <w:tabs>
          <w:tab w:val="left" w:pos="5103"/>
        </w:tabs>
        <w:ind w:firstLine="142"/>
        <w:rPr>
          <w:sz w:val="22"/>
          <w:szCs w:val="22"/>
        </w:rPr>
      </w:pPr>
    </w:p>
    <w:tbl>
      <w:tblPr>
        <w:tblW w:w="0" w:type="auto"/>
        <w:tblLook w:val="04A0" w:firstRow="1" w:lastRow="0" w:firstColumn="1" w:lastColumn="0" w:noHBand="0" w:noVBand="1"/>
      </w:tblPr>
      <w:tblGrid>
        <w:gridCol w:w="4818"/>
        <w:gridCol w:w="4819"/>
      </w:tblGrid>
      <w:tr w:rsidR="003B49DB" w:rsidRPr="003B49DB" w14:paraId="0E8392D0" w14:textId="77777777" w:rsidTr="003B49DB">
        <w:tc>
          <w:tcPr>
            <w:tcW w:w="4888" w:type="dxa"/>
            <w:shd w:val="clear" w:color="auto" w:fill="auto"/>
          </w:tcPr>
          <w:p w14:paraId="04F689DE" w14:textId="77777777" w:rsidR="003B49DB" w:rsidRPr="00511C9B" w:rsidRDefault="003B49DB" w:rsidP="003B49DB">
            <w:pPr>
              <w:pStyle w:val="VnitrniText"/>
              <w:ind w:firstLine="0"/>
              <w:rPr>
                <w:color w:val="000000" w:themeColor="text1"/>
                <w:sz w:val="22"/>
                <w:szCs w:val="22"/>
              </w:rPr>
            </w:pPr>
          </w:p>
          <w:p w14:paraId="0113BA6E" w14:textId="77777777" w:rsidR="003B49DB" w:rsidRPr="00511C9B" w:rsidRDefault="003B49DB" w:rsidP="003B49DB">
            <w:pPr>
              <w:pStyle w:val="VnitrniText"/>
              <w:ind w:firstLine="0"/>
              <w:rPr>
                <w:color w:val="000000" w:themeColor="text1"/>
                <w:sz w:val="22"/>
                <w:szCs w:val="22"/>
              </w:rPr>
            </w:pPr>
          </w:p>
          <w:p w14:paraId="44B0EBAB" w14:textId="77777777" w:rsidR="003B49DB" w:rsidRPr="00511C9B" w:rsidRDefault="003B49DB" w:rsidP="003B49DB">
            <w:pPr>
              <w:pStyle w:val="VnitrniText"/>
              <w:ind w:firstLine="0"/>
              <w:rPr>
                <w:color w:val="000000" w:themeColor="text1"/>
                <w:sz w:val="22"/>
                <w:szCs w:val="22"/>
              </w:rPr>
            </w:pPr>
          </w:p>
        </w:tc>
        <w:tc>
          <w:tcPr>
            <w:tcW w:w="4889" w:type="dxa"/>
            <w:shd w:val="clear" w:color="auto" w:fill="auto"/>
          </w:tcPr>
          <w:p w14:paraId="524DD224" w14:textId="77777777" w:rsidR="003B49DB" w:rsidRPr="00511C9B" w:rsidRDefault="003B49DB" w:rsidP="003B49DB">
            <w:pPr>
              <w:pStyle w:val="VnitrniText"/>
              <w:tabs>
                <w:tab w:val="left" w:pos="5103"/>
              </w:tabs>
              <w:ind w:firstLine="0"/>
              <w:rPr>
                <w:color w:val="000000" w:themeColor="text1"/>
                <w:sz w:val="22"/>
                <w:szCs w:val="22"/>
              </w:rPr>
            </w:pPr>
          </w:p>
        </w:tc>
      </w:tr>
      <w:tr w:rsidR="003B49DB" w:rsidRPr="003B49DB" w14:paraId="72C0DAF4" w14:textId="77777777" w:rsidTr="003B49DB">
        <w:tc>
          <w:tcPr>
            <w:tcW w:w="4888" w:type="dxa"/>
            <w:shd w:val="clear" w:color="auto" w:fill="auto"/>
          </w:tcPr>
          <w:p w14:paraId="68A3DFF8" w14:textId="79EDC6EF" w:rsidR="003B49DB" w:rsidRPr="00511C9B" w:rsidRDefault="003B49DB" w:rsidP="003B49DB">
            <w:pPr>
              <w:pStyle w:val="VnitrniText"/>
              <w:tabs>
                <w:tab w:val="left" w:pos="5103"/>
              </w:tabs>
              <w:ind w:firstLine="0"/>
              <w:jc w:val="left"/>
              <w:rPr>
                <w:color w:val="000000" w:themeColor="text1"/>
                <w:sz w:val="22"/>
                <w:szCs w:val="22"/>
              </w:rPr>
            </w:pPr>
            <w:r w:rsidRPr="00511C9B">
              <w:rPr>
                <w:color w:val="000000" w:themeColor="text1"/>
                <w:sz w:val="22"/>
                <w:szCs w:val="22"/>
              </w:rPr>
              <w:t>............................................</w:t>
            </w:r>
          </w:p>
        </w:tc>
        <w:tc>
          <w:tcPr>
            <w:tcW w:w="4889" w:type="dxa"/>
            <w:shd w:val="clear" w:color="auto" w:fill="auto"/>
          </w:tcPr>
          <w:p w14:paraId="71D425F3" w14:textId="39A8D892" w:rsidR="003B49DB" w:rsidRPr="00511C9B" w:rsidRDefault="003B49DB" w:rsidP="003B49DB">
            <w:pPr>
              <w:pStyle w:val="VnitrniText"/>
              <w:tabs>
                <w:tab w:val="left" w:pos="5103"/>
              </w:tabs>
              <w:ind w:firstLine="0"/>
              <w:jc w:val="left"/>
              <w:rPr>
                <w:color w:val="000000" w:themeColor="text1"/>
                <w:sz w:val="22"/>
                <w:szCs w:val="22"/>
              </w:rPr>
            </w:pPr>
            <w:r w:rsidRPr="00511C9B">
              <w:rPr>
                <w:color w:val="000000" w:themeColor="text1"/>
                <w:sz w:val="22"/>
                <w:szCs w:val="22"/>
              </w:rPr>
              <w:t>............................................</w:t>
            </w:r>
          </w:p>
        </w:tc>
      </w:tr>
      <w:tr w:rsidR="003B49DB" w:rsidRPr="003B49DB" w14:paraId="52B74B87" w14:textId="77777777" w:rsidTr="003B49DB">
        <w:tc>
          <w:tcPr>
            <w:tcW w:w="4888" w:type="dxa"/>
            <w:shd w:val="clear" w:color="auto" w:fill="auto"/>
          </w:tcPr>
          <w:p w14:paraId="6B9CB042" w14:textId="309A7421" w:rsidR="003B49DB" w:rsidRPr="00511C9B" w:rsidRDefault="003B49DB" w:rsidP="003B49DB">
            <w:pPr>
              <w:suppressAutoHyphens w:val="0"/>
              <w:autoSpaceDE w:val="0"/>
              <w:autoSpaceDN w:val="0"/>
              <w:adjustRightInd w:val="0"/>
              <w:rPr>
                <w:rFonts w:ascii="Arial" w:hAnsi="Arial" w:cs="Arial"/>
                <w:color w:val="000000" w:themeColor="text1"/>
                <w:sz w:val="22"/>
                <w:szCs w:val="22"/>
              </w:rPr>
            </w:pPr>
            <w:r w:rsidRPr="00511C9B">
              <w:rPr>
                <w:rFonts w:ascii="Arial" w:hAnsi="Arial" w:cs="Arial"/>
                <w:color w:val="000000" w:themeColor="text1"/>
                <w:sz w:val="22"/>
                <w:szCs w:val="22"/>
              </w:rPr>
              <w:t>Státní pozemkový úřad</w:t>
            </w:r>
          </w:p>
        </w:tc>
        <w:tc>
          <w:tcPr>
            <w:tcW w:w="4889" w:type="dxa"/>
            <w:shd w:val="clear" w:color="auto" w:fill="auto"/>
          </w:tcPr>
          <w:p w14:paraId="7522CA49" w14:textId="52A2BEB2" w:rsidR="003B49DB" w:rsidRPr="00511C9B" w:rsidRDefault="003B49DB" w:rsidP="003B49DB">
            <w:pPr>
              <w:suppressAutoHyphens w:val="0"/>
              <w:autoSpaceDE w:val="0"/>
              <w:autoSpaceDN w:val="0"/>
              <w:adjustRightInd w:val="0"/>
              <w:rPr>
                <w:rFonts w:ascii="Arial" w:hAnsi="Arial" w:cs="Arial"/>
                <w:color w:val="000000" w:themeColor="text1"/>
                <w:sz w:val="22"/>
                <w:szCs w:val="22"/>
              </w:rPr>
            </w:pPr>
            <w:r w:rsidRPr="00511C9B">
              <w:rPr>
                <w:rFonts w:ascii="Arial" w:hAnsi="Arial" w:cs="Arial"/>
                <w:color w:val="000000" w:themeColor="text1"/>
                <w:sz w:val="22"/>
                <w:szCs w:val="22"/>
              </w:rPr>
              <w:t>NET4GAS, s.r.o.</w:t>
            </w:r>
          </w:p>
        </w:tc>
      </w:tr>
      <w:tr w:rsidR="003B49DB" w:rsidRPr="003B49DB" w14:paraId="3885B7A4" w14:textId="77777777" w:rsidTr="003B49DB">
        <w:tc>
          <w:tcPr>
            <w:tcW w:w="4888" w:type="dxa"/>
            <w:shd w:val="clear" w:color="auto" w:fill="auto"/>
          </w:tcPr>
          <w:p w14:paraId="5CD9615E" w14:textId="1F9B2BFA" w:rsidR="003B49DB" w:rsidRPr="00511C9B" w:rsidRDefault="003B49DB" w:rsidP="003B49DB">
            <w:pPr>
              <w:suppressAutoHyphens w:val="0"/>
              <w:autoSpaceDE w:val="0"/>
              <w:autoSpaceDN w:val="0"/>
              <w:adjustRightInd w:val="0"/>
              <w:rPr>
                <w:rFonts w:ascii="Arial" w:hAnsi="Arial" w:cs="Arial"/>
                <w:color w:val="000000" w:themeColor="text1"/>
                <w:sz w:val="22"/>
                <w:szCs w:val="22"/>
              </w:rPr>
            </w:pPr>
            <w:r w:rsidRPr="00511C9B">
              <w:rPr>
                <w:rFonts w:ascii="Arial" w:hAnsi="Arial" w:cs="Arial"/>
                <w:color w:val="000000" w:themeColor="text1"/>
                <w:sz w:val="22"/>
                <w:szCs w:val="22"/>
              </w:rPr>
              <w:t>ředitelka Krajského pozemkového úřadu</w:t>
            </w:r>
          </w:p>
        </w:tc>
        <w:tc>
          <w:tcPr>
            <w:tcW w:w="4889" w:type="dxa"/>
            <w:shd w:val="clear" w:color="auto" w:fill="auto"/>
          </w:tcPr>
          <w:p w14:paraId="1A793F7F" w14:textId="3D2181B2" w:rsidR="003B49DB" w:rsidRPr="00511C9B" w:rsidRDefault="008F5C74" w:rsidP="003B49DB">
            <w:pPr>
              <w:suppressAutoHyphens w:val="0"/>
              <w:autoSpaceDE w:val="0"/>
              <w:autoSpaceDN w:val="0"/>
              <w:adjustRightInd w:val="0"/>
              <w:rPr>
                <w:rFonts w:ascii="Arial" w:hAnsi="Arial" w:cs="Arial"/>
                <w:color w:val="000000" w:themeColor="text1"/>
                <w:sz w:val="22"/>
                <w:szCs w:val="22"/>
              </w:rPr>
            </w:pPr>
            <w:r w:rsidRPr="00511C9B">
              <w:rPr>
                <w:rFonts w:ascii="Arial" w:eastAsia="MS Mincho" w:hAnsi="Arial" w:cs="Arial"/>
                <w:color w:val="000000" w:themeColor="text1"/>
                <w:szCs w:val="22"/>
              </w:rPr>
              <w:t>Ing. Jaroslav Sedlák, MBA</w:t>
            </w:r>
          </w:p>
        </w:tc>
      </w:tr>
      <w:tr w:rsidR="003B49DB" w:rsidRPr="003B49DB" w14:paraId="39ABA077" w14:textId="77777777" w:rsidTr="003B49DB">
        <w:tc>
          <w:tcPr>
            <w:tcW w:w="4888" w:type="dxa"/>
            <w:shd w:val="clear" w:color="auto" w:fill="auto"/>
          </w:tcPr>
          <w:p w14:paraId="21D832CE" w14:textId="77777777" w:rsidR="006159B2" w:rsidRDefault="003B49DB" w:rsidP="006159B2">
            <w:pPr>
              <w:suppressAutoHyphens w:val="0"/>
              <w:autoSpaceDE w:val="0"/>
              <w:autoSpaceDN w:val="0"/>
              <w:adjustRightInd w:val="0"/>
              <w:rPr>
                <w:rFonts w:ascii="Arial" w:hAnsi="Arial" w:cs="Arial"/>
                <w:sz w:val="22"/>
                <w:szCs w:val="22"/>
              </w:rPr>
            </w:pPr>
            <w:r w:rsidRPr="00511C9B">
              <w:rPr>
                <w:rFonts w:ascii="Arial" w:hAnsi="Arial" w:cs="Arial"/>
                <w:color w:val="000000" w:themeColor="text1"/>
                <w:sz w:val="22"/>
                <w:szCs w:val="22"/>
              </w:rPr>
              <w:t>Mgr. Dana Lišková</w:t>
            </w:r>
            <w:r w:rsidR="006159B2" w:rsidRPr="00530364">
              <w:rPr>
                <w:rFonts w:ascii="Arial" w:hAnsi="Arial" w:cs="Arial"/>
                <w:sz w:val="22"/>
                <w:szCs w:val="22"/>
              </w:rPr>
              <w:t xml:space="preserve"> </w:t>
            </w:r>
          </w:p>
          <w:p w14:paraId="6326D96D" w14:textId="3AA33294" w:rsidR="006159B2" w:rsidRPr="00530364" w:rsidRDefault="006159B2" w:rsidP="006159B2">
            <w:pPr>
              <w:suppressAutoHyphens w:val="0"/>
              <w:autoSpaceDE w:val="0"/>
              <w:autoSpaceDN w:val="0"/>
              <w:adjustRightInd w:val="0"/>
              <w:rPr>
                <w:rFonts w:ascii="Arial" w:hAnsi="Arial" w:cs="Arial"/>
                <w:sz w:val="22"/>
                <w:szCs w:val="22"/>
              </w:rPr>
            </w:pPr>
            <w:r w:rsidRPr="00530364">
              <w:rPr>
                <w:rFonts w:ascii="Arial" w:hAnsi="Arial" w:cs="Arial"/>
                <w:sz w:val="22"/>
                <w:szCs w:val="22"/>
              </w:rPr>
              <w:t>v. z. Ing. Tomáš Hořelica v.r.</w:t>
            </w:r>
          </w:p>
          <w:p w14:paraId="6470215B" w14:textId="77777777" w:rsidR="006159B2" w:rsidRPr="00530364" w:rsidRDefault="006159B2" w:rsidP="006159B2">
            <w:pPr>
              <w:suppressAutoHyphens w:val="0"/>
              <w:autoSpaceDE w:val="0"/>
              <w:autoSpaceDN w:val="0"/>
              <w:adjustRightInd w:val="0"/>
              <w:rPr>
                <w:rFonts w:ascii="Arial" w:hAnsi="Arial" w:cs="Arial"/>
                <w:sz w:val="22"/>
                <w:szCs w:val="22"/>
              </w:rPr>
            </w:pPr>
            <w:r w:rsidRPr="00530364">
              <w:rPr>
                <w:rFonts w:ascii="Arial" w:hAnsi="Arial" w:cs="Arial"/>
                <w:sz w:val="22"/>
                <w:szCs w:val="22"/>
              </w:rPr>
              <w:t>zástupce ředitelky Krajského pozemkového úřadu</w:t>
            </w:r>
            <w:r>
              <w:rPr>
                <w:rFonts w:ascii="Arial" w:hAnsi="Arial" w:cs="Arial"/>
                <w:sz w:val="22"/>
                <w:szCs w:val="22"/>
              </w:rPr>
              <w:t xml:space="preserve"> </w:t>
            </w:r>
            <w:r w:rsidRPr="00530364">
              <w:rPr>
                <w:rFonts w:ascii="Arial" w:hAnsi="Arial" w:cs="Arial"/>
                <w:sz w:val="22"/>
                <w:szCs w:val="22"/>
              </w:rPr>
              <w:t>pro Moravskoslezský kraj</w:t>
            </w:r>
          </w:p>
          <w:p w14:paraId="7CE2D382" w14:textId="3CBC9C71" w:rsidR="003B49DB" w:rsidRPr="00511C9B" w:rsidRDefault="003B49DB" w:rsidP="003B49DB">
            <w:pPr>
              <w:suppressAutoHyphens w:val="0"/>
              <w:autoSpaceDE w:val="0"/>
              <w:autoSpaceDN w:val="0"/>
              <w:adjustRightInd w:val="0"/>
              <w:rPr>
                <w:rFonts w:ascii="Arial" w:hAnsi="Arial" w:cs="Arial"/>
                <w:color w:val="000000" w:themeColor="text1"/>
                <w:sz w:val="22"/>
                <w:szCs w:val="22"/>
              </w:rPr>
            </w:pPr>
          </w:p>
        </w:tc>
        <w:tc>
          <w:tcPr>
            <w:tcW w:w="4889" w:type="dxa"/>
            <w:shd w:val="clear" w:color="auto" w:fill="auto"/>
          </w:tcPr>
          <w:p w14:paraId="14397FBA" w14:textId="3574F6A5" w:rsidR="006159B2" w:rsidRPr="00511C9B" w:rsidRDefault="006159B2" w:rsidP="003B49DB">
            <w:pPr>
              <w:suppressAutoHyphens w:val="0"/>
              <w:autoSpaceDE w:val="0"/>
              <w:autoSpaceDN w:val="0"/>
              <w:adjustRightInd w:val="0"/>
              <w:rPr>
                <w:rFonts w:ascii="Arial" w:hAnsi="Arial" w:cs="Arial"/>
                <w:color w:val="000000" w:themeColor="text1"/>
                <w:sz w:val="22"/>
                <w:szCs w:val="22"/>
              </w:rPr>
            </w:pPr>
            <w:r w:rsidRPr="00511C9B">
              <w:rPr>
                <w:rFonts w:ascii="Arial" w:hAnsi="Arial" w:cs="Arial"/>
                <w:color w:val="000000" w:themeColor="text1"/>
                <w:sz w:val="22"/>
                <w:szCs w:val="22"/>
              </w:rPr>
              <w:t>P</w:t>
            </w:r>
            <w:r w:rsidR="008F5C74" w:rsidRPr="00511C9B">
              <w:rPr>
                <w:rFonts w:ascii="Arial" w:hAnsi="Arial" w:cs="Arial"/>
                <w:color w:val="000000" w:themeColor="text1"/>
                <w:sz w:val="22"/>
                <w:szCs w:val="22"/>
              </w:rPr>
              <w:t>rokurista</w:t>
            </w:r>
          </w:p>
          <w:p w14:paraId="1F61339B" w14:textId="77777777" w:rsidR="003B49DB" w:rsidRPr="00511C9B" w:rsidRDefault="003B49DB" w:rsidP="003B49DB">
            <w:pPr>
              <w:suppressAutoHyphens w:val="0"/>
              <w:autoSpaceDE w:val="0"/>
              <w:autoSpaceDN w:val="0"/>
              <w:adjustRightInd w:val="0"/>
              <w:rPr>
                <w:rFonts w:ascii="Arial" w:hAnsi="Arial" w:cs="Arial"/>
                <w:color w:val="000000" w:themeColor="text1"/>
                <w:sz w:val="22"/>
                <w:szCs w:val="22"/>
              </w:rPr>
            </w:pPr>
          </w:p>
          <w:p w14:paraId="6F05724F" w14:textId="77777777" w:rsidR="003B49DB" w:rsidRPr="00511C9B" w:rsidRDefault="003B49DB" w:rsidP="003B49DB">
            <w:pPr>
              <w:suppressAutoHyphens w:val="0"/>
              <w:autoSpaceDE w:val="0"/>
              <w:autoSpaceDN w:val="0"/>
              <w:adjustRightInd w:val="0"/>
              <w:rPr>
                <w:rFonts w:ascii="Arial" w:hAnsi="Arial" w:cs="Arial"/>
                <w:color w:val="000000" w:themeColor="text1"/>
                <w:sz w:val="22"/>
                <w:szCs w:val="22"/>
              </w:rPr>
            </w:pPr>
          </w:p>
          <w:p w14:paraId="3EFF38F6" w14:textId="77777777" w:rsidR="003B49DB" w:rsidRPr="00511C9B" w:rsidRDefault="003B49DB" w:rsidP="003B49DB">
            <w:pPr>
              <w:suppressAutoHyphens w:val="0"/>
              <w:autoSpaceDE w:val="0"/>
              <w:autoSpaceDN w:val="0"/>
              <w:adjustRightInd w:val="0"/>
              <w:rPr>
                <w:rFonts w:ascii="Arial" w:hAnsi="Arial" w:cs="Arial"/>
                <w:color w:val="000000" w:themeColor="text1"/>
                <w:sz w:val="22"/>
                <w:szCs w:val="22"/>
              </w:rPr>
            </w:pPr>
          </w:p>
          <w:p w14:paraId="6038FD5F" w14:textId="77777777" w:rsidR="003B49DB" w:rsidRPr="00511C9B" w:rsidRDefault="003B49DB" w:rsidP="003B49DB">
            <w:pPr>
              <w:suppressAutoHyphens w:val="0"/>
              <w:autoSpaceDE w:val="0"/>
              <w:autoSpaceDN w:val="0"/>
              <w:adjustRightInd w:val="0"/>
              <w:rPr>
                <w:rFonts w:ascii="Arial" w:hAnsi="Arial" w:cs="Arial"/>
                <w:color w:val="000000" w:themeColor="text1"/>
                <w:sz w:val="22"/>
                <w:szCs w:val="22"/>
              </w:rPr>
            </w:pPr>
          </w:p>
          <w:p w14:paraId="055D14B6" w14:textId="77777777" w:rsidR="003B49DB" w:rsidRPr="00511C9B" w:rsidRDefault="003B49DB" w:rsidP="003B49DB">
            <w:pPr>
              <w:suppressAutoHyphens w:val="0"/>
              <w:autoSpaceDE w:val="0"/>
              <w:autoSpaceDN w:val="0"/>
              <w:adjustRightInd w:val="0"/>
              <w:rPr>
                <w:rFonts w:ascii="Arial" w:hAnsi="Arial" w:cs="Arial"/>
                <w:color w:val="000000" w:themeColor="text1"/>
                <w:sz w:val="22"/>
                <w:szCs w:val="22"/>
              </w:rPr>
            </w:pPr>
          </w:p>
          <w:p w14:paraId="5EF02C82" w14:textId="77777777" w:rsidR="003B49DB" w:rsidRPr="00511C9B" w:rsidRDefault="003B49DB" w:rsidP="003B49DB">
            <w:pPr>
              <w:suppressAutoHyphens w:val="0"/>
              <w:autoSpaceDE w:val="0"/>
              <w:autoSpaceDN w:val="0"/>
              <w:adjustRightInd w:val="0"/>
              <w:rPr>
                <w:rFonts w:ascii="Arial" w:hAnsi="Arial" w:cs="Arial"/>
                <w:color w:val="000000" w:themeColor="text1"/>
                <w:sz w:val="22"/>
                <w:szCs w:val="22"/>
              </w:rPr>
            </w:pPr>
          </w:p>
          <w:p w14:paraId="3EE85F61" w14:textId="77777777" w:rsidR="003B49DB" w:rsidRPr="00511C9B" w:rsidRDefault="003B49DB" w:rsidP="003B49DB">
            <w:pPr>
              <w:suppressAutoHyphens w:val="0"/>
              <w:autoSpaceDE w:val="0"/>
              <w:autoSpaceDN w:val="0"/>
              <w:adjustRightInd w:val="0"/>
              <w:rPr>
                <w:rFonts w:ascii="Arial" w:hAnsi="Arial" w:cs="Arial"/>
                <w:color w:val="000000" w:themeColor="text1"/>
                <w:sz w:val="22"/>
                <w:szCs w:val="22"/>
              </w:rPr>
            </w:pPr>
            <w:r w:rsidRPr="00511C9B">
              <w:rPr>
                <w:color w:val="000000" w:themeColor="text1"/>
                <w:sz w:val="22"/>
                <w:szCs w:val="22"/>
              </w:rPr>
              <w:t>.................................................</w:t>
            </w:r>
          </w:p>
          <w:p w14:paraId="739FD225" w14:textId="77777777" w:rsidR="003B49DB" w:rsidRPr="00511C9B" w:rsidRDefault="003B49DB" w:rsidP="003B49DB">
            <w:pPr>
              <w:suppressAutoHyphens w:val="0"/>
              <w:autoSpaceDE w:val="0"/>
              <w:autoSpaceDN w:val="0"/>
              <w:adjustRightInd w:val="0"/>
              <w:rPr>
                <w:rFonts w:ascii="Arial" w:hAnsi="Arial" w:cs="Arial"/>
                <w:color w:val="000000" w:themeColor="text1"/>
                <w:sz w:val="22"/>
                <w:szCs w:val="22"/>
              </w:rPr>
            </w:pPr>
            <w:r w:rsidRPr="00511C9B">
              <w:rPr>
                <w:rFonts w:ascii="Arial" w:hAnsi="Arial" w:cs="Arial"/>
                <w:color w:val="000000" w:themeColor="text1"/>
                <w:sz w:val="22"/>
                <w:szCs w:val="22"/>
              </w:rPr>
              <w:t>NETGAS, s.r.o.</w:t>
            </w:r>
          </w:p>
          <w:p w14:paraId="2D94F8AC" w14:textId="77777777" w:rsidR="00D928BA" w:rsidRPr="00511C9B" w:rsidRDefault="00D928BA" w:rsidP="003B49DB">
            <w:pPr>
              <w:suppressAutoHyphens w:val="0"/>
              <w:autoSpaceDE w:val="0"/>
              <w:autoSpaceDN w:val="0"/>
              <w:adjustRightInd w:val="0"/>
              <w:rPr>
                <w:rFonts w:ascii="Arial" w:hAnsi="Arial" w:cs="Arial"/>
                <w:color w:val="000000" w:themeColor="text1"/>
                <w:sz w:val="22"/>
                <w:szCs w:val="22"/>
              </w:rPr>
            </w:pPr>
            <w:r w:rsidRPr="00511C9B">
              <w:rPr>
                <w:rFonts w:ascii="Arial" w:eastAsia="MS Mincho" w:hAnsi="Arial" w:cs="Arial"/>
                <w:color w:val="000000" w:themeColor="text1"/>
                <w:szCs w:val="22"/>
              </w:rPr>
              <w:t>Ing. Jan Martinec</w:t>
            </w:r>
            <w:r w:rsidRPr="00511C9B">
              <w:rPr>
                <w:rFonts w:ascii="Arial" w:hAnsi="Arial" w:cs="Arial"/>
                <w:color w:val="000000" w:themeColor="text1"/>
                <w:sz w:val="22"/>
                <w:szCs w:val="22"/>
              </w:rPr>
              <w:t xml:space="preserve"> </w:t>
            </w:r>
          </w:p>
          <w:p w14:paraId="22FEEFAA" w14:textId="3AC95A4E" w:rsidR="003B49DB" w:rsidRPr="00511C9B" w:rsidRDefault="00D928BA" w:rsidP="003B49DB">
            <w:pPr>
              <w:suppressAutoHyphens w:val="0"/>
              <w:autoSpaceDE w:val="0"/>
              <w:autoSpaceDN w:val="0"/>
              <w:adjustRightInd w:val="0"/>
              <w:rPr>
                <w:rFonts w:ascii="Arial" w:hAnsi="Arial" w:cs="Arial"/>
                <w:color w:val="000000" w:themeColor="text1"/>
                <w:sz w:val="22"/>
                <w:szCs w:val="22"/>
              </w:rPr>
            </w:pPr>
            <w:r w:rsidRPr="00511C9B">
              <w:rPr>
                <w:rFonts w:ascii="Arial" w:hAnsi="Arial" w:cs="Arial"/>
                <w:color w:val="000000" w:themeColor="text1"/>
                <w:sz w:val="22"/>
                <w:szCs w:val="22"/>
              </w:rPr>
              <w:t>prokurista</w:t>
            </w:r>
          </w:p>
          <w:p w14:paraId="293D040E" w14:textId="77777777" w:rsidR="003B49DB" w:rsidRPr="00511C9B" w:rsidRDefault="003B49DB" w:rsidP="003B49DB">
            <w:pPr>
              <w:suppressAutoHyphens w:val="0"/>
              <w:autoSpaceDE w:val="0"/>
              <w:autoSpaceDN w:val="0"/>
              <w:adjustRightInd w:val="0"/>
              <w:rPr>
                <w:rFonts w:ascii="Arial" w:hAnsi="Arial" w:cs="Arial"/>
                <w:color w:val="000000" w:themeColor="text1"/>
                <w:sz w:val="22"/>
                <w:szCs w:val="22"/>
              </w:rPr>
            </w:pPr>
          </w:p>
          <w:p w14:paraId="24D168E0" w14:textId="77777777" w:rsidR="003B49DB" w:rsidRPr="00511C9B" w:rsidRDefault="003B49DB" w:rsidP="003B49DB">
            <w:pPr>
              <w:suppressAutoHyphens w:val="0"/>
              <w:autoSpaceDE w:val="0"/>
              <w:autoSpaceDN w:val="0"/>
              <w:adjustRightInd w:val="0"/>
              <w:rPr>
                <w:color w:val="000000" w:themeColor="text1"/>
                <w:sz w:val="22"/>
                <w:szCs w:val="22"/>
              </w:rPr>
            </w:pPr>
          </w:p>
          <w:p w14:paraId="10B12069" w14:textId="77777777" w:rsidR="003B49DB" w:rsidRPr="00511C9B" w:rsidRDefault="003B49DB" w:rsidP="003B49DB">
            <w:pPr>
              <w:suppressAutoHyphens w:val="0"/>
              <w:autoSpaceDE w:val="0"/>
              <w:autoSpaceDN w:val="0"/>
              <w:adjustRightInd w:val="0"/>
              <w:rPr>
                <w:rFonts w:ascii="Arial" w:hAnsi="Arial" w:cs="Arial"/>
                <w:color w:val="000000" w:themeColor="text1"/>
                <w:sz w:val="22"/>
                <w:szCs w:val="22"/>
              </w:rPr>
            </w:pPr>
          </w:p>
          <w:p w14:paraId="24D926A0" w14:textId="1183B043" w:rsidR="003B49DB" w:rsidRPr="00511C9B" w:rsidRDefault="003B49DB" w:rsidP="003B49DB">
            <w:pPr>
              <w:suppressAutoHyphens w:val="0"/>
              <w:autoSpaceDE w:val="0"/>
              <w:autoSpaceDN w:val="0"/>
              <w:adjustRightInd w:val="0"/>
              <w:rPr>
                <w:rFonts w:ascii="Arial" w:hAnsi="Arial" w:cs="Arial"/>
                <w:color w:val="000000" w:themeColor="text1"/>
                <w:sz w:val="22"/>
                <w:szCs w:val="22"/>
              </w:rPr>
            </w:pPr>
          </w:p>
        </w:tc>
      </w:tr>
      <w:tr w:rsidR="003B49DB" w:rsidRPr="003B49DB" w14:paraId="5DAF195E" w14:textId="77777777" w:rsidTr="003B49DB">
        <w:tc>
          <w:tcPr>
            <w:tcW w:w="4888" w:type="dxa"/>
            <w:shd w:val="clear" w:color="auto" w:fill="auto"/>
          </w:tcPr>
          <w:p w14:paraId="7635171C" w14:textId="77777777" w:rsidR="003B49DB" w:rsidRPr="003B49DB" w:rsidRDefault="003B49DB" w:rsidP="003B49DB">
            <w:pPr>
              <w:pStyle w:val="VnitrniText"/>
              <w:ind w:firstLine="0"/>
              <w:rPr>
                <w:sz w:val="22"/>
                <w:szCs w:val="22"/>
              </w:rPr>
            </w:pPr>
          </w:p>
          <w:p w14:paraId="6DC48B80" w14:textId="77777777" w:rsidR="003B49DB" w:rsidRPr="003B49DB" w:rsidRDefault="003B49DB" w:rsidP="003B49DB">
            <w:pPr>
              <w:pStyle w:val="VnitrniText"/>
              <w:ind w:firstLine="0"/>
              <w:rPr>
                <w:sz w:val="22"/>
                <w:szCs w:val="22"/>
              </w:rPr>
            </w:pPr>
          </w:p>
          <w:p w14:paraId="0837D4FE" w14:textId="77777777" w:rsidR="003B49DB" w:rsidRPr="003B49DB" w:rsidRDefault="003B49DB" w:rsidP="003B49DB">
            <w:pPr>
              <w:suppressAutoHyphens w:val="0"/>
              <w:autoSpaceDE w:val="0"/>
              <w:autoSpaceDN w:val="0"/>
              <w:adjustRightInd w:val="0"/>
              <w:rPr>
                <w:rFonts w:ascii="Arial" w:hAnsi="Arial" w:cs="Arial"/>
                <w:sz w:val="22"/>
                <w:szCs w:val="22"/>
              </w:rPr>
            </w:pPr>
          </w:p>
        </w:tc>
        <w:tc>
          <w:tcPr>
            <w:tcW w:w="4889" w:type="dxa"/>
            <w:shd w:val="clear" w:color="auto" w:fill="auto"/>
          </w:tcPr>
          <w:p w14:paraId="60F2CCFE" w14:textId="282890EE" w:rsidR="003B49DB" w:rsidRPr="003B49DB" w:rsidRDefault="003B49DB" w:rsidP="003B49DB">
            <w:pPr>
              <w:suppressAutoHyphens w:val="0"/>
              <w:autoSpaceDE w:val="0"/>
              <w:autoSpaceDN w:val="0"/>
              <w:adjustRightInd w:val="0"/>
              <w:rPr>
                <w:rFonts w:ascii="Arial" w:hAnsi="Arial" w:cs="Arial"/>
                <w:sz w:val="22"/>
                <w:szCs w:val="22"/>
              </w:rPr>
            </w:pPr>
          </w:p>
        </w:tc>
      </w:tr>
    </w:tbl>
    <w:p w14:paraId="7A25F276" w14:textId="77777777" w:rsidR="003B49DB" w:rsidRPr="00A2149C" w:rsidRDefault="003B49DB" w:rsidP="00D928BA">
      <w:pPr>
        <w:pStyle w:val="VnitrniText"/>
        <w:ind w:firstLine="0"/>
        <w:rPr>
          <w:sz w:val="22"/>
          <w:szCs w:val="22"/>
        </w:rPr>
      </w:pPr>
    </w:p>
    <w:p w14:paraId="1CE28648" w14:textId="77777777" w:rsidR="00722C9B" w:rsidRPr="00A2149C" w:rsidRDefault="00722C9B" w:rsidP="000B0AA7">
      <w:pPr>
        <w:pStyle w:val="VnitrniText"/>
        <w:ind w:firstLine="0"/>
        <w:rPr>
          <w:sz w:val="22"/>
          <w:szCs w:val="22"/>
        </w:rPr>
      </w:pPr>
    </w:p>
    <w:p w14:paraId="39462D48"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5443F4AD" w14:textId="77777777" w:rsidR="00E61F91" w:rsidRPr="00A2149C" w:rsidRDefault="00E61F91" w:rsidP="000B0AA7">
      <w:pPr>
        <w:pStyle w:val="VnitrniText"/>
        <w:ind w:firstLine="0"/>
        <w:rPr>
          <w:sz w:val="22"/>
          <w:szCs w:val="22"/>
        </w:rPr>
      </w:pPr>
    </w:p>
    <w:p w14:paraId="4E0E82AA"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1DB78A3A" w14:textId="77777777" w:rsidR="00E61F91" w:rsidRPr="00A2149C" w:rsidRDefault="00E61F91" w:rsidP="000B0AA7">
      <w:pPr>
        <w:pStyle w:val="VnitrniText"/>
        <w:ind w:firstLine="0"/>
        <w:rPr>
          <w:sz w:val="22"/>
          <w:szCs w:val="22"/>
        </w:rPr>
      </w:pPr>
    </w:p>
    <w:p w14:paraId="253E9E13" w14:textId="77777777" w:rsidR="003307CF" w:rsidRPr="00A2149C" w:rsidRDefault="003307CF" w:rsidP="000B0AA7">
      <w:pPr>
        <w:pStyle w:val="VnitrniText"/>
        <w:ind w:firstLine="0"/>
        <w:rPr>
          <w:sz w:val="22"/>
          <w:szCs w:val="22"/>
        </w:rPr>
      </w:pPr>
      <w:r w:rsidRPr="00A2149C">
        <w:rPr>
          <w:sz w:val="22"/>
          <w:szCs w:val="22"/>
        </w:rPr>
        <w:t xml:space="preserve">ID smlouvy ……………………………... </w:t>
      </w:r>
    </w:p>
    <w:p w14:paraId="6E4311EC" w14:textId="77777777" w:rsidR="00E61F91" w:rsidRPr="00A2149C" w:rsidRDefault="00E61F91" w:rsidP="000B0AA7">
      <w:pPr>
        <w:pStyle w:val="VnitrniText"/>
        <w:ind w:firstLine="0"/>
        <w:rPr>
          <w:sz w:val="22"/>
          <w:szCs w:val="22"/>
        </w:rPr>
      </w:pPr>
    </w:p>
    <w:p w14:paraId="1E136E77"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6A819C13" w14:textId="77777777" w:rsidR="00EB1964" w:rsidRPr="00EB1964" w:rsidRDefault="00EB1964" w:rsidP="000B0AA7">
      <w:pPr>
        <w:pStyle w:val="VnitrniText"/>
        <w:ind w:firstLine="0"/>
        <w:rPr>
          <w:sz w:val="22"/>
          <w:szCs w:val="22"/>
        </w:rPr>
      </w:pPr>
    </w:p>
    <w:p w14:paraId="094D84BC" w14:textId="77777777"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7DE9CF20" w14:textId="77777777" w:rsidR="00CC1097" w:rsidRPr="00A2149C" w:rsidRDefault="00CC1097" w:rsidP="000B0AA7">
      <w:pPr>
        <w:pStyle w:val="VnitrniText"/>
        <w:ind w:firstLine="0"/>
        <w:rPr>
          <w:sz w:val="22"/>
          <w:szCs w:val="22"/>
        </w:rPr>
      </w:pPr>
    </w:p>
    <w:p w14:paraId="0DBBECA0" w14:textId="77777777"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542FF6DA" w14:textId="62DBA982" w:rsidR="007C2D30" w:rsidRPr="00A2149C" w:rsidRDefault="00E61F91" w:rsidP="003B49DB">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sectPr w:rsidR="007C2D30" w:rsidRPr="00A2149C"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C26F" w14:textId="77777777" w:rsidR="003B49DB" w:rsidRDefault="003B49DB">
      <w:r>
        <w:separator/>
      </w:r>
    </w:p>
  </w:endnote>
  <w:endnote w:type="continuationSeparator" w:id="0">
    <w:p w14:paraId="70DAD71F" w14:textId="77777777" w:rsidR="003B49DB" w:rsidRDefault="003B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48DB" w14:textId="77777777" w:rsidR="003B49DB" w:rsidRDefault="003B49DB">
    <w:pPr>
      <w:pStyle w:val="Zpat"/>
      <w:jc w:val="center"/>
    </w:pPr>
    <w:r>
      <w:fldChar w:fldCharType="begin"/>
    </w:r>
    <w:r>
      <w:instrText>PAGE   \* MERGEFORMAT</w:instrText>
    </w:r>
    <w:r>
      <w:fldChar w:fldCharType="separate"/>
    </w:r>
    <w:r>
      <w:t>2</w:t>
    </w:r>
    <w:r>
      <w:fldChar w:fldCharType="end"/>
    </w:r>
  </w:p>
  <w:p w14:paraId="2217FF17" w14:textId="77777777" w:rsidR="003B49DB" w:rsidRDefault="003B49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EC40" w14:textId="77777777" w:rsidR="003B49DB" w:rsidRDefault="003B49DB">
      <w:r>
        <w:separator/>
      </w:r>
    </w:p>
  </w:footnote>
  <w:footnote w:type="continuationSeparator" w:id="0">
    <w:p w14:paraId="1175547F" w14:textId="77777777" w:rsidR="003B49DB" w:rsidRDefault="003B4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33A44F56"/>
    <w:multiLevelType w:val="hybridMultilevel"/>
    <w:tmpl w:val="3D961CB6"/>
    <w:lvl w:ilvl="0" w:tplc="265862D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1AE6EFB"/>
    <w:multiLevelType w:val="hybridMultilevel"/>
    <w:tmpl w:val="AD5408C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8"/>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187F"/>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49DB"/>
    <w:rsid w:val="003B7D4F"/>
    <w:rsid w:val="003C1452"/>
    <w:rsid w:val="003C3CC3"/>
    <w:rsid w:val="003C4278"/>
    <w:rsid w:val="003D2D95"/>
    <w:rsid w:val="003D4F2E"/>
    <w:rsid w:val="003D6A83"/>
    <w:rsid w:val="003E25AA"/>
    <w:rsid w:val="003E5100"/>
    <w:rsid w:val="003F56C5"/>
    <w:rsid w:val="003F7E80"/>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11C9B"/>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59B2"/>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5C74"/>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571"/>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8BA"/>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1222D"/>
  <w14:defaultImageDpi w14:val="0"/>
  <w15:docId w15:val="{7506EB54-C0E9-44FE-840B-075B4160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link w:val="Zkladntext"/>
    <w:uiPriority w:val="99"/>
    <w:locked/>
    <w:rsid w:val="001210FA"/>
    <w:rPr>
      <w:rFonts w:cs="Times New Roman"/>
      <w:sz w:val="22"/>
      <w:lang w:val="x-none" w:eastAsia="ar-SA" w:bidi="ar-SA"/>
    </w:rPr>
  </w:style>
  <w:style w:type="character" w:styleId="Hypertextovodkaz">
    <w:name w:val="Hyperlink"/>
    <w:uiPriority w:val="99"/>
    <w:rsid w:val="00C916FA"/>
    <w:rPr>
      <w:rFonts w:cs="Times New Roman"/>
      <w:color w:val="0000FF"/>
      <w:u w:val="single"/>
    </w:rPr>
  </w:style>
  <w:style w:type="paragraph" w:styleId="Zhlav">
    <w:name w:val="header"/>
    <w:basedOn w:val="Normln"/>
    <w:link w:val="ZhlavChar"/>
    <w:uiPriority w:val="99"/>
    <w:rsid w:val="003B49DB"/>
    <w:pPr>
      <w:tabs>
        <w:tab w:val="center" w:pos="4536"/>
        <w:tab w:val="right" w:pos="9072"/>
      </w:tabs>
    </w:pPr>
  </w:style>
  <w:style w:type="character" w:customStyle="1" w:styleId="ZhlavChar">
    <w:name w:val="Záhlaví Char"/>
    <w:link w:val="Zhlav"/>
    <w:uiPriority w:val="99"/>
    <w:rsid w:val="003B49DB"/>
    <w:rPr>
      <w:sz w:val="24"/>
      <w:szCs w:val="24"/>
      <w:lang w:eastAsia="ar-SA"/>
    </w:rPr>
  </w:style>
  <w:style w:type="paragraph" w:styleId="Zpat">
    <w:name w:val="footer"/>
    <w:basedOn w:val="Normln"/>
    <w:link w:val="ZpatChar"/>
    <w:uiPriority w:val="99"/>
    <w:rsid w:val="003B49DB"/>
    <w:pPr>
      <w:tabs>
        <w:tab w:val="center" w:pos="4536"/>
        <w:tab w:val="right" w:pos="9072"/>
      </w:tabs>
    </w:pPr>
  </w:style>
  <w:style w:type="character" w:customStyle="1" w:styleId="ZpatChar">
    <w:name w:val="Zápatí Char"/>
    <w:link w:val="Zpat"/>
    <w:uiPriority w:val="99"/>
    <w:rsid w:val="003B49DB"/>
    <w:rPr>
      <w:sz w:val="24"/>
      <w:szCs w:val="24"/>
      <w:lang w:eastAsia="ar-SA"/>
    </w:rPr>
  </w:style>
  <w:style w:type="paragraph" w:styleId="Textbubliny">
    <w:name w:val="Balloon Text"/>
    <w:basedOn w:val="Normln"/>
    <w:link w:val="TextbublinyChar"/>
    <w:rsid w:val="008F5C74"/>
    <w:pPr>
      <w:suppressAutoHyphens w:val="0"/>
    </w:pPr>
    <w:rPr>
      <w:rFonts w:ascii="Tahoma" w:hAnsi="Tahoma"/>
      <w:sz w:val="16"/>
      <w:szCs w:val="16"/>
      <w:lang w:eastAsia="cs-CZ"/>
    </w:rPr>
  </w:style>
  <w:style w:type="character" w:customStyle="1" w:styleId="TextbublinyChar">
    <w:name w:val="Text bubliny Char"/>
    <w:basedOn w:val="Standardnpsmoodstavce"/>
    <w:link w:val="Textbubliny"/>
    <w:rsid w:val="008F5C74"/>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344">
      <w:marLeft w:val="0"/>
      <w:marRight w:val="0"/>
      <w:marTop w:val="0"/>
      <w:marBottom w:val="0"/>
      <w:divBdr>
        <w:top w:val="none" w:sz="0" w:space="0" w:color="auto"/>
        <w:left w:val="none" w:sz="0" w:space="0" w:color="auto"/>
        <w:bottom w:val="none" w:sz="0" w:space="0" w:color="auto"/>
        <w:right w:val="none" w:sz="0" w:space="0" w:color="auto"/>
      </w:divBdr>
    </w:div>
    <w:div w:id="7996345">
      <w:marLeft w:val="0"/>
      <w:marRight w:val="0"/>
      <w:marTop w:val="0"/>
      <w:marBottom w:val="0"/>
      <w:divBdr>
        <w:top w:val="none" w:sz="0" w:space="0" w:color="auto"/>
        <w:left w:val="none" w:sz="0" w:space="0" w:color="auto"/>
        <w:bottom w:val="none" w:sz="0" w:space="0" w:color="auto"/>
        <w:right w:val="none" w:sz="0" w:space="0" w:color="auto"/>
      </w:divBdr>
    </w:div>
    <w:div w:id="7996346">
      <w:marLeft w:val="0"/>
      <w:marRight w:val="0"/>
      <w:marTop w:val="0"/>
      <w:marBottom w:val="0"/>
      <w:divBdr>
        <w:top w:val="none" w:sz="0" w:space="0" w:color="auto"/>
        <w:left w:val="none" w:sz="0" w:space="0" w:color="auto"/>
        <w:bottom w:val="none" w:sz="0" w:space="0" w:color="auto"/>
        <w:right w:val="none" w:sz="0" w:space="0" w:color="auto"/>
      </w:divBdr>
    </w:div>
    <w:div w:id="7996347">
      <w:marLeft w:val="0"/>
      <w:marRight w:val="0"/>
      <w:marTop w:val="0"/>
      <w:marBottom w:val="0"/>
      <w:divBdr>
        <w:top w:val="none" w:sz="0" w:space="0" w:color="auto"/>
        <w:left w:val="none" w:sz="0" w:space="0" w:color="auto"/>
        <w:bottom w:val="none" w:sz="0" w:space="0" w:color="auto"/>
        <w:right w:val="none" w:sz="0" w:space="0" w:color="auto"/>
      </w:divBdr>
    </w:div>
    <w:div w:id="7996348">
      <w:marLeft w:val="0"/>
      <w:marRight w:val="0"/>
      <w:marTop w:val="0"/>
      <w:marBottom w:val="0"/>
      <w:divBdr>
        <w:top w:val="none" w:sz="0" w:space="0" w:color="auto"/>
        <w:left w:val="none" w:sz="0" w:space="0" w:color="auto"/>
        <w:bottom w:val="none" w:sz="0" w:space="0" w:color="auto"/>
        <w:right w:val="none" w:sz="0" w:space="0" w:color="auto"/>
      </w:divBdr>
    </w:div>
    <w:div w:id="7996349">
      <w:marLeft w:val="0"/>
      <w:marRight w:val="0"/>
      <w:marTop w:val="0"/>
      <w:marBottom w:val="0"/>
      <w:divBdr>
        <w:top w:val="none" w:sz="0" w:space="0" w:color="auto"/>
        <w:left w:val="none" w:sz="0" w:space="0" w:color="auto"/>
        <w:bottom w:val="none" w:sz="0" w:space="0" w:color="auto"/>
        <w:right w:val="none" w:sz="0" w:space="0" w:color="auto"/>
      </w:divBdr>
    </w:div>
    <w:div w:id="7996350">
      <w:marLeft w:val="0"/>
      <w:marRight w:val="0"/>
      <w:marTop w:val="0"/>
      <w:marBottom w:val="0"/>
      <w:divBdr>
        <w:top w:val="none" w:sz="0" w:space="0" w:color="auto"/>
        <w:left w:val="none" w:sz="0" w:space="0" w:color="auto"/>
        <w:bottom w:val="none" w:sz="0" w:space="0" w:color="auto"/>
        <w:right w:val="none" w:sz="0" w:space="0" w:color="auto"/>
      </w:divBdr>
    </w:div>
    <w:div w:id="7996351">
      <w:marLeft w:val="0"/>
      <w:marRight w:val="0"/>
      <w:marTop w:val="0"/>
      <w:marBottom w:val="0"/>
      <w:divBdr>
        <w:top w:val="none" w:sz="0" w:space="0" w:color="auto"/>
        <w:left w:val="none" w:sz="0" w:space="0" w:color="auto"/>
        <w:bottom w:val="none" w:sz="0" w:space="0" w:color="auto"/>
        <w:right w:val="none" w:sz="0" w:space="0" w:color="auto"/>
      </w:divBdr>
    </w:div>
    <w:div w:id="7996352">
      <w:marLeft w:val="0"/>
      <w:marRight w:val="0"/>
      <w:marTop w:val="0"/>
      <w:marBottom w:val="0"/>
      <w:divBdr>
        <w:top w:val="none" w:sz="0" w:space="0" w:color="auto"/>
        <w:left w:val="none" w:sz="0" w:space="0" w:color="auto"/>
        <w:bottom w:val="none" w:sz="0" w:space="0" w:color="auto"/>
        <w:right w:val="none" w:sz="0" w:space="0" w:color="auto"/>
      </w:divBdr>
    </w:div>
    <w:div w:id="7996353">
      <w:marLeft w:val="0"/>
      <w:marRight w:val="0"/>
      <w:marTop w:val="0"/>
      <w:marBottom w:val="0"/>
      <w:divBdr>
        <w:top w:val="none" w:sz="0" w:space="0" w:color="auto"/>
        <w:left w:val="none" w:sz="0" w:space="0" w:color="auto"/>
        <w:bottom w:val="none" w:sz="0" w:space="0" w:color="auto"/>
        <w:right w:val="none" w:sz="0" w:space="0" w:color="auto"/>
      </w:divBdr>
    </w:div>
    <w:div w:id="7996354">
      <w:marLeft w:val="0"/>
      <w:marRight w:val="0"/>
      <w:marTop w:val="0"/>
      <w:marBottom w:val="0"/>
      <w:divBdr>
        <w:top w:val="none" w:sz="0" w:space="0" w:color="auto"/>
        <w:left w:val="none" w:sz="0" w:space="0" w:color="auto"/>
        <w:bottom w:val="none" w:sz="0" w:space="0" w:color="auto"/>
        <w:right w:val="none" w:sz="0" w:space="0" w:color="auto"/>
      </w:divBdr>
    </w:div>
    <w:div w:id="7996355">
      <w:marLeft w:val="0"/>
      <w:marRight w:val="0"/>
      <w:marTop w:val="0"/>
      <w:marBottom w:val="0"/>
      <w:divBdr>
        <w:top w:val="none" w:sz="0" w:space="0" w:color="auto"/>
        <w:left w:val="none" w:sz="0" w:space="0" w:color="auto"/>
        <w:bottom w:val="none" w:sz="0" w:space="0" w:color="auto"/>
        <w:right w:val="none" w:sz="0" w:space="0" w:color="auto"/>
      </w:divBdr>
    </w:div>
    <w:div w:id="7996356">
      <w:marLeft w:val="0"/>
      <w:marRight w:val="0"/>
      <w:marTop w:val="0"/>
      <w:marBottom w:val="0"/>
      <w:divBdr>
        <w:top w:val="none" w:sz="0" w:space="0" w:color="auto"/>
        <w:left w:val="none" w:sz="0" w:space="0" w:color="auto"/>
        <w:bottom w:val="none" w:sz="0" w:space="0" w:color="auto"/>
        <w:right w:val="none" w:sz="0" w:space="0" w:color="auto"/>
      </w:divBdr>
    </w:div>
    <w:div w:id="7996357">
      <w:marLeft w:val="0"/>
      <w:marRight w:val="0"/>
      <w:marTop w:val="0"/>
      <w:marBottom w:val="0"/>
      <w:divBdr>
        <w:top w:val="none" w:sz="0" w:space="0" w:color="auto"/>
        <w:left w:val="none" w:sz="0" w:space="0" w:color="auto"/>
        <w:bottom w:val="none" w:sz="0" w:space="0" w:color="auto"/>
        <w:right w:val="none" w:sz="0" w:space="0" w:color="auto"/>
      </w:divBdr>
    </w:div>
    <w:div w:id="7996358">
      <w:marLeft w:val="0"/>
      <w:marRight w:val="0"/>
      <w:marTop w:val="0"/>
      <w:marBottom w:val="0"/>
      <w:divBdr>
        <w:top w:val="none" w:sz="0" w:space="0" w:color="auto"/>
        <w:left w:val="none" w:sz="0" w:space="0" w:color="auto"/>
        <w:bottom w:val="none" w:sz="0" w:space="0" w:color="auto"/>
        <w:right w:val="none" w:sz="0" w:space="0" w:color="auto"/>
      </w:divBdr>
    </w:div>
    <w:div w:id="7996359">
      <w:marLeft w:val="0"/>
      <w:marRight w:val="0"/>
      <w:marTop w:val="0"/>
      <w:marBottom w:val="0"/>
      <w:divBdr>
        <w:top w:val="none" w:sz="0" w:space="0" w:color="auto"/>
        <w:left w:val="none" w:sz="0" w:space="0" w:color="auto"/>
        <w:bottom w:val="none" w:sz="0" w:space="0" w:color="auto"/>
        <w:right w:val="none" w:sz="0" w:space="0" w:color="auto"/>
      </w:divBdr>
    </w:div>
    <w:div w:id="7996360">
      <w:marLeft w:val="0"/>
      <w:marRight w:val="0"/>
      <w:marTop w:val="0"/>
      <w:marBottom w:val="0"/>
      <w:divBdr>
        <w:top w:val="none" w:sz="0" w:space="0" w:color="auto"/>
        <w:left w:val="none" w:sz="0" w:space="0" w:color="auto"/>
        <w:bottom w:val="none" w:sz="0" w:space="0" w:color="auto"/>
        <w:right w:val="none" w:sz="0" w:space="0" w:color="auto"/>
      </w:divBdr>
    </w:div>
    <w:div w:id="7996361">
      <w:marLeft w:val="0"/>
      <w:marRight w:val="0"/>
      <w:marTop w:val="0"/>
      <w:marBottom w:val="0"/>
      <w:divBdr>
        <w:top w:val="none" w:sz="0" w:space="0" w:color="auto"/>
        <w:left w:val="none" w:sz="0" w:space="0" w:color="auto"/>
        <w:bottom w:val="none" w:sz="0" w:space="0" w:color="auto"/>
        <w:right w:val="none" w:sz="0" w:space="0" w:color="auto"/>
      </w:divBdr>
    </w:div>
    <w:div w:id="7996362">
      <w:marLeft w:val="0"/>
      <w:marRight w:val="0"/>
      <w:marTop w:val="0"/>
      <w:marBottom w:val="0"/>
      <w:divBdr>
        <w:top w:val="none" w:sz="0" w:space="0" w:color="auto"/>
        <w:left w:val="none" w:sz="0" w:space="0" w:color="auto"/>
        <w:bottom w:val="none" w:sz="0" w:space="0" w:color="auto"/>
        <w:right w:val="none" w:sz="0" w:space="0" w:color="auto"/>
      </w:divBdr>
    </w:div>
    <w:div w:id="7996363">
      <w:marLeft w:val="0"/>
      <w:marRight w:val="0"/>
      <w:marTop w:val="0"/>
      <w:marBottom w:val="0"/>
      <w:divBdr>
        <w:top w:val="none" w:sz="0" w:space="0" w:color="auto"/>
        <w:left w:val="none" w:sz="0" w:space="0" w:color="auto"/>
        <w:bottom w:val="none" w:sz="0" w:space="0" w:color="auto"/>
        <w:right w:val="none" w:sz="0" w:space="0" w:color="auto"/>
      </w:divBdr>
    </w:div>
    <w:div w:id="7996364">
      <w:marLeft w:val="0"/>
      <w:marRight w:val="0"/>
      <w:marTop w:val="0"/>
      <w:marBottom w:val="0"/>
      <w:divBdr>
        <w:top w:val="none" w:sz="0" w:space="0" w:color="auto"/>
        <w:left w:val="none" w:sz="0" w:space="0" w:color="auto"/>
        <w:bottom w:val="none" w:sz="0" w:space="0" w:color="auto"/>
        <w:right w:val="none" w:sz="0" w:space="0" w:color="auto"/>
      </w:divBdr>
    </w:div>
    <w:div w:id="7996365">
      <w:marLeft w:val="0"/>
      <w:marRight w:val="0"/>
      <w:marTop w:val="0"/>
      <w:marBottom w:val="0"/>
      <w:divBdr>
        <w:top w:val="none" w:sz="0" w:space="0" w:color="auto"/>
        <w:left w:val="none" w:sz="0" w:space="0" w:color="auto"/>
        <w:bottom w:val="none" w:sz="0" w:space="0" w:color="auto"/>
        <w:right w:val="none" w:sz="0" w:space="0" w:color="auto"/>
      </w:divBdr>
    </w:div>
    <w:div w:id="7996366">
      <w:marLeft w:val="0"/>
      <w:marRight w:val="0"/>
      <w:marTop w:val="0"/>
      <w:marBottom w:val="0"/>
      <w:divBdr>
        <w:top w:val="none" w:sz="0" w:space="0" w:color="auto"/>
        <w:left w:val="none" w:sz="0" w:space="0" w:color="auto"/>
        <w:bottom w:val="none" w:sz="0" w:space="0" w:color="auto"/>
        <w:right w:val="none" w:sz="0" w:space="0" w:color="auto"/>
      </w:divBdr>
    </w:div>
    <w:div w:id="206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1351</Words>
  <Characters>8459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Šádek Jan Mgr.</dc:creator>
  <cp:keywords/>
  <dc:description/>
  <cp:lastModifiedBy>Šádek Jan Mgr.</cp:lastModifiedBy>
  <cp:revision>7</cp:revision>
  <cp:lastPrinted>2004-12-15T14:06:00Z</cp:lastPrinted>
  <dcterms:created xsi:type="dcterms:W3CDTF">2022-05-03T07:33:00Z</dcterms:created>
  <dcterms:modified xsi:type="dcterms:W3CDTF">2022-08-08T05:54:00Z</dcterms:modified>
</cp:coreProperties>
</file>