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D53F8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D53F8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834303" w:rsidRPr="00834303">
        <w:rPr>
          <w:sz w:val="24"/>
          <w:szCs w:val="24"/>
        </w:rPr>
        <w:t>30523881/0710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:rsidR="00A66240" w:rsidRPr="00A4494B" w:rsidRDefault="00A66240" w:rsidP="00B46733">
      <w:pPr>
        <w:pStyle w:val="Odstavecseseznamem"/>
        <w:numPr>
          <w:ilvl w:val="0"/>
          <w:numId w:val="41"/>
        </w:numPr>
        <w:suppressAutoHyphens/>
        <w:spacing w:after="0" w:line="100" w:lineRule="atLeast"/>
        <w:ind w:left="120"/>
        <w:contextualSpacing/>
        <w:rPr>
          <w:i/>
          <w:sz w:val="24"/>
          <w:szCs w:val="24"/>
          <w:lang w:eastAsia="zh-CN"/>
        </w:rPr>
      </w:pPr>
      <w:r w:rsidRPr="00A4494B">
        <w:rPr>
          <w:rFonts w:ascii="Times New Roman" w:hAnsi="Times New Roman"/>
          <w:sz w:val="24"/>
          <w:szCs w:val="24"/>
        </w:rPr>
        <w:t>ve věcech technických:</w:t>
      </w:r>
      <w:r w:rsidRPr="00A4494B">
        <w:rPr>
          <w:rFonts w:ascii="Times New Roman" w:hAnsi="Times New Roman"/>
          <w:sz w:val="24"/>
          <w:szCs w:val="24"/>
        </w:rPr>
        <w:tab/>
      </w:r>
      <w:r w:rsidR="006D53F8">
        <w:rPr>
          <w:rFonts w:ascii="Times New Roman" w:hAnsi="Times New Roman"/>
          <w:sz w:val="24"/>
          <w:szCs w:val="24"/>
        </w:rPr>
        <w:t>XXX</w:t>
      </w: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D591D" w:rsidRPr="000E78B0" w:rsidRDefault="000D591D" w:rsidP="000D591D">
      <w:pPr>
        <w:spacing w:before="120" w:after="120" w:line="100" w:lineRule="atLeast"/>
        <w:jc w:val="center"/>
        <w:rPr>
          <w:sz w:val="24"/>
          <w:szCs w:val="24"/>
        </w:rPr>
      </w:pPr>
    </w:p>
    <w:p w:rsidR="00A66240" w:rsidRPr="00834303" w:rsidRDefault="00834303" w:rsidP="00A66240">
      <w:pPr>
        <w:spacing w:line="100" w:lineRule="atLeast"/>
        <w:rPr>
          <w:sz w:val="24"/>
          <w:szCs w:val="24"/>
        </w:rPr>
      </w:pPr>
      <w:r w:rsidRPr="00834303">
        <w:rPr>
          <w:b/>
          <w:sz w:val="24"/>
          <w:szCs w:val="24"/>
        </w:rPr>
        <w:t>TOMIreko, s.r.o.</w:t>
      </w:r>
    </w:p>
    <w:p w:rsidR="00A66240" w:rsidRPr="00834303" w:rsidRDefault="00A66240" w:rsidP="00A66240">
      <w:pPr>
        <w:spacing w:line="100" w:lineRule="atLeast"/>
        <w:rPr>
          <w:sz w:val="24"/>
          <w:szCs w:val="24"/>
        </w:rPr>
      </w:pPr>
      <w:r w:rsidRPr="00834303">
        <w:rPr>
          <w:sz w:val="24"/>
          <w:szCs w:val="24"/>
        </w:rPr>
        <w:t>Sídlo:</w:t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="00834303" w:rsidRPr="00834303">
        <w:rPr>
          <w:sz w:val="24"/>
          <w:szCs w:val="24"/>
        </w:rPr>
        <w:t>Karlovo nám. 48, 674 01 Třebíč</w:t>
      </w:r>
    </w:p>
    <w:p w:rsidR="00A66240" w:rsidRPr="00834303" w:rsidRDefault="00A66240" w:rsidP="00834303">
      <w:pPr>
        <w:spacing w:line="100" w:lineRule="atLeast"/>
        <w:ind w:left="2127" w:right="-850" w:hanging="2127"/>
        <w:rPr>
          <w:sz w:val="24"/>
          <w:szCs w:val="24"/>
        </w:rPr>
      </w:pPr>
      <w:r w:rsidRPr="00834303">
        <w:rPr>
          <w:sz w:val="24"/>
          <w:szCs w:val="24"/>
        </w:rPr>
        <w:t>Zapsaný</w:t>
      </w:r>
      <w:r w:rsidR="003107B0" w:rsidRPr="00834303">
        <w:rPr>
          <w:sz w:val="24"/>
          <w:szCs w:val="24"/>
        </w:rPr>
        <w:t>/á</w:t>
      </w:r>
      <w:r w:rsidRPr="00834303">
        <w:rPr>
          <w:sz w:val="24"/>
          <w:szCs w:val="24"/>
        </w:rPr>
        <w:t>:</w:t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="00834303">
        <w:rPr>
          <w:sz w:val="24"/>
          <w:szCs w:val="24"/>
        </w:rPr>
        <w:t>v obchodním rejstříku u Krajského soudu v Brně, oddíl C, vložka 63551</w:t>
      </w:r>
    </w:p>
    <w:p w:rsidR="00A66240" w:rsidRDefault="00300ADC" w:rsidP="00A66240">
      <w:pPr>
        <w:spacing w:line="100" w:lineRule="atLeast"/>
        <w:rPr>
          <w:sz w:val="24"/>
          <w:szCs w:val="24"/>
        </w:rPr>
      </w:pPr>
      <w:r w:rsidRPr="00834303">
        <w:rPr>
          <w:sz w:val="24"/>
          <w:szCs w:val="24"/>
        </w:rPr>
        <w:t>Zastoupený</w:t>
      </w:r>
      <w:r w:rsidR="003107B0" w:rsidRPr="00834303">
        <w:rPr>
          <w:sz w:val="24"/>
          <w:szCs w:val="24"/>
        </w:rPr>
        <w:t>/á</w:t>
      </w:r>
      <w:r w:rsidR="00A66240" w:rsidRPr="00834303">
        <w:rPr>
          <w:sz w:val="24"/>
          <w:szCs w:val="24"/>
        </w:rPr>
        <w:t>:</w:t>
      </w:r>
      <w:r w:rsidR="00A66240" w:rsidRPr="00834303">
        <w:rPr>
          <w:sz w:val="24"/>
          <w:szCs w:val="24"/>
        </w:rPr>
        <w:tab/>
      </w:r>
      <w:r w:rsidR="00A66240" w:rsidRPr="00834303">
        <w:rPr>
          <w:sz w:val="24"/>
          <w:szCs w:val="24"/>
        </w:rPr>
        <w:tab/>
      </w:r>
      <w:r w:rsidR="00B235B3" w:rsidRPr="00834303">
        <w:rPr>
          <w:sz w:val="24"/>
          <w:szCs w:val="24"/>
        </w:rPr>
        <w:t xml:space="preserve">            </w:t>
      </w:r>
      <w:r w:rsidR="006D53F8">
        <w:rPr>
          <w:sz w:val="24"/>
          <w:szCs w:val="24"/>
        </w:rPr>
        <w:t>XXX</w:t>
      </w:r>
      <w:r w:rsidR="00834303">
        <w:rPr>
          <w:sz w:val="24"/>
          <w:szCs w:val="24"/>
        </w:rPr>
        <w:t>, jednatelem</w:t>
      </w:r>
    </w:p>
    <w:p w:rsidR="00580FDB" w:rsidRPr="00834303" w:rsidRDefault="00580FDB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53F8">
        <w:rPr>
          <w:sz w:val="24"/>
          <w:szCs w:val="24"/>
        </w:rPr>
        <w:t>XXX</w:t>
      </w:r>
      <w:r>
        <w:rPr>
          <w:sz w:val="24"/>
          <w:szCs w:val="24"/>
        </w:rPr>
        <w:t>, jednatelem</w:t>
      </w:r>
    </w:p>
    <w:p w:rsidR="00A66240" w:rsidRPr="00834303" w:rsidRDefault="00A66240" w:rsidP="00A66240">
      <w:pPr>
        <w:spacing w:line="100" w:lineRule="atLeast"/>
        <w:rPr>
          <w:sz w:val="24"/>
          <w:szCs w:val="24"/>
        </w:rPr>
      </w:pPr>
      <w:r w:rsidRPr="00834303">
        <w:rPr>
          <w:sz w:val="24"/>
          <w:szCs w:val="24"/>
        </w:rPr>
        <w:t>IČO:</w:t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="00834303">
        <w:rPr>
          <w:sz w:val="24"/>
          <w:szCs w:val="24"/>
        </w:rPr>
        <w:t>28359216</w:t>
      </w:r>
    </w:p>
    <w:p w:rsidR="00A66240" w:rsidRPr="00834303" w:rsidRDefault="00A66240" w:rsidP="00A66240">
      <w:pPr>
        <w:spacing w:line="100" w:lineRule="atLeast"/>
        <w:rPr>
          <w:sz w:val="24"/>
          <w:szCs w:val="24"/>
        </w:rPr>
      </w:pPr>
      <w:r w:rsidRPr="00834303">
        <w:rPr>
          <w:sz w:val="24"/>
          <w:szCs w:val="24"/>
        </w:rPr>
        <w:t xml:space="preserve">DIČ: </w:t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="00834303">
        <w:rPr>
          <w:sz w:val="24"/>
          <w:szCs w:val="24"/>
        </w:rPr>
        <w:t>CZ28359216</w:t>
      </w:r>
    </w:p>
    <w:p w:rsidR="00A66240" w:rsidRPr="00834303" w:rsidRDefault="00A66240" w:rsidP="00834303">
      <w:pPr>
        <w:spacing w:line="100" w:lineRule="atLeast"/>
        <w:rPr>
          <w:sz w:val="24"/>
          <w:szCs w:val="24"/>
        </w:rPr>
      </w:pPr>
      <w:r w:rsidRPr="00834303">
        <w:rPr>
          <w:sz w:val="24"/>
          <w:szCs w:val="24"/>
        </w:rPr>
        <w:t>ID datové schránky:</w:t>
      </w:r>
      <w:r w:rsidR="00834303">
        <w:rPr>
          <w:sz w:val="24"/>
          <w:szCs w:val="24"/>
        </w:rPr>
        <w:tab/>
      </w:r>
      <w:r w:rsidR="00834303">
        <w:rPr>
          <w:sz w:val="24"/>
          <w:szCs w:val="24"/>
        </w:rPr>
        <w:tab/>
      </w:r>
      <w:proofErr w:type="spellStart"/>
      <w:r w:rsidR="00834303" w:rsidRPr="00834303">
        <w:rPr>
          <w:sz w:val="24"/>
          <w:szCs w:val="24"/>
        </w:rPr>
        <w:t>8y9kcv3</w:t>
      </w:r>
      <w:proofErr w:type="spellEnd"/>
    </w:p>
    <w:p w:rsidR="00A66240" w:rsidRPr="00834303" w:rsidRDefault="00A66240" w:rsidP="00A66240">
      <w:pPr>
        <w:spacing w:line="100" w:lineRule="atLeast"/>
        <w:rPr>
          <w:sz w:val="24"/>
          <w:szCs w:val="24"/>
        </w:rPr>
      </w:pPr>
      <w:r w:rsidRPr="00834303">
        <w:rPr>
          <w:sz w:val="24"/>
          <w:szCs w:val="24"/>
        </w:rPr>
        <w:t>Bankovní spojení:</w:t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="006D53F8">
        <w:rPr>
          <w:sz w:val="24"/>
          <w:szCs w:val="24"/>
        </w:rPr>
        <w:t>XXX</w:t>
      </w:r>
    </w:p>
    <w:p w:rsidR="00A66240" w:rsidRPr="00834303" w:rsidRDefault="00A66240" w:rsidP="00A66240">
      <w:pPr>
        <w:spacing w:line="100" w:lineRule="atLeast"/>
        <w:rPr>
          <w:sz w:val="24"/>
          <w:szCs w:val="24"/>
        </w:rPr>
      </w:pPr>
      <w:r w:rsidRPr="00834303">
        <w:rPr>
          <w:sz w:val="24"/>
          <w:szCs w:val="24"/>
        </w:rPr>
        <w:t>Číslo účtu:</w:t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Pr="00834303">
        <w:rPr>
          <w:sz w:val="24"/>
          <w:szCs w:val="24"/>
        </w:rPr>
        <w:tab/>
      </w:r>
      <w:r w:rsidR="006D53F8">
        <w:rPr>
          <w:sz w:val="24"/>
          <w:szCs w:val="24"/>
        </w:rPr>
        <w:t>XXX</w:t>
      </w:r>
    </w:p>
    <w:p w:rsidR="00A66240" w:rsidRPr="00834303" w:rsidRDefault="00A66240" w:rsidP="00A66240">
      <w:pPr>
        <w:spacing w:line="100" w:lineRule="atLeast"/>
        <w:jc w:val="both"/>
        <w:rPr>
          <w:sz w:val="24"/>
          <w:szCs w:val="24"/>
        </w:rPr>
      </w:pPr>
      <w:r w:rsidRPr="00834303">
        <w:rPr>
          <w:sz w:val="24"/>
          <w:szCs w:val="24"/>
        </w:rPr>
        <w:t>Oprávněn jednat:</w:t>
      </w:r>
      <w:r w:rsidRPr="00834303">
        <w:rPr>
          <w:sz w:val="24"/>
          <w:szCs w:val="24"/>
        </w:rPr>
        <w:tab/>
      </w:r>
    </w:p>
    <w:p w:rsidR="00580FDB" w:rsidRPr="00834303" w:rsidRDefault="00A66240" w:rsidP="006D53F8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34303">
        <w:rPr>
          <w:rFonts w:ascii="Times New Roman" w:hAnsi="Times New Roman"/>
          <w:sz w:val="24"/>
          <w:szCs w:val="24"/>
        </w:rPr>
        <w:t>ve věcech smluvních:</w:t>
      </w:r>
      <w:r w:rsidRPr="00834303">
        <w:rPr>
          <w:rFonts w:ascii="Times New Roman" w:hAnsi="Times New Roman"/>
          <w:sz w:val="24"/>
          <w:szCs w:val="24"/>
        </w:rPr>
        <w:tab/>
      </w:r>
      <w:r w:rsidR="006D53F8">
        <w:rPr>
          <w:rFonts w:ascii="Times New Roman" w:hAnsi="Times New Roman"/>
          <w:sz w:val="24"/>
          <w:szCs w:val="24"/>
        </w:rPr>
        <w:t>XXX</w:t>
      </w:r>
    </w:p>
    <w:p w:rsidR="00A66240" w:rsidRPr="00834303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834303">
        <w:rPr>
          <w:rFonts w:ascii="Times New Roman" w:hAnsi="Times New Roman"/>
          <w:sz w:val="24"/>
          <w:szCs w:val="24"/>
        </w:rPr>
        <w:t>ve věcech technických:</w:t>
      </w:r>
      <w:r w:rsidRPr="00834303">
        <w:rPr>
          <w:rFonts w:ascii="Times New Roman" w:hAnsi="Times New Roman"/>
          <w:sz w:val="24"/>
          <w:szCs w:val="24"/>
        </w:rPr>
        <w:tab/>
      </w:r>
      <w:r w:rsidR="006D53F8">
        <w:rPr>
          <w:rFonts w:ascii="Times New Roman" w:hAnsi="Times New Roman"/>
          <w:sz w:val="24"/>
          <w:szCs w:val="24"/>
        </w:rPr>
        <w:t>XXX</w:t>
      </w:r>
    </w:p>
    <w:p w:rsidR="00A66240" w:rsidRPr="00834303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834303">
        <w:rPr>
          <w:sz w:val="24"/>
          <w:szCs w:val="24"/>
          <w:lang w:eastAsia="zh-CN"/>
        </w:rPr>
        <w:t>(dále jen „zhotovitel“</w:t>
      </w:r>
      <w:r w:rsidR="003107B0" w:rsidRPr="00834303">
        <w:rPr>
          <w:sz w:val="24"/>
          <w:szCs w:val="24"/>
          <w:lang w:eastAsia="zh-CN"/>
        </w:rPr>
        <w:t xml:space="preserve"> a společně též „smluvní strany“ nebo jednotlivě</w:t>
      </w:r>
      <w:r w:rsidR="003107B0">
        <w:rPr>
          <w:sz w:val="24"/>
          <w:szCs w:val="24"/>
          <w:lang w:eastAsia="zh-CN"/>
        </w:rPr>
        <w:t xml:space="preserve">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7F1C04" w:rsidRDefault="007F1C04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:rsidR="00B20337" w:rsidRPr="00160A6B" w:rsidRDefault="00110AD7" w:rsidP="00B20337">
      <w:pPr>
        <w:spacing w:beforeLines="20" w:before="48"/>
        <w:jc w:val="both"/>
        <w:rPr>
          <w:sz w:val="24"/>
          <w:szCs w:val="24"/>
        </w:rPr>
      </w:pPr>
      <w:bookmarkStart w:id="0" w:name="_Hlk99700015"/>
      <w:r w:rsidRPr="000E78B0">
        <w:rPr>
          <w:sz w:val="24"/>
          <w:szCs w:val="24"/>
        </w:rPr>
        <w:t>Předmětem díla j</w:t>
      </w:r>
      <w:r w:rsidR="009A15DC">
        <w:rPr>
          <w:sz w:val="24"/>
          <w:szCs w:val="24"/>
        </w:rPr>
        <w:t xml:space="preserve">e </w:t>
      </w:r>
      <w:r w:rsidR="003107B0">
        <w:rPr>
          <w:sz w:val="24"/>
          <w:szCs w:val="24"/>
        </w:rPr>
        <w:t xml:space="preserve">realizace stavebních prací </w:t>
      </w:r>
      <w:bookmarkEnd w:id="0"/>
      <w:r w:rsidR="003107B0">
        <w:rPr>
          <w:sz w:val="24"/>
          <w:szCs w:val="24"/>
        </w:rPr>
        <w:t>spočívajících v</w:t>
      </w:r>
      <w:r w:rsidR="009A15DC" w:rsidRPr="009A15DC">
        <w:rPr>
          <w:bCs/>
          <w:sz w:val="24"/>
          <w:szCs w:val="24"/>
        </w:rPr>
        <w:t xml:space="preserve"> úpravě zdroje vody, provedení nové úpravny vody a rozvodu pitné vody pro zajištění chodu vojenského areálu. Stavební práce budou </w:t>
      </w:r>
      <w:r w:rsidR="009F7C99" w:rsidRPr="00EE430A">
        <w:rPr>
          <w:sz w:val="24"/>
          <w:szCs w:val="24"/>
        </w:rPr>
        <w:t xml:space="preserve">realizovány </w:t>
      </w:r>
      <w:r w:rsidR="009F7C99" w:rsidRPr="00EE430A">
        <w:rPr>
          <w:bCs/>
          <w:iCs/>
          <w:color w:val="000000"/>
          <w:sz w:val="24"/>
          <w:szCs w:val="24"/>
        </w:rPr>
        <w:t xml:space="preserve">v rozsahu daném projektovou dokumentací </w:t>
      </w:r>
      <w:r w:rsidR="009F7C99" w:rsidRPr="008F4AF3">
        <w:rPr>
          <w:bCs/>
          <w:iCs/>
          <w:color w:val="000000"/>
          <w:sz w:val="24"/>
          <w:szCs w:val="24"/>
        </w:rPr>
        <w:t>s názvem</w:t>
      </w:r>
      <w:r w:rsidR="009F7C99" w:rsidRPr="008F4AF3">
        <w:rPr>
          <w:bCs/>
          <w:sz w:val="24"/>
          <w:szCs w:val="24"/>
        </w:rPr>
        <w:t xml:space="preserve"> </w:t>
      </w:r>
      <w:r w:rsidR="009A15DC" w:rsidRPr="009A15DC">
        <w:rPr>
          <w:bCs/>
          <w:sz w:val="24"/>
          <w:szCs w:val="24"/>
        </w:rPr>
        <w:t xml:space="preserve">„Lokalita Morava, stavba II – úpravna vody, rozvody vody v areálu“ </w:t>
      </w:r>
      <w:r w:rsidR="00B20337" w:rsidRPr="008F4AF3">
        <w:rPr>
          <w:bCs/>
          <w:sz w:val="24"/>
          <w:szCs w:val="24"/>
        </w:rPr>
        <w:t>zpracovan</w:t>
      </w:r>
      <w:r w:rsidR="00B20337">
        <w:rPr>
          <w:bCs/>
          <w:sz w:val="24"/>
          <w:szCs w:val="24"/>
        </w:rPr>
        <w:t>ou</w:t>
      </w:r>
      <w:r w:rsidR="00B20337" w:rsidRPr="008F4AF3">
        <w:rPr>
          <w:bCs/>
          <w:sz w:val="24"/>
          <w:szCs w:val="24"/>
        </w:rPr>
        <w:t xml:space="preserve"> společností</w:t>
      </w:r>
      <w:r w:rsidR="009A15DC" w:rsidRPr="009A15DC">
        <w:rPr>
          <w:bCs/>
          <w:sz w:val="24"/>
          <w:szCs w:val="24"/>
        </w:rPr>
        <w:t xml:space="preserve"> TRASKO Projekce</w:t>
      </w:r>
      <w:r w:rsidR="00B20337">
        <w:rPr>
          <w:bCs/>
          <w:sz w:val="24"/>
          <w:szCs w:val="24"/>
        </w:rPr>
        <w:t>,</w:t>
      </w:r>
      <w:r w:rsidR="009A15DC" w:rsidRPr="009A15DC">
        <w:rPr>
          <w:bCs/>
          <w:sz w:val="24"/>
          <w:szCs w:val="24"/>
        </w:rPr>
        <w:t xml:space="preserve"> s. r. o.</w:t>
      </w:r>
      <w:r w:rsidR="00B20337">
        <w:rPr>
          <w:bCs/>
          <w:sz w:val="24"/>
          <w:szCs w:val="24"/>
        </w:rPr>
        <w:t xml:space="preserve">, </w:t>
      </w:r>
      <w:r w:rsidR="00B20337" w:rsidRPr="00B20337">
        <w:rPr>
          <w:bCs/>
          <w:sz w:val="24"/>
          <w:szCs w:val="24"/>
        </w:rPr>
        <w:t>Na Nouzce 487/8</w:t>
      </w:r>
      <w:r w:rsidR="00B20337" w:rsidRPr="00160A6B">
        <w:rPr>
          <w:bCs/>
          <w:sz w:val="24"/>
          <w:szCs w:val="24"/>
        </w:rPr>
        <w:t xml:space="preserve">, Vyškov-Město, 682 01 Vyškov, IČO: 07280921 </w:t>
      </w:r>
      <w:r w:rsidR="009A15DC" w:rsidRPr="00160A6B">
        <w:rPr>
          <w:bCs/>
          <w:sz w:val="24"/>
          <w:szCs w:val="24"/>
        </w:rPr>
        <w:t>z 03/2022</w:t>
      </w:r>
      <w:r w:rsidR="00B20337" w:rsidRPr="00160A6B">
        <w:rPr>
          <w:bCs/>
          <w:sz w:val="24"/>
          <w:szCs w:val="24"/>
        </w:rPr>
        <w:t xml:space="preserve"> </w:t>
      </w:r>
      <w:r w:rsidR="003107B0" w:rsidRPr="00160A6B">
        <w:rPr>
          <w:sz w:val="24"/>
          <w:szCs w:val="24"/>
        </w:rPr>
        <w:t>(dále jen „</w:t>
      </w:r>
      <w:r w:rsidR="00B20337" w:rsidRPr="00160A6B">
        <w:rPr>
          <w:sz w:val="24"/>
          <w:szCs w:val="24"/>
        </w:rPr>
        <w:t>PD</w:t>
      </w:r>
      <w:r w:rsidR="003107B0" w:rsidRPr="00160A6B">
        <w:rPr>
          <w:sz w:val="24"/>
          <w:szCs w:val="24"/>
        </w:rPr>
        <w:t>“)</w:t>
      </w:r>
      <w:r w:rsidR="00B20337" w:rsidRPr="00160A6B">
        <w:rPr>
          <w:sz w:val="24"/>
          <w:szCs w:val="24"/>
        </w:rPr>
        <w:t xml:space="preserve"> a dle oceněného soupisu prací, dodávek a služeb, který je nedílnou přílohou č. 2 této smlouvy (dále jen „dílo“).</w:t>
      </w:r>
      <w:r w:rsidR="005F5131" w:rsidRPr="00160A6B">
        <w:rPr>
          <w:sz w:val="24"/>
          <w:szCs w:val="24"/>
        </w:rPr>
        <w:t xml:space="preserve">  S PD byl zhotovitel seznámen a má ji k dispozici.</w:t>
      </w:r>
    </w:p>
    <w:p w:rsidR="00110AD7" w:rsidRPr="00160A6B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3A4CC7" w:rsidRPr="00160A6B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160A6B">
        <w:rPr>
          <w:sz w:val="24"/>
          <w:szCs w:val="24"/>
        </w:rPr>
        <w:t>Podrobn</w:t>
      </w:r>
      <w:r w:rsidR="00692ECE" w:rsidRPr="00160A6B">
        <w:rPr>
          <w:sz w:val="24"/>
          <w:szCs w:val="24"/>
        </w:rPr>
        <w:t>á specifikace prací</w:t>
      </w:r>
      <w:r w:rsidR="00231BB5" w:rsidRPr="00160A6B">
        <w:rPr>
          <w:sz w:val="24"/>
          <w:szCs w:val="24"/>
        </w:rPr>
        <w:t>:</w:t>
      </w:r>
    </w:p>
    <w:p w:rsidR="009A15DC" w:rsidRPr="00160A6B" w:rsidRDefault="00B20337" w:rsidP="005F5131">
      <w:pPr>
        <w:numPr>
          <w:ilvl w:val="0"/>
          <w:numId w:val="22"/>
        </w:numPr>
        <w:jc w:val="both"/>
        <w:rPr>
          <w:i/>
          <w:iCs/>
          <w:sz w:val="24"/>
          <w:szCs w:val="24"/>
        </w:rPr>
      </w:pPr>
      <w:r w:rsidRPr="00160A6B">
        <w:rPr>
          <w:sz w:val="24"/>
          <w:szCs w:val="24"/>
        </w:rPr>
        <w:t>Realizace díla podle zpracované PD</w:t>
      </w:r>
      <w:r w:rsidR="009A15DC" w:rsidRPr="00160A6B">
        <w:rPr>
          <w:sz w:val="24"/>
          <w:szCs w:val="24"/>
        </w:rPr>
        <w:t>, vydaného</w:t>
      </w:r>
      <w:r w:rsidR="00CB46FC">
        <w:rPr>
          <w:sz w:val="24"/>
          <w:szCs w:val="24"/>
        </w:rPr>
        <w:t xml:space="preserve"> </w:t>
      </w:r>
      <w:r w:rsidR="00EB43A0" w:rsidRPr="00160A6B">
        <w:rPr>
          <w:sz w:val="24"/>
          <w:szCs w:val="24"/>
        </w:rPr>
        <w:t>společného územního, stavebního a vodoprávního povolení</w:t>
      </w:r>
      <w:r w:rsidR="00CB46FC">
        <w:rPr>
          <w:sz w:val="24"/>
          <w:szCs w:val="24"/>
        </w:rPr>
        <w:t xml:space="preserve"> </w:t>
      </w:r>
      <w:r w:rsidR="009A15DC" w:rsidRPr="00160A6B">
        <w:rPr>
          <w:sz w:val="24"/>
          <w:szCs w:val="24"/>
        </w:rPr>
        <w:t xml:space="preserve">č. j. </w:t>
      </w:r>
      <w:r w:rsidR="0046280C" w:rsidRPr="00160A6B">
        <w:rPr>
          <w:sz w:val="24"/>
          <w:szCs w:val="24"/>
        </w:rPr>
        <w:t>SMOL/133802/2022/OZP/VH/</w:t>
      </w:r>
      <w:proofErr w:type="spellStart"/>
      <w:r w:rsidR="0046280C" w:rsidRPr="00160A6B">
        <w:rPr>
          <w:sz w:val="24"/>
          <w:szCs w:val="24"/>
        </w:rPr>
        <w:t>Pos</w:t>
      </w:r>
      <w:proofErr w:type="spellEnd"/>
      <w:r w:rsidR="0046280C" w:rsidRPr="00160A6B">
        <w:rPr>
          <w:sz w:val="24"/>
          <w:szCs w:val="24"/>
        </w:rPr>
        <w:t>. ze dne 10.</w:t>
      </w:r>
      <w:r w:rsidR="001050CF">
        <w:rPr>
          <w:sz w:val="24"/>
          <w:szCs w:val="24"/>
        </w:rPr>
        <w:t xml:space="preserve"> </w:t>
      </w:r>
      <w:r w:rsidR="0046280C" w:rsidRPr="00160A6B">
        <w:rPr>
          <w:sz w:val="24"/>
          <w:szCs w:val="24"/>
        </w:rPr>
        <w:t>05.</w:t>
      </w:r>
      <w:r w:rsidR="001050CF">
        <w:rPr>
          <w:sz w:val="24"/>
          <w:szCs w:val="24"/>
        </w:rPr>
        <w:t xml:space="preserve"> </w:t>
      </w:r>
      <w:r w:rsidR="0046280C" w:rsidRPr="00160A6B">
        <w:rPr>
          <w:sz w:val="24"/>
          <w:szCs w:val="24"/>
        </w:rPr>
        <w:t xml:space="preserve">2022 </w:t>
      </w:r>
      <w:r w:rsidR="009A15DC" w:rsidRPr="00160A6B">
        <w:rPr>
          <w:sz w:val="24"/>
          <w:szCs w:val="24"/>
        </w:rPr>
        <w:t>za dodržení podmínek stanovisek vydaných v rámci stavebního řízení a dle oceněného soupisu stavebních prací a dodávek.</w:t>
      </w:r>
    </w:p>
    <w:p w:rsidR="009A15DC" w:rsidRPr="00160A6B" w:rsidRDefault="009A15DC" w:rsidP="005F5131">
      <w:pPr>
        <w:numPr>
          <w:ilvl w:val="0"/>
          <w:numId w:val="22"/>
        </w:numPr>
        <w:jc w:val="both"/>
        <w:rPr>
          <w:sz w:val="24"/>
          <w:szCs w:val="24"/>
        </w:rPr>
      </w:pPr>
      <w:r w:rsidRPr="00160A6B">
        <w:rPr>
          <w:bCs/>
          <w:sz w:val="24"/>
          <w:szCs w:val="24"/>
        </w:rPr>
        <w:t xml:space="preserve">Doložit veškeré </w:t>
      </w:r>
      <w:r w:rsidRPr="00160A6B">
        <w:rPr>
          <w:sz w:val="24"/>
          <w:szCs w:val="24"/>
        </w:rPr>
        <w:t>výchozí revize,</w:t>
      </w:r>
      <w:r w:rsidRPr="00160A6B">
        <w:rPr>
          <w:bCs/>
          <w:sz w:val="24"/>
          <w:szCs w:val="24"/>
        </w:rPr>
        <w:t xml:space="preserve"> </w:t>
      </w:r>
      <w:r w:rsidRPr="00160A6B">
        <w:rPr>
          <w:sz w:val="24"/>
          <w:szCs w:val="24"/>
        </w:rPr>
        <w:t>protokoly o příslušných zkouškách,</w:t>
      </w:r>
      <w:r w:rsidRPr="00160A6B">
        <w:rPr>
          <w:bCs/>
          <w:sz w:val="24"/>
          <w:szCs w:val="24"/>
        </w:rPr>
        <w:t xml:space="preserve"> atesty výrobků a materiálu</w:t>
      </w:r>
      <w:r w:rsidRPr="00160A6B">
        <w:rPr>
          <w:sz w:val="24"/>
          <w:szCs w:val="24"/>
        </w:rPr>
        <w:t>, doložení prohlášení o shodě na dodané výrobky a ostatní doklady pro vydání kolaudačního souhlasu k provozu. Všechny doklady budou předloženy v českém jazyce. Revize bude provedena revizním technikem</w:t>
      </w:r>
      <w:bookmarkStart w:id="1" w:name="_Hlk63247860"/>
      <w:r w:rsidRPr="00160A6B">
        <w:rPr>
          <w:sz w:val="24"/>
          <w:szCs w:val="24"/>
        </w:rPr>
        <w:t>, který je držitelem dokladu o prověření odborné způsobilosti k montáži, opravám, revizím a zkouškám určených technických zařízení dle ustanovení § 7, odst. 1., písm. d), bod 4. zákona č. 219/1999 Sb., o ozbrojených silách České republiky</w:t>
      </w:r>
      <w:r w:rsidR="005F5131" w:rsidRPr="00160A6B">
        <w:rPr>
          <w:sz w:val="24"/>
          <w:szCs w:val="24"/>
        </w:rPr>
        <w:t>, ve znění pozdějších předpisů /</w:t>
      </w:r>
      <w:r w:rsidRPr="00160A6B">
        <w:rPr>
          <w:sz w:val="24"/>
          <w:szCs w:val="24"/>
        </w:rPr>
        <w:t>elektrická zařízení</w:t>
      </w:r>
      <w:bookmarkEnd w:id="1"/>
      <w:r w:rsidRPr="00160A6B">
        <w:rPr>
          <w:sz w:val="24"/>
          <w:szCs w:val="24"/>
        </w:rPr>
        <w:t>.</w:t>
      </w:r>
    </w:p>
    <w:p w:rsidR="00EB43A0" w:rsidRPr="009A15DC" w:rsidRDefault="00EB43A0" w:rsidP="005F5131">
      <w:pPr>
        <w:numPr>
          <w:ilvl w:val="0"/>
          <w:numId w:val="22"/>
        </w:numPr>
        <w:jc w:val="both"/>
        <w:rPr>
          <w:sz w:val="24"/>
          <w:szCs w:val="24"/>
        </w:rPr>
      </w:pPr>
      <w:r w:rsidRPr="00160A6B">
        <w:rPr>
          <w:sz w:val="24"/>
          <w:szCs w:val="24"/>
        </w:rPr>
        <w:t>Zajistit akreditovaný rozbor pitné vody, který bude vyhovovat § 3 odst. 1 zákona č. 258/2000 Sb. o ochraně veřejného zdraví a o změně</w:t>
      </w:r>
      <w:r w:rsidRPr="00EB43A0">
        <w:rPr>
          <w:sz w:val="24"/>
          <w:szCs w:val="24"/>
        </w:rPr>
        <w:t xml:space="preserve"> některých souvisejících zákonů ve znění pozdějších předpisů, a § 3 odst. 1 a § 4 odst. 1 vyhlášky č. 252/2004 Sb., kterou se stanoví hygienické požadavky na pitnou vodu a teplou vodu a četnost a rozsah kontroly pitné vody, ve znění pozdějších předpisů, v rozsahu vyšetření pro krácený rozbor, dle přílohy č. 5 uvedené vyhlášky.</w:t>
      </w:r>
    </w:p>
    <w:p w:rsidR="00A836F0" w:rsidRPr="0046280C" w:rsidRDefault="009A15DC" w:rsidP="005F5131">
      <w:pPr>
        <w:numPr>
          <w:ilvl w:val="0"/>
          <w:numId w:val="22"/>
        </w:numPr>
        <w:jc w:val="both"/>
        <w:rPr>
          <w:sz w:val="24"/>
          <w:szCs w:val="24"/>
        </w:rPr>
      </w:pPr>
      <w:r w:rsidRPr="0046280C">
        <w:rPr>
          <w:sz w:val="24"/>
          <w:szCs w:val="24"/>
        </w:rPr>
        <w:t xml:space="preserve">Zajistit vydání kolaudačního souhlasu, včetně zajištění všech vyžádaných stanovisek </w:t>
      </w:r>
    </w:p>
    <w:p w:rsidR="009A15DC" w:rsidRPr="009A15DC" w:rsidRDefault="009A15DC" w:rsidP="005F5131">
      <w:pPr>
        <w:numPr>
          <w:ilvl w:val="0"/>
          <w:numId w:val="22"/>
        </w:numPr>
        <w:jc w:val="both"/>
        <w:rPr>
          <w:sz w:val="24"/>
          <w:szCs w:val="24"/>
        </w:rPr>
      </w:pPr>
      <w:r w:rsidRPr="009A15DC">
        <w:rPr>
          <w:sz w:val="24"/>
          <w:szCs w:val="24"/>
        </w:rPr>
        <w:t>Předat veškeré návody na obsluhu jednotlivých zařízení, záruční listy, provedení zaškolení obsluhy. Všechny doklady budou předloženy v českém jazyce.</w:t>
      </w:r>
    </w:p>
    <w:p w:rsidR="009A15DC" w:rsidRPr="009A15DC" w:rsidRDefault="009A15DC" w:rsidP="005F5131">
      <w:pPr>
        <w:numPr>
          <w:ilvl w:val="0"/>
          <w:numId w:val="22"/>
        </w:numPr>
        <w:jc w:val="both"/>
        <w:rPr>
          <w:sz w:val="24"/>
          <w:szCs w:val="24"/>
        </w:rPr>
      </w:pPr>
      <w:r w:rsidRPr="009A15DC">
        <w:rPr>
          <w:sz w:val="24"/>
          <w:szCs w:val="24"/>
        </w:rPr>
        <w:t>Návrh provozního řádu bude předán min. 7 prac</w:t>
      </w:r>
      <w:r w:rsidR="00A836F0">
        <w:rPr>
          <w:sz w:val="24"/>
          <w:szCs w:val="24"/>
        </w:rPr>
        <w:t>ovních</w:t>
      </w:r>
      <w:r w:rsidRPr="009A15DC">
        <w:rPr>
          <w:sz w:val="24"/>
          <w:szCs w:val="24"/>
        </w:rPr>
        <w:t xml:space="preserve"> dní před termínem zaškolení obsluhy.</w:t>
      </w:r>
    </w:p>
    <w:p w:rsidR="009A15DC" w:rsidRPr="009A15DC" w:rsidRDefault="009A15DC" w:rsidP="005F5131">
      <w:pPr>
        <w:numPr>
          <w:ilvl w:val="0"/>
          <w:numId w:val="22"/>
        </w:numPr>
        <w:jc w:val="both"/>
        <w:rPr>
          <w:sz w:val="24"/>
          <w:szCs w:val="24"/>
        </w:rPr>
      </w:pPr>
      <w:r w:rsidRPr="009A15DC">
        <w:rPr>
          <w:sz w:val="24"/>
          <w:szCs w:val="24"/>
        </w:rPr>
        <w:t xml:space="preserve">Zpracovat návrh provozních, požárních řádů a identifikace a hodnocení rizik </w:t>
      </w:r>
      <w:proofErr w:type="spellStart"/>
      <w:r w:rsidRPr="009A15DC">
        <w:rPr>
          <w:sz w:val="24"/>
          <w:szCs w:val="24"/>
        </w:rPr>
        <w:t>2x</w:t>
      </w:r>
      <w:proofErr w:type="spellEnd"/>
      <w:r w:rsidRPr="009A15DC">
        <w:rPr>
          <w:sz w:val="24"/>
          <w:szCs w:val="24"/>
        </w:rPr>
        <w:t xml:space="preserve"> v listinné a </w:t>
      </w:r>
      <w:proofErr w:type="spellStart"/>
      <w:r w:rsidRPr="009A15DC">
        <w:rPr>
          <w:sz w:val="24"/>
          <w:szCs w:val="24"/>
        </w:rPr>
        <w:t>1x</w:t>
      </w:r>
      <w:proofErr w:type="spellEnd"/>
      <w:r w:rsidRPr="009A15DC">
        <w:rPr>
          <w:sz w:val="24"/>
          <w:szCs w:val="24"/>
        </w:rPr>
        <w:t xml:space="preserve"> v elektronické podobě na CD (ve formátu *.doc).</w:t>
      </w:r>
    </w:p>
    <w:p w:rsidR="009A15DC" w:rsidRPr="009A15DC" w:rsidRDefault="009A15DC" w:rsidP="005F5131">
      <w:pPr>
        <w:numPr>
          <w:ilvl w:val="0"/>
          <w:numId w:val="22"/>
        </w:numPr>
        <w:jc w:val="both"/>
        <w:rPr>
          <w:sz w:val="24"/>
          <w:szCs w:val="24"/>
        </w:rPr>
      </w:pPr>
      <w:r w:rsidRPr="009A15DC">
        <w:rPr>
          <w:sz w:val="24"/>
          <w:szCs w:val="24"/>
        </w:rPr>
        <w:t xml:space="preserve">Zpracovat projektovou dokumentaci skutečného provedení stavby, včetně dokladové části </w:t>
      </w:r>
      <w:proofErr w:type="spellStart"/>
      <w:r w:rsidRPr="009A15DC">
        <w:rPr>
          <w:sz w:val="24"/>
          <w:szCs w:val="24"/>
        </w:rPr>
        <w:t>3x</w:t>
      </w:r>
      <w:proofErr w:type="spellEnd"/>
      <w:r w:rsidRPr="009A15DC">
        <w:rPr>
          <w:sz w:val="24"/>
          <w:szCs w:val="24"/>
        </w:rPr>
        <w:t xml:space="preserve"> v listinné podobě a </w:t>
      </w:r>
      <w:proofErr w:type="spellStart"/>
      <w:r w:rsidRPr="009A15DC">
        <w:rPr>
          <w:sz w:val="24"/>
          <w:szCs w:val="24"/>
        </w:rPr>
        <w:t>2x</w:t>
      </w:r>
      <w:proofErr w:type="spellEnd"/>
      <w:r w:rsidRPr="009A15DC">
        <w:rPr>
          <w:sz w:val="24"/>
          <w:szCs w:val="24"/>
        </w:rPr>
        <w:t xml:space="preserve"> v elektronické podobě na CD (ve formátu *.</w:t>
      </w:r>
      <w:proofErr w:type="spellStart"/>
      <w:r w:rsidRPr="009A15DC">
        <w:rPr>
          <w:sz w:val="24"/>
          <w:szCs w:val="24"/>
        </w:rPr>
        <w:t>pdf</w:t>
      </w:r>
      <w:proofErr w:type="spellEnd"/>
      <w:r w:rsidRPr="009A15DC">
        <w:rPr>
          <w:sz w:val="24"/>
          <w:szCs w:val="24"/>
        </w:rPr>
        <w:t xml:space="preserve"> a také zároveň ve formátu *.doc, *.</w:t>
      </w:r>
      <w:proofErr w:type="spellStart"/>
      <w:r w:rsidRPr="009A15DC">
        <w:rPr>
          <w:sz w:val="24"/>
          <w:szCs w:val="24"/>
        </w:rPr>
        <w:t>xls</w:t>
      </w:r>
      <w:proofErr w:type="spellEnd"/>
      <w:r w:rsidRPr="009A15DC">
        <w:rPr>
          <w:sz w:val="24"/>
          <w:szCs w:val="24"/>
        </w:rPr>
        <w:t xml:space="preserve"> *.</w:t>
      </w:r>
      <w:proofErr w:type="spellStart"/>
      <w:r w:rsidRPr="009A15DC">
        <w:rPr>
          <w:sz w:val="24"/>
          <w:szCs w:val="24"/>
        </w:rPr>
        <w:t>dwg</w:t>
      </w:r>
      <w:proofErr w:type="spellEnd"/>
      <w:r w:rsidRPr="009A15DC">
        <w:rPr>
          <w:sz w:val="24"/>
          <w:szCs w:val="24"/>
        </w:rPr>
        <w:t xml:space="preserve">) – podle Vyhlášky č. 499/2006 novelizované v roce 2018 Sb. v platném </w:t>
      </w:r>
      <w:proofErr w:type="gramStart"/>
      <w:r w:rsidRPr="009A15DC">
        <w:rPr>
          <w:sz w:val="24"/>
          <w:szCs w:val="24"/>
        </w:rPr>
        <w:t>znění - příloha</w:t>
      </w:r>
      <w:proofErr w:type="gramEnd"/>
      <w:r w:rsidRPr="009A15DC">
        <w:rPr>
          <w:sz w:val="24"/>
          <w:szCs w:val="24"/>
        </w:rPr>
        <w:t xml:space="preserve"> č. 14</w:t>
      </w:r>
      <w:r w:rsidR="00B20337">
        <w:rPr>
          <w:sz w:val="24"/>
          <w:szCs w:val="24"/>
        </w:rPr>
        <w:t xml:space="preserve"> </w:t>
      </w:r>
      <w:r w:rsidR="00B20337" w:rsidRPr="00897525">
        <w:rPr>
          <w:sz w:val="24"/>
          <w:szCs w:val="24"/>
        </w:rPr>
        <w:t>vyhlášky č. 499/2006 Sb., ve znění pozdějších předpisů.</w:t>
      </w:r>
    </w:p>
    <w:p w:rsidR="00B20337" w:rsidRPr="00897525" w:rsidRDefault="00B20337" w:rsidP="00B20337">
      <w:pPr>
        <w:numPr>
          <w:ilvl w:val="0"/>
          <w:numId w:val="22"/>
        </w:numPr>
        <w:jc w:val="both"/>
        <w:rPr>
          <w:sz w:val="24"/>
          <w:szCs w:val="24"/>
        </w:rPr>
      </w:pPr>
      <w:r w:rsidRPr="00897525">
        <w:rPr>
          <w:sz w:val="24"/>
          <w:szCs w:val="24"/>
        </w:rPr>
        <w:t xml:space="preserve">Součástí plnění je průběžný a závěrečný úklid, odvoz a ekologická likvidace demontovaného materiálu a veškerého vzniklého odpadu včetně uložení na skládku dle čl. </w:t>
      </w:r>
      <w:r>
        <w:rPr>
          <w:sz w:val="24"/>
          <w:szCs w:val="24"/>
        </w:rPr>
        <w:t>VIII.</w:t>
      </w:r>
      <w:r w:rsidRPr="00897525">
        <w:rPr>
          <w:sz w:val="24"/>
          <w:szCs w:val="24"/>
        </w:rPr>
        <w:t xml:space="preserve"> odst. </w:t>
      </w:r>
      <w:r w:rsidR="005F5131">
        <w:rPr>
          <w:sz w:val="24"/>
          <w:szCs w:val="24"/>
        </w:rPr>
        <w:t>4</w:t>
      </w:r>
      <w:r w:rsidRPr="00897525">
        <w:rPr>
          <w:sz w:val="24"/>
          <w:szCs w:val="24"/>
        </w:rPr>
        <w:t xml:space="preserve"> této smlouvy.</w:t>
      </w:r>
    </w:p>
    <w:p w:rsidR="009A15DC" w:rsidRPr="009A15DC" w:rsidRDefault="009A15DC" w:rsidP="0046280C">
      <w:pPr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9A15DC">
        <w:rPr>
          <w:sz w:val="24"/>
          <w:szCs w:val="24"/>
        </w:rPr>
        <w:t>Dodat bezpečnostní značení zařízení dle příslušných norem.</w:t>
      </w:r>
    </w:p>
    <w:p w:rsidR="00191FFA" w:rsidRPr="009A15DC" w:rsidRDefault="00191FFA" w:rsidP="009A15DC">
      <w:pPr>
        <w:spacing w:line="288" w:lineRule="auto"/>
        <w:rPr>
          <w:sz w:val="24"/>
          <w:szCs w:val="24"/>
        </w:rPr>
      </w:pPr>
    </w:p>
    <w:p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</w:t>
      </w:r>
      <w:r w:rsidR="00B20337">
        <w:rPr>
          <w:sz w:val="24"/>
          <w:szCs w:val="24"/>
        </w:rPr>
        <w:t>v den</w:t>
      </w:r>
      <w:r w:rsidRPr="000E78B0">
        <w:rPr>
          <w:sz w:val="24"/>
          <w:szCs w:val="24"/>
        </w:rPr>
        <w:t xml:space="preserve">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 této smlouvy.</w:t>
      </w:r>
    </w:p>
    <w:p w:rsidR="00F8052B" w:rsidRPr="000E78B0" w:rsidRDefault="00F8052B" w:rsidP="00F8052B">
      <w:pPr>
        <w:jc w:val="both"/>
        <w:rPr>
          <w:sz w:val="24"/>
          <w:szCs w:val="24"/>
        </w:rPr>
      </w:pPr>
    </w:p>
    <w:p w:rsidR="00DE5491" w:rsidRDefault="00F8052B" w:rsidP="009A15DC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bookmarkStart w:id="2" w:name="_Hlk104372079"/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0E78B0">
        <w:rPr>
          <w:sz w:val="24"/>
          <w:szCs w:val="24"/>
        </w:rPr>
        <w:t>do</w:t>
      </w:r>
      <w:r w:rsidR="000910F2">
        <w:rPr>
          <w:sz w:val="24"/>
          <w:szCs w:val="24"/>
        </w:rPr>
        <w:t> </w:t>
      </w:r>
      <w:r w:rsidR="00A836F0">
        <w:rPr>
          <w:sz w:val="24"/>
          <w:szCs w:val="24"/>
        </w:rPr>
        <w:t xml:space="preserve">112 </w:t>
      </w:r>
      <w:r w:rsidR="009A15DC">
        <w:rPr>
          <w:sz w:val="24"/>
          <w:szCs w:val="24"/>
        </w:rPr>
        <w:t>kalendářních dnů</w:t>
      </w:r>
      <w:r w:rsidR="000910F2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ode dne předání staveniště</w:t>
      </w:r>
      <w:bookmarkEnd w:id="2"/>
    </w:p>
    <w:p w:rsidR="009A15DC" w:rsidRPr="000E78B0" w:rsidRDefault="009A15DC" w:rsidP="009A15DC">
      <w:pPr>
        <w:ind w:left="2694" w:hanging="2694"/>
        <w:jc w:val="both"/>
        <w:rPr>
          <w:sz w:val="24"/>
          <w:szCs w:val="24"/>
        </w:rPr>
      </w:pPr>
    </w:p>
    <w:p w:rsidR="000910F2" w:rsidRDefault="00F8052B" w:rsidP="00F8052B">
      <w:pPr>
        <w:jc w:val="both"/>
        <w:rPr>
          <w:sz w:val="24"/>
          <w:szCs w:val="24"/>
        </w:rPr>
      </w:pPr>
      <w:bookmarkStart w:id="3" w:name="_Hlk104372155"/>
      <w:r w:rsidRPr="000E78B0">
        <w:rPr>
          <w:sz w:val="24"/>
          <w:szCs w:val="24"/>
        </w:rPr>
        <w:t xml:space="preserve">Termín předložení kolaudačního souhlasu: </w:t>
      </w:r>
    </w:p>
    <w:p w:rsidR="00F8052B" w:rsidRPr="000E78B0" w:rsidRDefault="000910F2" w:rsidP="000910F2">
      <w:pPr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zajistí ve lhůtě </w:t>
      </w:r>
      <w:r w:rsidR="009A15DC">
        <w:rPr>
          <w:sz w:val="24"/>
          <w:szCs w:val="24"/>
        </w:rPr>
        <w:t>50 kalendářních</w:t>
      </w:r>
      <w:r w:rsidR="00F8052B" w:rsidRPr="000E78B0">
        <w:rPr>
          <w:sz w:val="24"/>
          <w:szCs w:val="24"/>
        </w:rPr>
        <w:t xml:space="preserve"> dní ode dne řádného dokončení díla bez kolaudace. </w:t>
      </w:r>
    </w:p>
    <w:bookmarkEnd w:id="3"/>
    <w:p w:rsidR="00472729" w:rsidRPr="000E78B0" w:rsidRDefault="00472729" w:rsidP="00852925">
      <w:pPr>
        <w:rPr>
          <w:sz w:val="24"/>
          <w:szCs w:val="24"/>
        </w:rPr>
      </w:pPr>
    </w:p>
    <w:p w:rsidR="00F8052B" w:rsidRDefault="00852925" w:rsidP="00EA3BE5">
      <w:pPr>
        <w:rPr>
          <w:i/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1716B">
        <w:rPr>
          <w:sz w:val="24"/>
          <w:szCs w:val="24"/>
        </w:rPr>
        <w:t xml:space="preserve"> </w:t>
      </w:r>
      <w:r w:rsidR="0001716B" w:rsidRPr="0001716B">
        <w:rPr>
          <w:sz w:val="24"/>
          <w:szCs w:val="24"/>
        </w:rPr>
        <w:t xml:space="preserve">VÚ 3255, Kozlov-Slavkov, GPS: </w:t>
      </w:r>
      <w:proofErr w:type="spellStart"/>
      <w:r w:rsidR="0001716B" w:rsidRPr="0001716B">
        <w:rPr>
          <w:sz w:val="24"/>
          <w:szCs w:val="24"/>
        </w:rPr>
        <w:t>49.</w:t>
      </w:r>
      <w:proofErr w:type="gramStart"/>
      <w:r w:rsidR="0001716B" w:rsidRPr="0001716B">
        <w:rPr>
          <w:sz w:val="24"/>
          <w:szCs w:val="24"/>
        </w:rPr>
        <w:t>5975636N</w:t>
      </w:r>
      <w:proofErr w:type="spellEnd"/>
      <w:proofErr w:type="gramEnd"/>
      <w:r w:rsidR="0001716B" w:rsidRPr="0001716B">
        <w:rPr>
          <w:sz w:val="24"/>
          <w:szCs w:val="24"/>
        </w:rPr>
        <w:t xml:space="preserve">, </w:t>
      </w:r>
      <w:proofErr w:type="spellStart"/>
      <w:r w:rsidR="0001716B" w:rsidRPr="0001716B">
        <w:rPr>
          <w:sz w:val="24"/>
          <w:szCs w:val="24"/>
        </w:rPr>
        <w:t>17.5743406E</w:t>
      </w:r>
      <w:proofErr w:type="spellEnd"/>
      <w:r w:rsidR="0001716B">
        <w:rPr>
          <w:sz w:val="24"/>
          <w:szCs w:val="24"/>
        </w:rPr>
        <w:t>.</w:t>
      </w:r>
    </w:p>
    <w:p w:rsidR="00A4494B" w:rsidRDefault="00A4494B" w:rsidP="00EA3BE5">
      <w:pPr>
        <w:rPr>
          <w:sz w:val="24"/>
          <w:szCs w:val="24"/>
        </w:rPr>
      </w:pPr>
    </w:p>
    <w:p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580FDB" w:rsidRPr="00580FDB">
        <w:rPr>
          <w:b/>
          <w:sz w:val="24"/>
          <w:szCs w:val="24"/>
        </w:rPr>
        <w:t>4 485 149,60</w:t>
      </w:r>
      <w:r w:rsidR="009C1202" w:rsidRPr="003E29E2">
        <w:rPr>
          <w:b/>
          <w:sz w:val="24"/>
          <w:szCs w:val="24"/>
        </w:rPr>
        <w:t xml:space="preserve"> </w:t>
      </w:r>
      <w:r w:rsidR="009A3F58" w:rsidRPr="003E29E2">
        <w:rPr>
          <w:b/>
          <w:sz w:val="24"/>
          <w:szCs w:val="24"/>
        </w:rPr>
        <w:t>Kč</w:t>
      </w:r>
      <w:r w:rsidRPr="003E29E2">
        <w:rPr>
          <w:sz w:val="24"/>
          <w:szCs w:val="24"/>
        </w:rPr>
        <w:t xml:space="preserve">, </w:t>
      </w:r>
      <w:r w:rsidR="009A3F58"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„</w:t>
      </w:r>
      <w:proofErr w:type="spellStart"/>
      <w:r w:rsidR="00580FDB" w:rsidRPr="00580FDB">
        <w:rPr>
          <w:sz w:val="24"/>
          <w:szCs w:val="24"/>
        </w:rPr>
        <w:t>čtyřimilionyčtyřistaosmdesátpěttisícstočtyřicetdevět</w:t>
      </w:r>
      <w:proofErr w:type="spellEnd"/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580FDB">
        <w:rPr>
          <w:sz w:val="24"/>
          <w:szCs w:val="24"/>
        </w:rPr>
        <w:t>, 60 haléřů</w:t>
      </w:r>
      <w:r w:rsidR="009A3F58" w:rsidRPr="003E29E2">
        <w:rPr>
          <w:sz w:val="24"/>
          <w:szCs w:val="24"/>
        </w:rPr>
        <w:t>“</w:t>
      </w:r>
      <w:r w:rsidRPr="003E29E2">
        <w:rPr>
          <w:sz w:val="24"/>
          <w:szCs w:val="24"/>
        </w:rPr>
        <w:t xml:space="preserve"> DPH bude účtováno v sazbě platné ke dni uskutečnění zdanitelného plnění.</w:t>
      </w:r>
    </w:p>
    <w:p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:rsidR="009A3F58" w:rsidRPr="003E29E2" w:rsidRDefault="009A3F58" w:rsidP="003E29E2">
      <w:pPr>
        <w:jc w:val="both"/>
        <w:rPr>
          <w:sz w:val="24"/>
          <w:szCs w:val="24"/>
        </w:rPr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:rsidR="003B6F68" w:rsidRPr="000E78B0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spellStart"/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spellEnd"/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:rsidR="00835B21" w:rsidRDefault="00835B21" w:rsidP="00835B21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lastRenderedPageBreak/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>, že je možné i osobní předání faktury příslušnému technikovi, v tomto případě bude předání a převzetí faktury písemně stvrzeno. Elektronicky zaslané faktury budou obsahovat scan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:rsidR="00835B21" w:rsidRPr="003461F8" w:rsidRDefault="00835B21" w:rsidP="00835B21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:rsidR="007F1244" w:rsidRPr="000E78B0" w:rsidRDefault="003B6F68" w:rsidP="007F1244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:rsidR="003B6F68" w:rsidRPr="000E78B0" w:rsidRDefault="002F40E4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</w:t>
      </w:r>
      <w:r w:rsidR="006D292D">
        <w:rPr>
          <w:rFonts w:ascii="Times New Roman" w:hAnsi="Times New Roman"/>
          <w:b w:val="0"/>
          <w:i w:val="0"/>
          <w:szCs w:val="24"/>
        </w:rPr>
        <w:t> </w:t>
      </w:r>
      <w:r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%, která bude zhotoviteli uhrazena po vydání kolaudačního souhlasu</w:t>
      </w:r>
      <w:r w:rsidR="002D1995">
        <w:rPr>
          <w:rFonts w:ascii="Times New Roman" w:hAnsi="Times New Roman"/>
          <w:b w:val="0"/>
          <w:i w:val="0"/>
          <w:szCs w:val="24"/>
        </w:rPr>
        <w:t xml:space="preserve"> a odstranění případných vad a nedodělků</w:t>
      </w:r>
      <w:r w:rsidR="007872A0">
        <w:rPr>
          <w:rFonts w:ascii="Times New Roman" w:hAnsi="Times New Roman"/>
          <w:b w:val="0"/>
          <w:i w:val="0"/>
          <w:szCs w:val="24"/>
        </w:rPr>
        <w:t>.</w:t>
      </w:r>
    </w:p>
    <w:p w:rsidR="003B6F68" w:rsidRPr="00782EEF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</w:t>
      </w:r>
      <w:r w:rsidR="00627471">
        <w:rPr>
          <w:rFonts w:ascii="Times New Roman" w:hAnsi="Times New Roman"/>
          <w:b w:val="0"/>
          <w:i w:val="0"/>
          <w:szCs w:val="24"/>
        </w:rPr>
        <w:t>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:rsidR="00255407" w:rsidRPr="000E78B0" w:rsidRDefault="00255407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:rsidR="003D1B3B" w:rsidRPr="000E78B0" w:rsidRDefault="0075034C" w:rsidP="003D1B3B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:rsidR="00C328DE" w:rsidRDefault="001B672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:rsidR="006D292D" w:rsidRPr="006D292D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:rsidR="005B3982" w:rsidRPr="00BF223C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>.</w:t>
      </w:r>
    </w:p>
    <w:p w:rsidR="00645C83" w:rsidRPr="00645C83" w:rsidRDefault="003D1B3B" w:rsidP="00645C8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:rsidR="003D1B3B" w:rsidRPr="000E78B0" w:rsidRDefault="00F8052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:rsidR="003D1B3B" w:rsidRPr="000E78B0" w:rsidRDefault="003D1B3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:rsidR="003D1B3B" w:rsidRPr="000E78B0" w:rsidRDefault="003D1B3B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:rsidR="005B1AF0" w:rsidRPr="000E78B0" w:rsidRDefault="005B1AF0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:rsidR="005B1AF0" w:rsidRDefault="005B1AF0" w:rsidP="006D292D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:rsidR="001976C5" w:rsidRPr="000E78B0" w:rsidRDefault="001976C5" w:rsidP="006D292D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zajistí jednotné označení všech pracovníků podílejících se na realizaci díla, a to formou vest s logem </w:t>
      </w:r>
      <w:r w:rsidR="00766C6A">
        <w:rPr>
          <w:sz w:val="24"/>
          <w:szCs w:val="24"/>
        </w:rPr>
        <w:t>zhotovitele, které jej jednoznačně identifikuje (název zhotovitele, případně název akce</w:t>
      </w:r>
      <w:r w:rsidR="00F02F0E">
        <w:rPr>
          <w:sz w:val="24"/>
          <w:szCs w:val="24"/>
        </w:rPr>
        <w:t>)</w:t>
      </w:r>
      <w:r w:rsidR="00766C6A">
        <w:rPr>
          <w:sz w:val="24"/>
          <w:szCs w:val="24"/>
        </w:rPr>
        <w:t xml:space="preserve">. </w:t>
      </w:r>
    </w:p>
    <w:p w:rsidR="007F1244" w:rsidRPr="00AB7D0E" w:rsidRDefault="005B1AF0" w:rsidP="00D42F33">
      <w:pPr>
        <w:numPr>
          <w:ilvl w:val="0"/>
          <w:numId w:val="5"/>
        </w:numPr>
        <w:tabs>
          <w:tab w:val="clear" w:pos="851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:rsidR="00C30097" w:rsidRPr="000E78B0" w:rsidRDefault="005B1AF0" w:rsidP="00D42F33">
      <w:pPr>
        <w:numPr>
          <w:ilvl w:val="0"/>
          <w:numId w:val="5"/>
        </w:numPr>
        <w:tabs>
          <w:tab w:val="clear" w:pos="851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:rsidR="007A55BA" w:rsidRPr="000E78B0" w:rsidRDefault="007A55BA" w:rsidP="00385092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:rsidR="00AE2642" w:rsidRPr="000E78B0" w:rsidRDefault="007A55BA" w:rsidP="00D42F33">
      <w:pPr>
        <w:pStyle w:val="Odstavecseseznamem"/>
        <w:numPr>
          <w:ilvl w:val="0"/>
          <w:numId w:val="6"/>
        </w:numPr>
        <w:tabs>
          <w:tab w:val="clear" w:pos="851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:rsidR="0075034C" w:rsidRPr="000E78B0" w:rsidRDefault="0075034C" w:rsidP="00D42F33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:rsidR="007A55BA" w:rsidRPr="000E78B0" w:rsidRDefault="007A55BA" w:rsidP="00D42F33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:rsidR="0075034C" w:rsidRPr="000E78B0" w:rsidRDefault="0075034C" w:rsidP="00D42F33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:rsidR="0075034C" w:rsidRPr="000E78B0" w:rsidRDefault="0075034C" w:rsidP="00D42F33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:rsidR="0075034C" w:rsidRPr="000E78B0" w:rsidRDefault="0075034C" w:rsidP="00D42F33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:rsidR="00157103" w:rsidRPr="000E78B0" w:rsidRDefault="00157103" w:rsidP="00D42F33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:rsidR="00157103" w:rsidRPr="000E78B0" w:rsidRDefault="00157103" w:rsidP="00D42F33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lastRenderedPageBreak/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:rsidR="00421634" w:rsidRPr="000E78B0" w:rsidRDefault="00421634" w:rsidP="00B46B1D">
      <w:pPr>
        <w:rPr>
          <w:sz w:val="24"/>
          <w:szCs w:val="24"/>
        </w:rPr>
      </w:pPr>
    </w:p>
    <w:p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3D1B3B" w:rsidRPr="000E78B0" w:rsidRDefault="003D1B3B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 případě, že dojde ke změně poddodavatele, prostřednictvím kterého zhotovitel prokazoval v zadávacím řízení kvalifikaci, je zhotovitel povinen před jeho změnou objednatele písemně informovat a vyžádat si jeho souhlasné stanovisko.</w:t>
      </w:r>
    </w:p>
    <w:p w:rsidR="0075034C" w:rsidRPr="000E78B0" w:rsidRDefault="003A0942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:rsidR="005B1AF0" w:rsidRPr="000E78B0" w:rsidRDefault="005B1AF0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</w:t>
      </w:r>
      <w:r w:rsidR="00F60445">
        <w:rPr>
          <w:rFonts w:ascii="Times New Roman" w:hAnsi="Times New Roman"/>
          <w:sz w:val="24"/>
          <w:szCs w:val="24"/>
        </w:rPr>
        <w:t xml:space="preserve">místo </w:t>
      </w:r>
      <w:proofErr w:type="gramStart"/>
      <w:r w:rsidR="00F60445">
        <w:rPr>
          <w:rFonts w:ascii="Times New Roman" w:hAnsi="Times New Roman"/>
          <w:sz w:val="24"/>
          <w:szCs w:val="24"/>
        </w:rPr>
        <w:t>plnění</w:t>
      </w:r>
      <w:r w:rsidRPr="000E78B0">
        <w:rPr>
          <w:rFonts w:ascii="Times New Roman" w:hAnsi="Times New Roman"/>
          <w:sz w:val="24"/>
          <w:szCs w:val="24"/>
        </w:rPr>
        <w:t xml:space="preserve">, </w:t>
      </w:r>
      <w:r w:rsidR="00F60445">
        <w:rPr>
          <w:rFonts w:ascii="Times New Roman" w:hAnsi="Times New Roman"/>
          <w:sz w:val="24"/>
          <w:szCs w:val="24"/>
        </w:rPr>
        <w:t> kde</w:t>
      </w:r>
      <w:proofErr w:type="gramEnd"/>
      <w:r w:rsidR="00F60445">
        <w:rPr>
          <w:rFonts w:ascii="Times New Roman" w:hAnsi="Times New Roman"/>
          <w:sz w:val="24"/>
          <w:szCs w:val="24"/>
        </w:rPr>
        <w:t xml:space="preserve"> se</w:t>
      </w:r>
      <w:r w:rsidRPr="000E78B0">
        <w:rPr>
          <w:rFonts w:ascii="Times New Roman" w:hAnsi="Times New Roman"/>
          <w:sz w:val="24"/>
          <w:szCs w:val="24"/>
        </w:rPr>
        <w:t xml:space="preserve">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</w:t>
      </w:r>
    </w:p>
    <w:p w:rsidR="00255407" w:rsidRPr="007872A0" w:rsidRDefault="00255407" w:rsidP="007872A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7872A0">
        <w:rPr>
          <w:sz w:val="24"/>
          <w:szCs w:val="24"/>
        </w:rPr>
        <w:t xml:space="preserve">Původcem a vlastníkem veškerého odpadu vzniklého při realizace díla se stává zhotovitel dnem podpisu této smlouvy. </w:t>
      </w:r>
      <w:r w:rsidR="008B2A3C" w:rsidRPr="007872A0">
        <w:rPr>
          <w:sz w:val="24"/>
          <w:szCs w:val="24"/>
        </w:rPr>
        <w:t>Finanční prostředky získané za případný kovový odpad převede zhotovitel na objednatele na základě jím vystavené faktury podle cen z odevzdaných vážních lístků. Cena za kovový odpad bude stanovena vzhledem k cenám v místě a čase obvyklým</w:t>
      </w:r>
      <w:r w:rsidR="00EE4ADA" w:rsidRPr="007872A0">
        <w:rPr>
          <w:sz w:val="24"/>
          <w:szCs w:val="24"/>
        </w:rPr>
        <w:t>, přičemž tato cena bude předem schválena objednatelem.</w:t>
      </w:r>
      <w:r w:rsidR="008B2A3C" w:rsidRPr="007872A0">
        <w:rPr>
          <w:sz w:val="24"/>
          <w:szCs w:val="24"/>
        </w:rPr>
        <w:t xml:space="preserve"> Doklady o odstranění kovového odpadu budou předány objednateli nejpozději do </w:t>
      </w:r>
      <w:r w:rsidR="008B2A3C" w:rsidRPr="00A4494B">
        <w:rPr>
          <w:sz w:val="24"/>
          <w:szCs w:val="24"/>
        </w:rPr>
        <w:t>8</w:t>
      </w:r>
      <w:r w:rsidR="008B2A3C" w:rsidRPr="007872A0">
        <w:rPr>
          <w:sz w:val="24"/>
          <w:szCs w:val="24"/>
        </w:rPr>
        <w:t xml:space="preserve"> dnů od odevzdání odpadu, včetně dokladů o výkupu (vážní lístky).</w:t>
      </w:r>
    </w:p>
    <w:p w:rsidR="005B1AF0" w:rsidRPr="000E78B0" w:rsidRDefault="005B1AF0" w:rsidP="00F84A88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sítí, žádost o kolaudační souhlas atd.) hradí zhotovitel.</w:t>
      </w:r>
    </w:p>
    <w:p w:rsidR="0075034C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:rsidR="00BF223C" w:rsidRPr="00037190" w:rsidRDefault="00037190" w:rsidP="0003719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:rsidR="00EA3BE5" w:rsidRPr="009A15DC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:rsidR="00197CB7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:rsidR="00EE4ADA" w:rsidRPr="00EE4ADA" w:rsidRDefault="000E78B0" w:rsidP="00EE4ADA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 xml:space="preserve">výše min. </w:t>
      </w:r>
      <w:r w:rsidR="007872A0">
        <w:rPr>
          <w:sz w:val="24"/>
          <w:szCs w:val="24"/>
        </w:rPr>
        <w:t>10 000 000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:rsidR="006F0781" w:rsidRDefault="006F0781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 xml:space="preserve">, o odpadech, v platném znění). Dále se </w:t>
      </w:r>
      <w:r w:rsidRPr="006F0781">
        <w:rPr>
          <w:sz w:val="24"/>
          <w:szCs w:val="24"/>
        </w:rPr>
        <w:lastRenderedPageBreak/>
        <w:t>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:rsidR="006F0781" w:rsidRDefault="006F0781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toto osoby měly vykonávat, a rovněž s ohledem na dostupnost této pracovní síly na pracovním trhu. </w:t>
      </w:r>
    </w:p>
    <w:p w:rsidR="000D03E5" w:rsidRPr="009660C1" w:rsidRDefault="000D03E5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9660C1">
        <w:rPr>
          <w:sz w:val="24"/>
          <w:szCs w:val="24"/>
        </w:rPr>
        <w:t>Zhotovitel je povinen zachovávat mlčenlivost o všech skutečnostech, o nichž se dozvěděl v souvislosti s realizací předmětu této smlouvy, ledaže by šlo o skutečnosti nepochybně obecně známé. Povinnost mlčenlivosti se obdobně vztahuje i na zaměstnance zhotovitele. Povinnosti mlčenlivosti může zhotovitele zprostit pouze objednatel svým písemným prohlášením adresovaným objednateli. Závazek zhotovitele k zachovávání mlčenlivosti zůstává v platnosti i po zániku této smlouvy.</w:t>
      </w:r>
    </w:p>
    <w:p w:rsidR="00EE4ADA" w:rsidRPr="00361E51" w:rsidRDefault="00EE4ADA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361E51">
        <w:rPr>
          <w:sz w:val="24"/>
          <w:szCs w:val="24"/>
        </w:rPr>
        <w:t>Zhotovitel se dále zavazuje k:</w:t>
      </w:r>
    </w:p>
    <w:p w:rsidR="00EE4ADA" w:rsidRPr="00361E51" w:rsidRDefault="00EE4ADA" w:rsidP="00EE4ADA">
      <w:pPr>
        <w:pStyle w:val="Odstavecseseznamem"/>
        <w:numPr>
          <w:ilvl w:val="0"/>
          <w:numId w:val="49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součinnosti s technickým a autorským dozorem stavby;</w:t>
      </w:r>
    </w:p>
    <w:p w:rsidR="00EE4ADA" w:rsidRPr="00361E51" w:rsidRDefault="00EE4ADA" w:rsidP="00EE4ADA">
      <w:pPr>
        <w:pStyle w:val="Odstavecseseznamem"/>
        <w:numPr>
          <w:ilvl w:val="0"/>
          <w:numId w:val="49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povinnosti předložit technickému a autorskému dozoru stavby ke schválení technické listy instalované technologie před jejich objednáním;</w:t>
      </w:r>
    </w:p>
    <w:p w:rsidR="00EE4ADA" w:rsidRPr="00361E51" w:rsidRDefault="00EE4ADA" w:rsidP="00EE4ADA">
      <w:pPr>
        <w:pStyle w:val="Odstavecseseznamem"/>
        <w:numPr>
          <w:ilvl w:val="0"/>
          <w:numId w:val="49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předání objednateli dokumentace skutečně provedené stavby, provozně-technické dokumentace, a to v podobě listinné a elektronické na přenosném nosiči.</w:t>
      </w:r>
    </w:p>
    <w:p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:rsidR="002368C4" w:rsidRPr="000E78B0" w:rsidRDefault="002368C4" w:rsidP="002D1995">
      <w:pPr>
        <w:pStyle w:val="Odstavecseseznamem"/>
        <w:numPr>
          <w:ilvl w:val="0"/>
          <w:numId w:val="37"/>
        </w:numPr>
        <w:tabs>
          <w:tab w:val="clear" w:pos="851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Případné méněpráce a vícepráce vzniklé v průběhu zhotovení díla z titulu požadavku objednatele nebo vzniklé z důvodu změny stavebně technického řešení oproti souhrnné 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:rsidR="002368C4" w:rsidRPr="000E78B0" w:rsidRDefault="002368C4" w:rsidP="00D42F33">
      <w:pPr>
        <w:pStyle w:val="Odstavecseseznamem"/>
        <w:numPr>
          <w:ilvl w:val="0"/>
          <w:numId w:val="37"/>
        </w:numPr>
        <w:tabs>
          <w:tab w:val="clear" w:pos="851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a nákladů neprovedených dodávek a prací dle položkového rozpočtu.       </w:t>
      </w:r>
    </w:p>
    <w:p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:rsidR="00FE5E2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:rsidR="00037190" w:rsidRPr="00280345" w:rsidRDefault="002368C4" w:rsidP="0003719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:rsidR="005E0F9E" w:rsidRPr="00037190" w:rsidRDefault="0037024E" w:rsidP="005E0F9E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:rsidR="00AB7D0E" w:rsidRPr="00037190" w:rsidRDefault="0075034C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:rsidR="00347BA5" w:rsidRPr="00347BA5" w:rsidRDefault="00347BA5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 ani jeho kolaudaci, ani jeho užívání podstatným způsobem funkčně nebo esteticky neomezují.</w:t>
      </w:r>
    </w:p>
    <w:p w:rsidR="00037190" w:rsidRPr="00037190" w:rsidRDefault="00347BA5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vydání kolaudačního souhlasu, kdy tímto dnem začíná běžet záruční lhůta. </w:t>
      </w:r>
    </w:p>
    <w:p w:rsidR="00347BA5" w:rsidRPr="00347BA5" w:rsidRDefault="00347BA5" w:rsidP="00347BA5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:rsidR="001128D2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F57E45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6306CB">
        <w:rPr>
          <w:rFonts w:ascii="Times New Roman" w:hAnsi="Times New Roman"/>
          <w:sz w:val="24"/>
          <w:szCs w:val="24"/>
        </w:rPr>
        <w:t xml:space="preserve">1 </w:t>
      </w:r>
      <w:r w:rsidR="0009603D">
        <w:rPr>
          <w:rFonts w:ascii="Times New Roman" w:hAnsi="Times New Roman"/>
          <w:sz w:val="24"/>
          <w:szCs w:val="24"/>
        </w:rPr>
        <w:t xml:space="preserve">500 </w:t>
      </w:r>
      <w:r w:rsidR="00014EA2">
        <w:rPr>
          <w:rFonts w:ascii="Times New Roman" w:hAnsi="Times New Roman"/>
          <w:sz w:val="24"/>
          <w:szCs w:val="24"/>
        </w:rPr>
        <w:t>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:rsidR="0043086C" w:rsidRPr="00160A6B" w:rsidRDefault="00F57E45" w:rsidP="00160A6B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Při prodlení zhotovitele se splněním kteréhokoliv ze závazných termínů stanovených touto </w:t>
      </w:r>
      <w:r w:rsidRPr="00160A6B">
        <w:rPr>
          <w:rFonts w:ascii="Times New Roman" w:hAnsi="Times New Roman"/>
          <w:sz w:val="24"/>
          <w:szCs w:val="24"/>
        </w:rPr>
        <w:t>smlouvou j</w:t>
      </w:r>
      <w:r w:rsidR="00385092" w:rsidRPr="00160A6B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6306CB" w:rsidRPr="00160A6B">
        <w:rPr>
          <w:rFonts w:ascii="Times New Roman" w:hAnsi="Times New Roman"/>
          <w:sz w:val="24"/>
          <w:szCs w:val="24"/>
        </w:rPr>
        <w:t xml:space="preserve">1 </w:t>
      </w:r>
      <w:r w:rsidR="0009603D" w:rsidRPr="00160A6B">
        <w:rPr>
          <w:rFonts w:ascii="Times New Roman" w:hAnsi="Times New Roman"/>
          <w:sz w:val="24"/>
          <w:szCs w:val="24"/>
        </w:rPr>
        <w:t>5</w:t>
      </w:r>
      <w:r w:rsidR="006306CB" w:rsidRPr="00160A6B">
        <w:rPr>
          <w:rFonts w:ascii="Times New Roman" w:hAnsi="Times New Roman"/>
          <w:sz w:val="24"/>
          <w:szCs w:val="24"/>
        </w:rPr>
        <w:t>00</w:t>
      </w:r>
      <w:r w:rsidR="00014EA2" w:rsidRPr="00160A6B">
        <w:rPr>
          <w:rFonts w:ascii="Times New Roman" w:hAnsi="Times New Roman"/>
          <w:sz w:val="24"/>
          <w:szCs w:val="24"/>
        </w:rPr>
        <w:t xml:space="preserve"> Kč z</w:t>
      </w:r>
      <w:r w:rsidR="00385092" w:rsidRPr="00160A6B">
        <w:rPr>
          <w:rFonts w:ascii="Times New Roman" w:hAnsi="Times New Roman"/>
          <w:sz w:val="24"/>
          <w:szCs w:val="24"/>
        </w:rPr>
        <w:t>a kaž</w:t>
      </w:r>
      <w:r w:rsidRPr="00160A6B">
        <w:rPr>
          <w:rFonts w:ascii="Times New Roman" w:hAnsi="Times New Roman"/>
          <w:sz w:val="24"/>
          <w:szCs w:val="24"/>
        </w:rPr>
        <w:t>dý den prodlení</w:t>
      </w:r>
      <w:r w:rsidR="0043086C" w:rsidRPr="00160A6B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160A6B">
        <w:rPr>
          <w:rFonts w:ascii="Times New Roman" w:hAnsi="Times New Roman"/>
          <w:sz w:val="24"/>
          <w:szCs w:val="24"/>
        </w:rPr>
        <w:t xml:space="preserve"> </w:t>
      </w:r>
    </w:p>
    <w:p w:rsidR="00F57E45" w:rsidRPr="00160A6B" w:rsidRDefault="00385092" w:rsidP="00160A6B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160A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160A6B">
        <w:rPr>
          <w:rFonts w:ascii="Times New Roman" w:hAnsi="Times New Roman"/>
          <w:sz w:val="24"/>
          <w:szCs w:val="24"/>
        </w:rPr>
        <w:t>Při prodlení zhotovitele s předáním díla včetně předání kolaudačního souhlasu v termínu uvedeném v čl. III</w:t>
      </w:r>
      <w:r w:rsidR="00014EA2" w:rsidRPr="00160A6B">
        <w:rPr>
          <w:rFonts w:ascii="Times New Roman" w:hAnsi="Times New Roman"/>
          <w:sz w:val="24"/>
          <w:szCs w:val="24"/>
        </w:rPr>
        <w:t>. této smlouvy</w:t>
      </w:r>
      <w:r w:rsidR="0043086C" w:rsidRPr="00160A6B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 w:rsidRPr="00160A6B">
        <w:rPr>
          <w:rFonts w:ascii="Times New Roman" w:hAnsi="Times New Roman"/>
          <w:sz w:val="24"/>
          <w:szCs w:val="24"/>
        </w:rPr>
        <w:t xml:space="preserve">smluvní pokutu ve výši </w:t>
      </w:r>
      <w:r w:rsidR="005F5131" w:rsidRPr="00160A6B">
        <w:rPr>
          <w:rFonts w:ascii="Times New Roman" w:hAnsi="Times New Roman"/>
          <w:sz w:val="24"/>
          <w:szCs w:val="24"/>
        </w:rPr>
        <w:br/>
        <w:t>2</w:t>
      </w:r>
      <w:r w:rsidR="00330445" w:rsidRPr="00160A6B">
        <w:rPr>
          <w:rFonts w:ascii="Times New Roman" w:hAnsi="Times New Roman"/>
          <w:sz w:val="24"/>
          <w:szCs w:val="24"/>
        </w:rPr>
        <w:t xml:space="preserve"> </w:t>
      </w:r>
      <w:r w:rsidR="005F5131" w:rsidRPr="00160A6B">
        <w:rPr>
          <w:rFonts w:ascii="Times New Roman" w:hAnsi="Times New Roman"/>
          <w:sz w:val="24"/>
          <w:szCs w:val="24"/>
        </w:rPr>
        <w:t>0</w:t>
      </w:r>
      <w:r w:rsidR="00330445" w:rsidRPr="00160A6B">
        <w:rPr>
          <w:rFonts w:ascii="Times New Roman" w:hAnsi="Times New Roman"/>
          <w:sz w:val="24"/>
          <w:szCs w:val="24"/>
        </w:rPr>
        <w:t>00</w:t>
      </w:r>
      <w:r w:rsidR="00014EA2" w:rsidRPr="00160A6B">
        <w:rPr>
          <w:rFonts w:ascii="Times New Roman" w:hAnsi="Times New Roman"/>
          <w:sz w:val="24"/>
          <w:szCs w:val="24"/>
        </w:rPr>
        <w:t xml:space="preserve"> </w:t>
      </w:r>
      <w:r w:rsidR="00F92CE1" w:rsidRPr="00160A6B">
        <w:rPr>
          <w:rFonts w:ascii="Times New Roman" w:hAnsi="Times New Roman"/>
          <w:sz w:val="24"/>
          <w:szCs w:val="24"/>
        </w:rPr>
        <w:t xml:space="preserve">Kč </w:t>
      </w:r>
      <w:r w:rsidR="0043086C" w:rsidRPr="00160A6B">
        <w:rPr>
          <w:rFonts w:ascii="Times New Roman" w:hAnsi="Times New Roman"/>
          <w:sz w:val="24"/>
          <w:szCs w:val="24"/>
        </w:rPr>
        <w:t>za každý den prodlení s předáním díla</w:t>
      </w:r>
    </w:p>
    <w:p w:rsidR="00AE2642" w:rsidRPr="00160A6B" w:rsidRDefault="00385092" w:rsidP="00160A6B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160A6B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 w:rsidRPr="00160A6B">
        <w:rPr>
          <w:rFonts w:ascii="Times New Roman" w:hAnsi="Times New Roman"/>
          <w:sz w:val="24"/>
          <w:szCs w:val="24"/>
        </w:rPr>
        <w:t> </w:t>
      </w:r>
      <w:r w:rsidR="00AE2642" w:rsidRPr="00160A6B">
        <w:rPr>
          <w:rFonts w:ascii="Times New Roman" w:hAnsi="Times New Roman"/>
          <w:sz w:val="24"/>
          <w:szCs w:val="24"/>
        </w:rPr>
        <w:t>předání</w:t>
      </w:r>
      <w:r w:rsidRPr="00160A6B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160A6B">
        <w:rPr>
          <w:rFonts w:ascii="Times New Roman" w:hAnsi="Times New Roman"/>
          <w:sz w:val="24"/>
          <w:szCs w:val="24"/>
        </w:rPr>
        <w:t>t</w:t>
      </w:r>
      <w:r w:rsidRPr="00160A6B">
        <w:rPr>
          <w:rFonts w:ascii="Times New Roman" w:hAnsi="Times New Roman"/>
          <w:sz w:val="24"/>
          <w:szCs w:val="24"/>
        </w:rPr>
        <w:t xml:space="preserve">u ve výši </w:t>
      </w:r>
      <w:r w:rsidR="005F5131" w:rsidRPr="00160A6B">
        <w:rPr>
          <w:rFonts w:ascii="Times New Roman" w:hAnsi="Times New Roman"/>
          <w:sz w:val="24"/>
          <w:szCs w:val="24"/>
        </w:rPr>
        <w:t>2 0</w:t>
      </w:r>
      <w:r w:rsidR="00330445" w:rsidRPr="00160A6B">
        <w:rPr>
          <w:rFonts w:ascii="Times New Roman" w:hAnsi="Times New Roman"/>
          <w:sz w:val="24"/>
          <w:szCs w:val="24"/>
        </w:rPr>
        <w:t>00</w:t>
      </w:r>
      <w:r w:rsidR="00014EA2" w:rsidRPr="00160A6B">
        <w:rPr>
          <w:rFonts w:ascii="Times New Roman" w:hAnsi="Times New Roman"/>
          <w:sz w:val="24"/>
          <w:szCs w:val="24"/>
        </w:rPr>
        <w:t xml:space="preserve"> Kč </w:t>
      </w:r>
      <w:r w:rsidRPr="00160A6B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160A6B">
        <w:rPr>
          <w:rFonts w:ascii="Times New Roman" w:hAnsi="Times New Roman"/>
          <w:sz w:val="24"/>
          <w:szCs w:val="24"/>
        </w:rPr>
        <w:t>.</w:t>
      </w:r>
    </w:p>
    <w:p w:rsidR="000D03E5" w:rsidRPr="00160A6B" w:rsidRDefault="00B0703E" w:rsidP="00160A6B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lastRenderedPageBreak/>
        <w:t>Při</w:t>
      </w:r>
      <w:r w:rsidR="00014EA2" w:rsidRPr="00160A6B">
        <w:rPr>
          <w:rFonts w:ascii="Times New Roman" w:hAnsi="Times New Roman"/>
          <w:sz w:val="24"/>
          <w:szCs w:val="24"/>
        </w:rPr>
        <w:t xml:space="preserve"> porušení</w:t>
      </w:r>
      <w:r w:rsidR="0030047E" w:rsidRPr="00160A6B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160A6B">
        <w:rPr>
          <w:rFonts w:ascii="Times New Roman" w:hAnsi="Times New Roman"/>
          <w:sz w:val="24"/>
          <w:szCs w:val="24"/>
        </w:rPr>
        <w:t>a</w:t>
      </w:r>
      <w:r w:rsidR="00C85501" w:rsidRPr="00160A6B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160A6B">
        <w:rPr>
          <w:rFonts w:ascii="Times New Roman" w:hAnsi="Times New Roman"/>
          <w:sz w:val="24"/>
          <w:szCs w:val="24"/>
        </w:rPr>
        <w:t xml:space="preserve"> je </w:t>
      </w:r>
      <w:r w:rsidR="00C85501" w:rsidRPr="00160A6B">
        <w:rPr>
          <w:rFonts w:ascii="Times New Roman" w:hAnsi="Times New Roman"/>
          <w:sz w:val="24"/>
          <w:szCs w:val="24"/>
        </w:rPr>
        <w:t>objednatel</w:t>
      </w:r>
      <w:r w:rsidR="0030047E" w:rsidRPr="00160A6B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160A6B">
        <w:rPr>
          <w:rFonts w:ascii="Times New Roman" w:hAnsi="Times New Roman"/>
          <w:sz w:val="24"/>
          <w:szCs w:val="24"/>
        </w:rPr>
        <w:t xml:space="preserve"> smluvní pokutu ve výši </w:t>
      </w:r>
      <w:r w:rsidR="005F5131" w:rsidRPr="00160A6B">
        <w:rPr>
          <w:rFonts w:ascii="Times New Roman" w:hAnsi="Times New Roman"/>
          <w:sz w:val="24"/>
          <w:szCs w:val="24"/>
        </w:rPr>
        <w:t>3</w:t>
      </w:r>
      <w:r w:rsidR="00330445" w:rsidRPr="00160A6B">
        <w:rPr>
          <w:rFonts w:ascii="Times New Roman" w:hAnsi="Times New Roman"/>
          <w:sz w:val="24"/>
          <w:szCs w:val="24"/>
        </w:rPr>
        <w:t xml:space="preserve"> 000</w:t>
      </w:r>
      <w:r w:rsidR="00245376" w:rsidRPr="00160A6B">
        <w:rPr>
          <w:rFonts w:ascii="Times New Roman" w:hAnsi="Times New Roman"/>
          <w:sz w:val="24"/>
          <w:szCs w:val="24"/>
        </w:rPr>
        <w:t xml:space="preserve"> </w:t>
      </w:r>
      <w:r w:rsidR="00A11243" w:rsidRPr="00160A6B">
        <w:rPr>
          <w:rFonts w:ascii="Times New Roman" w:hAnsi="Times New Roman"/>
          <w:sz w:val="24"/>
          <w:szCs w:val="24"/>
        </w:rPr>
        <w:t>Kč</w:t>
      </w:r>
      <w:r w:rsidR="006375DA" w:rsidRPr="00160A6B">
        <w:rPr>
          <w:rFonts w:ascii="Times New Roman" w:hAnsi="Times New Roman"/>
          <w:sz w:val="24"/>
          <w:szCs w:val="24"/>
        </w:rPr>
        <w:t xml:space="preserve"> </w:t>
      </w:r>
      <w:r w:rsidR="00C85501" w:rsidRPr="00160A6B">
        <w:rPr>
          <w:rFonts w:ascii="Times New Roman" w:hAnsi="Times New Roman"/>
          <w:sz w:val="24"/>
          <w:szCs w:val="24"/>
        </w:rPr>
        <w:t>za každ</w:t>
      </w:r>
      <w:r w:rsidR="0030047E" w:rsidRPr="00160A6B">
        <w:rPr>
          <w:rFonts w:ascii="Times New Roman" w:hAnsi="Times New Roman"/>
          <w:sz w:val="24"/>
          <w:szCs w:val="24"/>
        </w:rPr>
        <w:t>é jednotlivé porušení</w:t>
      </w:r>
      <w:r w:rsidR="008532B1" w:rsidRPr="00160A6B">
        <w:rPr>
          <w:rFonts w:ascii="Times New Roman" w:hAnsi="Times New Roman"/>
          <w:sz w:val="24"/>
          <w:szCs w:val="24"/>
        </w:rPr>
        <w:t>;</w:t>
      </w:r>
      <w:r w:rsidR="00792243" w:rsidRPr="00160A6B">
        <w:rPr>
          <w:rFonts w:ascii="Times New Roman" w:hAnsi="Times New Roman"/>
          <w:sz w:val="24"/>
          <w:szCs w:val="24"/>
        </w:rPr>
        <w:t xml:space="preserve"> jedná se zejména o </w:t>
      </w:r>
      <w:r w:rsidR="009660C1" w:rsidRPr="00160A6B">
        <w:rPr>
          <w:rFonts w:ascii="Times New Roman" w:hAnsi="Times New Roman"/>
          <w:sz w:val="24"/>
          <w:szCs w:val="24"/>
        </w:rPr>
        <w:t>porušení</w:t>
      </w:r>
      <w:r w:rsidR="00792243" w:rsidRPr="00160A6B">
        <w:rPr>
          <w:rFonts w:ascii="Times New Roman" w:hAnsi="Times New Roman"/>
          <w:sz w:val="24"/>
          <w:szCs w:val="24"/>
        </w:rPr>
        <w:t>:</w:t>
      </w:r>
    </w:p>
    <w:p w:rsidR="000D03E5" w:rsidRPr="00160A6B" w:rsidRDefault="000D03E5" w:rsidP="00160A6B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provádě</w:t>
      </w:r>
      <w:r w:rsidR="00792243" w:rsidRPr="00160A6B">
        <w:rPr>
          <w:rFonts w:ascii="Times New Roman" w:hAnsi="Times New Roman"/>
          <w:sz w:val="24"/>
          <w:szCs w:val="24"/>
        </w:rPr>
        <w:t>t</w:t>
      </w:r>
      <w:r w:rsidRPr="00160A6B">
        <w:rPr>
          <w:rFonts w:ascii="Times New Roman" w:hAnsi="Times New Roman"/>
          <w:sz w:val="24"/>
          <w:szCs w:val="24"/>
        </w:rPr>
        <w:t xml:space="preserve"> pravideln</w:t>
      </w:r>
      <w:r w:rsidR="00792243" w:rsidRPr="00160A6B">
        <w:rPr>
          <w:rFonts w:ascii="Times New Roman" w:hAnsi="Times New Roman"/>
          <w:sz w:val="24"/>
          <w:szCs w:val="24"/>
        </w:rPr>
        <w:t>ý</w:t>
      </w:r>
      <w:r w:rsidRPr="00160A6B">
        <w:rPr>
          <w:rFonts w:ascii="Times New Roman" w:hAnsi="Times New Roman"/>
          <w:sz w:val="24"/>
          <w:szCs w:val="24"/>
        </w:rPr>
        <w:t xml:space="preserve"> úklid po výkonu stavebních činností včetně čistění přilehlýc</w:t>
      </w:r>
      <w:r w:rsidR="00792243" w:rsidRPr="00160A6B">
        <w:rPr>
          <w:rFonts w:ascii="Times New Roman" w:hAnsi="Times New Roman"/>
          <w:sz w:val="24"/>
          <w:szCs w:val="24"/>
        </w:rPr>
        <w:t xml:space="preserve">h </w:t>
      </w:r>
      <w:r w:rsidRPr="00160A6B">
        <w:rPr>
          <w:rFonts w:ascii="Times New Roman" w:hAnsi="Times New Roman"/>
          <w:sz w:val="24"/>
          <w:szCs w:val="24"/>
        </w:rPr>
        <w:t>ploch a komunikací</w:t>
      </w:r>
      <w:r w:rsidR="000D76F1" w:rsidRPr="00160A6B">
        <w:rPr>
          <w:rFonts w:ascii="Times New Roman" w:hAnsi="Times New Roman"/>
          <w:sz w:val="24"/>
          <w:szCs w:val="24"/>
        </w:rPr>
        <w:t>;</w:t>
      </w:r>
    </w:p>
    <w:p w:rsidR="000D03E5" w:rsidRPr="00160A6B" w:rsidRDefault="000D03E5" w:rsidP="00160A6B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skladování materiálu v rozporu s podmínkami BOZP</w:t>
      </w:r>
      <w:r w:rsidR="000D76F1" w:rsidRPr="00160A6B">
        <w:rPr>
          <w:rFonts w:ascii="Times New Roman" w:hAnsi="Times New Roman"/>
          <w:sz w:val="24"/>
          <w:szCs w:val="24"/>
        </w:rPr>
        <w:t>;</w:t>
      </w:r>
    </w:p>
    <w:p w:rsidR="000D03E5" w:rsidRPr="00160A6B" w:rsidRDefault="00665604" w:rsidP="00160A6B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likvidac</w:t>
      </w:r>
      <w:r w:rsidR="00792243" w:rsidRPr="00160A6B">
        <w:rPr>
          <w:rFonts w:ascii="Times New Roman" w:hAnsi="Times New Roman"/>
          <w:sz w:val="24"/>
          <w:szCs w:val="24"/>
        </w:rPr>
        <w:t>e</w:t>
      </w:r>
      <w:r w:rsidRPr="00160A6B">
        <w:rPr>
          <w:rFonts w:ascii="Times New Roman" w:hAnsi="Times New Roman"/>
          <w:sz w:val="24"/>
          <w:szCs w:val="24"/>
        </w:rPr>
        <w:t xml:space="preserve"> a odvoz odpadu</w:t>
      </w:r>
      <w:r w:rsidR="000D76F1" w:rsidRPr="00160A6B">
        <w:rPr>
          <w:rFonts w:ascii="Times New Roman" w:hAnsi="Times New Roman"/>
          <w:sz w:val="24"/>
          <w:szCs w:val="24"/>
        </w:rPr>
        <w:t>;</w:t>
      </w:r>
    </w:p>
    <w:p w:rsidR="00792243" w:rsidRPr="00160A6B" w:rsidRDefault="00665604" w:rsidP="00160A6B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neoprávněný</w:t>
      </w:r>
      <w:r w:rsidR="00792243" w:rsidRPr="00160A6B">
        <w:rPr>
          <w:rFonts w:ascii="Times New Roman" w:hAnsi="Times New Roman"/>
          <w:sz w:val="24"/>
          <w:szCs w:val="24"/>
        </w:rPr>
        <w:t xml:space="preserve"> </w:t>
      </w:r>
      <w:r w:rsidRPr="00160A6B">
        <w:rPr>
          <w:rFonts w:ascii="Times New Roman" w:hAnsi="Times New Roman"/>
          <w:sz w:val="24"/>
          <w:szCs w:val="24"/>
        </w:rPr>
        <w:t>pohyb pracovníků a vozidel mimo schválené vyhrazené prostory v rámci areálu</w:t>
      </w:r>
      <w:r w:rsidR="009660C1" w:rsidRPr="00160A6B">
        <w:rPr>
          <w:rFonts w:ascii="Times New Roman" w:hAnsi="Times New Roman"/>
          <w:sz w:val="24"/>
          <w:szCs w:val="24"/>
        </w:rPr>
        <w:t>;</w:t>
      </w:r>
    </w:p>
    <w:p w:rsidR="00792243" w:rsidRPr="00160A6B" w:rsidRDefault="00792243" w:rsidP="00160A6B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nepředložen</w:t>
      </w:r>
      <w:r w:rsidR="009660C1" w:rsidRPr="00160A6B">
        <w:rPr>
          <w:rFonts w:ascii="Times New Roman" w:hAnsi="Times New Roman"/>
          <w:sz w:val="24"/>
          <w:szCs w:val="24"/>
        </w:rPr>
        <w:t>í závazného harmonogramu stavby.</w:t>
      </w:r>
    </w:p>
    <w:p w:rsidR="007F1C04" w:rsidRPr="00160A6B" w:rsidRDefault="007F1C04" w:rsidP="00160A6B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prodlení se splnění částí díla dle podrobného harmonogramu výstavby.</w:t>
      </w:r>
    </w:p>
    <w:p w:rsidR="001A6F2A" w:rsidRPr="00160A6B" w:rsidRDefault="007F1244" w:rsidP="00160A6B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 xml:space="preserve"> </w:t>
      </w:r>
      <w:r w:rsidR="00A27386" w:rsidRPr="00160A6B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160A6B">
        <w:rPr>
          <w:rFonts w:ascii="Times New Roman" w:hAnsi="Times New Roman"/>
          <w:sz w:val="24"/>
          <w:szCs w:val="24"/>
        </w:rPr>
        <w:t> </w:t>
      </w:r>
      <w:r w:rsidR="00A27386" w:rsidRPr="00160A6B">
        <w:rPr>
          <w:rFonts w:ascii="Times New Roman" w:hAnsi="Times New Roman"/>
          <w:sz w:val="24"/>
          <w:szCs w:val="24"/>
        </w:rPr>
        <w:t>499/2006 Sb. v platn</w:t>
      </w:r>
      <w:r w:rsidR="00014EA2" w:rsidRPr="00160A6B">
        <w:rPr>
          <w:rFonts w:ascii="Times New Roman" w:hAnsi="Times New Roman"/>
          <w:sz w:val="24"/>
          <w:szCs w:val="24"/>
        </w:rPr>
        <w:t xml:space="preserve">ém znění je stanovena ve výši 1 </w:t>
      </w:r>
      <w:r w:rsidR="00A27386" w:rsidRPr="00160A6B">
        <w:rPr>
          <w:rFonts w:ascii="Times New Roman" w:hAnsi="Times New Roman"/>
          <w:sz w:val="24"/>
          <w:szCs w:val="24"/>
        </w:rPr>
        <w:t>000 Kč / den do</w:t>
      </w:r>
      <w:r w:rsidR="00014EA2" w:rsidRPr="00160A6B">
        <w:rPr>
          <w:rFonts w:ascii="Times New Roman" w:hAnsi="Times New Roman"/>
          <w:sz w:val="24"/>
          <w:szCs w:val="24"/>
        </w:rPr>
        <w:t> </w:t>
      </w:r>
      <w:r w:rsidR="00A27386" w:rsidRPr="00160A6B">
        <w:rPr>
          <w:rFonts w:ascii="Times New Roman" w:hAnsi="Times New Roman"/>
          <w:sz w:val="24"/>
          <w:szCs w:val="24"/>
        </w:rPr>
        <w:t>odstranění zjištěných nedostatků.</w:t>
      </w:r>
    </w:p>
    <w:p w:rsidR="006F0781" w:rsidRPr="00160A6B" w:rsidRDefault="006F0781" w:rsidP="00160A6B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 xml:space="preserve">V případě porušení povinnosti dle čl. VIII. odst. 11 této smlouvy se zhotovitel zavazuje uhradit objednateli smluvní pokutu ve výši </w:t>
      </w:r>
      <w:r w:rsidR="00330445" w:rsidRPr="00160A6B">
        <w:rPr>
          <w:rFonts w:ascii="Times New Roman" w:hAnsi="Times New Roman"/>
          <w:sz w:val="24"/>
          <w:szCs w:val="24"/>
        </w:rPr>
        <w:t>1 000</w:t>
      </w:r>
      <w:r w:rsidRPr="00160A6B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:rsidR="003A0942" w:rsidRPr="00160A6B" w:rsidRDefault="003A0942" w:rsidP="00160A6B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160A6B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160A6B">
        <w:rPr>
          <w:rFonts w:ascii="Times New Roman" w:hAnsi="Times New Roman"/>
          <w:sz w:val="24"/>
          <w:szCs w:val="24"/>
        </w:rPr>
        <w:t xml:space="preserve">přílohou </w:t>
      </w:r>
      <w:r w:rsidRPr="00160A6B">
        <w:rPr>
          <w:rFonts w:ascii="Times New Roman" w:hAnsi="Times New Roman"/>
          <w:sz w:val="24"/>
          <w:szCs w:val="24"/>
        </w:rPr>
        <w:t>č. 1</w:t>
      </w:r>
      <w:r w:rsidR="00B0703E" w:rsidRPr="00160A6B">
        <w:rPr>
          <w:rFonts w:ascii="Times New Roman" w:hAnsi="Times New Roman"/>
          <w:sz w:val="24"/>
          <w:szCs w:val="24"/>
        </w:rPr>
        <w:t xml:space="preserve"> této smlouvy.</w:t>
      </w:r>
    </w:p>
    <w:p w:rsidR="002354D1" w:rsidRPr="00160A6B" w:rsidRDefault="002354D1" w:rsidP="00160A6B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160A6B">
        <w:rPr>
          <w:rFonts w:ascii="Times New Roman" w:hAnsi="Times New Roman"/>
          <w:sz w:val="24"/>
          <w:szCs w:val="24"/>
        </w:rPr>
        <w:t>objednateli b</w:t>
      </w:r>
      <w:r w:rsidRPr="00160A6B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160A6B">
        <w:rPr>
          <w:rFonts w:ascii="Times New Roman" w:hAnsi="Times New Roman"/>
          <w:sz w:val="24"/>
          <w:szCs w:val="24"/>
        </w:rPr>
        <w:t>na </w:t>
      </w:r>
      <w:r w:rsidRPr="00160A6B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:rsidR="00A11243" w:rsidRPr="00160A6B" w:rsidRDefault="0030047E" w:rsidP="00160A6B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 w:rsidRPr="00160A6B">
        <w:rPr>
          <w:rFonts w:ascii="Times New Roman" w:hAnsi="Times New Roman"/>
          <w:sz w:val="24"/>
          <w:szCs w:val="24"/>
        </w:rPr>
        <w:t>ch</w:t>
      </w:r>
      <w:r w:rsidRPr="00160A6B">
        <w:rPr>
          <w:rFonts w:ascii="Times New Roman" w:hAnsi="Times New Roman"/>
          <w:sz w:val="24"/>
          <w:szCs w:val="24"/>
        </w:rPr>
        <w:t xml:space="preserve"> pokut </w:t>
      </w:r>
      <w:r w:rsidR="00D8656A" w:rsidRPr="00160A6B">
        <w:rPr>
          <w:rFonts w:ascii="Times New Roman" w:hAnsi="Times New Roman"/>
          <w:sz w:val="24"/>
          <w:szCs w:val="24"/>
        </w:rPr>
        <w:t>n</w:t>
      </w:r>
      <w:r w:rsidRPr="00160A6B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:rsidR="0030047E" w:rsidRPr="00160A6B" w:rsidRDefault="0030047E" w:rsidP="00160A6B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:rsidR="00A66240" w:rsidRPr="00160A6B" w:rsidRDefault="00A66240" w:rsidP="00160A6B">
      <w:pPr>
        <w:tabs>
          <w:tab w:val="num" w:pos="284"/>
        </w:tabs>
        <w:jc w:val="both"/>
        <w:rPr>
          <w:sz w:val="24"/>
          <w:szCs w:val="24"/>
        </w:rPr>
      </w:pPr>
    </w:p>
    <w:p w:rsidR="00C042BD" w:rsidRPr="00160A6B" w:rsidRDefault="00A66240" w:rsidP="00160A6B">
      <w:pPr>
        <w:pStyle w:val="Nadpis2"/>
        <w:keepNext w:val="0"/>
        <w:shd w:val="clear" w:color="auto" w:fill="auto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160A6B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160A6B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160A6B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:rsidR="00AE2642" w:rsidRPr="00160A6B" w:rsidRDefault="00AE2642" w:rsidP="00160A6B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Odstoupit od této smlouvy lze</w:t>
      </w:r>
      <w:r w:rsidR="00157103" w:rsidRPr="00160A6B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160A6B">
        <w:rPr>
          <w:rFonts w:ascii="Times New Roman" w:hAnsi="Times New Roman"/>
          <w:sz w:val="24"/>
          <w:szCs w:val="24"/>
        </w:rPr>
        <w:t xml:space="preserve"> </w:t>
      </w:r>
      <w:r w:rsidR="00157103" w:rsidRPr="00160A6B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:rsidR="00AE2642" w:rsidRPr="00160A6B" w:rsidRDefault="00AE2642" w:rsidP="00D42F33">
      <w:pPr>
        <w:pStyle w:val="Zkladntext3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120"/>
        <w:ind w:left="709" w:hanging="283"/>
        <w:jc w:val="both"/>
        <w:rPr>
          <w:szCs w:val="24"/>
        </w:rPr>
      </w:pPr>
      <w:r w:rsidRPr="00160A6B">
        <w:rPr>
          <w:szCs w:val="24"/>
        </w:rPr>
        <w:t>neplnění předmětu díla podle čl. I.</w:t>
      </w:r>
      <w:r w:rsidR="00231BB5" w:rsidRPr="00160A6B">
        <w:rPr>
          <w:szCs w:val="24"/>
        </w:rPr>
        <w:t xml:space="preserve"> této smlouvy</w:t>
      </w:r>
      <w:r w:rsidR="00A87620" w:rsidRPr="00160A6B">
        <w:rPr>
          <w:szCs w:val="24"/>
        </w:rPr>
        <w:t>;</w:t>
      </w:r>
    </w:p>
    <w:p w:rsidR="00AE2642" w:rsidRPr="00160A6B" w:rsidRDefault="00AE2642" w:rsidP="00D42F33">
      <w:pPr>
        <w:pStyle w:val="Zkladntext3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120"/>
        <w:ind w:left="709" w:hanging="283"/>
        <w:jc w:val="both"/>
        <w:rPr>
          <w:szCs w:val="24"/>
        </w:rPr>
      </w:pPr>
      <w:r w:rsidRPr="00160A6B">
        <w:rPr>
          <w:szCs w:val="24"/>
        </w:rPr>
        <w:t>zhotovitel neprovede dílo v patřičné kvalitě podle platných předpisů a norem</w:t>
      </w:r>
      <w:r w:rsidR="00A87620" w:rsidRPr="00160A6B">
        <w:rPr>
          <w:szCs w:val="24"/>
        </w:rPr>
        <w:t>;</w:t>
      </w:r>
    </w:p>
    <w:p w:rsidR="00AE2642" w:rsidRPr="00160A6B" w:rsidRDefault="00AE2642" w:rsidP="00D42F33">
      <w:pPr>
        <w:pStyle w:val="Zkladntext3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120"/>
        <w:ind w:left="709" w:hanging="283"/>
        <w:jc w:val="both"/>
        <w:rPr>
          <w:szCs w:val="24"/>
        </w:rPr>
      </w:pPr>
      <w:r w:rsidRPr="00160A6B">
        <w:rPr>
          <w:szCs w:val="24"/>
        </w:rPr>
        <w:t xml:space="preserve">zhotovitel je v prodlení s termínem dokončení díla o více než </w:t>
      </w:r>
      <w:r w:rsidR="00F36D29" w:rsidRPr="00160A6B">
        <w:rPr>
          <w:szCs w:val="24"/>
        </w:rPr>
        <w:t>5</w:t>
      </w:r>
      <w:r w:rsidRPr="00160A6B">
        <w:rPr>
          <w:szCs w:val="24"/>
        </w:rPr>
        <w:t xml:space="preserve"> kalendářních dnů</w:t>
      </w:r>
      <w:r w:rsidR="00A87620" w:rsidRPr="00160A6B">
        <w:rPr>
          <w:szCs w:val="24"/>
        </w:rPr>
        <w:t>;</w:t>
      </w:r>
    </w:p>
    <w:p w:rsidR="00AE2642" w:rsidRPr="00160A6B" w:rsidRDefault="00AE2642" w:rsidP="00D42F33">
      <w:pPr>
        <w:pStyle w:val="Zkladntext3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120"/>
        <w:ind w:left="709" w:hanging="283"/>
        <w:jc w:val="both"/>
        <w:rPr>
          <w:szCs w:val="24"/>
        </w:rPr>
      </w:pPr>
      <w:r w:rsidRPr="00160A6B">
        <w:rPr>
          <w:szCs w:val="24"/>
        </w:rPr>
        <w:t>zhotovitel bez vážných důvodů přerušil práce na díle na dobu delší</w:t>
      </w:r>
      <w:r w:rsidR="00A54045" w:rsidRPr="00160A6B">
        <w:rPr>
          <w:szCs w:val="24"/>
        </w:rPr>
        <w:t xml:space="preserve"> </w:t>
      </w:r>
      <w:r w:rsidRPr="00160A6B">
        <w:rPr>
          <w:szCs w:val="24"/>
        </w:rPr>
        <w:t>než</w:t>
      </w:r>
      <w:r w:rsidR="00A54045" w:rsidRPr="00160A6B">
        <w:rPr>
          <w:szCs w:val="24"/>
        </w:rPr>
        <w:t xml:space="preserve"> </w:t>
      </w:r>
      <w:r w:rsidR="00A87620" w:rsidRPr="00160A6B">
        <w:rPr>
          <w:szCs w:val="24"/>
        </w:rPr>
        <w:t>5 kalendářních dnů</w:t>
      </w:r>
      <w:r w:rsidR="002B2A1D" w:rsidRPr="00160A6B">
        <w:rPr>
          <w:szCs w:val="24"/>
        </w:rPr>
        <w:t>;</w:t>
      </w:r>
    </w:p>
    <w:p w:rsidR="002B54C5" w:rsidRPr="00160A6B" w:rsidRDefault="002B54C5" w:rsidP="00D42F33">
      <w:pPr>
        <w:pStyle w:val="Zkladntext3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120"/>
        <w:ind w:left="709" w:hanging="283"/>
        <w:jc w:val="both"/>
        <w:rPr>
          <w:szCs w:val="24"/>
        </w:rPr>
      </w:pPr>
      <w:r w:rsidRPr="00160A6B">
        <w:rPr>
          <w:szCs w:val="24"/>
        </w:rPr>
        <w:t>zhotovitel řádně a včas neprokáže trvání platné a účinné pojistné smlouvy dle čl.</w:t>
      </w:r>
      <w:r w:rsidR="00014EA2" w:rsidRPr="00160A6B">
        <w:rPr>
          <w:szCs w:val="24"/>
        </w:rPr>
        <w:t> </w:t>
      </w:r>
      <w:r w:rsidRPr="00160A6B">
        <w:rPr>
          <w:szCs w:val="24"/>
        </w:rPr>
        <w:t>VIII</w:t>
      </w:r>
      <w:r w:rsidR="00014EA2" w:rsidRPr="00160A6B">
        <w:rPr>
          <w:szCs w:val="24"/>
        </w:rPr>
        <w:t>.</w:t>
      </w:r>
      <w:r w:rsidRPr="00160A6B">
        <w:rPr>
          <w:szCs w:val="24"/>
        </w:rPr>
        <w:t xml:space="preserve"> odst. </w:t>
      </w:r>
      <w:r w:rsidR="00037190" w:rsidRPr="00160A6B">
        <w:rPr>
          <w:szCs w:val="24"/>
        </w:rPr>
        <w:t>10</w:t>
      </w:r>
      <w:r w:rsidR="00C92AE6" w:rsidRPr="00160A6B">
        <w:rPr>
          <w:szCs w:val="24"/>
        </w:rPr>
        <w:t>.</w:t>
      </w:r>
      <w:r w:rsidR="008005AA" w:rsidRPr="00160A6B">
        <w:rPr>
          <w:szCs w:val="24"/>
        </w:rPr>
        <w:t xml:space="preserve"> této smlouvy.</w:t>
      </w:r>
    </w:p>
    <w:p w:rsidR="006D6F14" w:rsidRPr="000E78B0" w:rsidRDefault="00AE2642" w:rsidP="00160A6B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160A6B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</w:t>
      </w:r>
      <w:r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lastRenderedPageBreak/>
        <w:t>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:rsidR="00806F68" w:rsidRPr="000E78B0" w:rsidRDefault="00806F68" w:rsidP="002B54C5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:rsidR="00806F68" w:rsidRPr="000E78B0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806F68" w:rsidRPr="006B398C" w:rsidRDefault="00806F68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:rsidR="00806F68" w:rsidRPr="006B398C" w:rsidRDefault="00C000E7" w:rsidP="00C000E7">
      <w:pPr>
        <w:pStyle w:val="Odstavecseseznamem"/>
        <w:numPr>
          <w:ilvl w:val="0"/>
          <w:numId w:val="4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:rsidR="00806F68" w:rsidRPr="006B398C" w:rsidRDefault="00C000E7" w:rsidP="00C000E7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FA62AA" w:rsidRPr="006B398C" w:rsidRDefault="00B46B1D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:rsidR="002354D1" w:rsidRPr="00B20337" w:rsidRDefault="002354D1" w:rsidP="002354D1">
      <w:pPr>
        <w:rPr>
          <w:sz w:val="24"/>
          <w:szCs w:val="24"/>
        </w:rPr>
      </w:pPr>
      <w:r w:rsidRPr="00B20337">
        <w:rPr>
          <w:sz w:val="24"/>
          <w:szCs w:val="24"/>
        </w:rPr>
        <w:t>Přílohy:</w:t>
      </w:r>
    </w:p>
    <w:p w:rsidR="00806F68" w:rsidRPr="00B20337" w:rsidRDefault="00F92CE1" w:rsidP="00EA3BE5">
      <w:pPr>
        <w:pStyle w:val="Zkladntext3"/>
        <w:spacing w:before="0" w:after="120"/>
        <w:jc w:val="both"/>
        <w:rPr>
          <w:szCs w:val="24"/>
        </w:rPr>
      </w:pPr>
      <w:r w:rsidRPr="00B20337">
        <w:rPr>
          <w:szCs w:val="24"/>
        </w:rPr>
        <w:t>č. 1 – Sankce za porušení BOZP, PO a OŽP</w:t>
      </w:r>
    </w:p>
    <w:p w:rsidR="000D591D" w:rsidRPr="00B20337" w:rsidRDefault="000D591D" w:rsidP="00EA3BE5">
      <w:pPr>
        <w:pStyle w:val="Zkladntext3"/>
        <w:spacing w:before="0" w:after="120"/>
        <w:jc w:val="both"/>
        <w:rPr>
          <w:szCs w:val="24"/>
        </w:rPr>
      </w:pPr>
      <w:r w:rsidRPr="00B20337">
        <w:rPr>
          <w:szCs w:val="24"/>
        </w:rPr>
        <w:t xml:space="preserve">č. 2 – </w:t>
      </w:r>
      <w:r w:rsidR="00B20337" w:rsidRPr="00B20337">
        <w:rPr>
          <w:szCs w:val="24"/>
        </w:rPr>
        <w:t>Oceněný soupis stavebních prací, dodávek a služeb s výkazem výměr</w:t>
      </w:r>
    </w:p>
    <w:p w:rsidR="00AB1D32" w:rsidRDefault="00665604" w:rsidP="00EA3BE5">
      <w:pPr>
        <w:pStyle w:val="Zkladntext3"/>
        <w:spacing w:before="0" w:after="120"/>
        <w:jc w:val="both"/>
        <w:rPr>
          <w:szCs w:val="24"/>
        </w:rPr>
      </w:pPr>
      <w:r w:rsidRPr="00B20337">
        <w:rPr>
          <w:szCs w:val="24"/>
        </w:rPr>
        <w:t>č. 3 – Harmonogram prací</w:t>
      </w:r>
    </w:p>
    <w:p w:rsidR="00824CBB" w:rsidRPr="000E78B0" w:rsidRDefault="00824CBB" w:rsidP="00EA3BE5">
      <w:pPr>
        <w:pStyle w:val="Zkladntext3"/>
        <w:spacing w:before="0" w:after="120"/>
        <w:jc w:val="both"/>
        <w:rPr>
          <w:szCs w:val="24"/>
        </w:rPr>
      </w:pPr>
    </w:p>
    <w:p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824CBB" w:rsidRPr="00824CBB">
        <w:rPr>
          <w:sz w:val="24"/>
          <w:szCs w:val="24"/>
        </w:rPr>
        <w:t>Třebíči</w:t>
      </w:r>
      <w:r w:rsidR="009C1202" w:rsidRPr="000E78B0">
        <w:rPr>
          <w:sz w:val="24"/>
          <w:szCs w:val="24"/>
        </w:rPr>
        <w:t xml:space="preserve"> </w:t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824CBB" w:rsidRPr="00824CBB">
        <w:rPr>
          <w:rFonts w:ascii="Times New Roman" w:hAnsi="Times New Roman"/>
          <w:sz w:val="24"/>
          <w:szCs w:val="24"/>
        </w:rPr>
        <w:t>TOMIreko, s.r.o.</w:t>
      </w:r>
    </w:p>
    <w:p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6D53F8">
        <w:rPr>
          <w:rFonts w:ascii="Times New Roman" w:hAnsi="Times New Roman"/>
          <w:sz w:val="24"/>
          <w:szCs w:val="24"/>
        </w:rPr>
        <w:t>XXX</w:t>
      </w:r>
      <w:bookmarkStart w:id="4" w:name="_GoBack"/>
      <w:bookmarkEnd w:id="4"/>
    </w:p>
    <w:p w:rsidR="00F92CE1" w:rsidRPr="00361E51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  <w:highlight w:val="yellow"/>
        </w:r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r w:rsidR="00824CBB" w:rsidRPr="00824CBB">
        <w:rPr>
          <w:sz w:val="24"/>
          <w:szCs w:val="24"/>
        </w:rPr>
        <w:t>jednatel</w:t>
      </w:r>
      <w:r w:rsidR="00F92CE1" w:rsidRPr="00A43506">
        <w:rPr>
          <w:sz w:val="24"/>
          <w:szCs w:val="24"/>
        </w:rPr>
        <w:tab/>
      </w:r>
    </w:p>
    <w:p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:rsidTr="0049577D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:rsidTr="0049577D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:rsidTr="0049577D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:rsidTr="0049577D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884" w:rsidRDefault="00C87884">
      <w:r>
        <w:separator/>
      </w:r>
    </w:p>
  </w:endnote>
  <w:endnote w:type="continuationSeparator" w:id="0">
    <w:p w:rsidR="00C87884" w:rsidRDefault="00C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CB46FC">
      <w:rPr>
        <w:rStyle w:val="slostrnky"/>
        <w:noProof/>
        <w:sz w:val="24"/>
        <w:szCs w:val="24"/>
      </w:rPr>
      <w:t>2</w:t>
    </w:r>
    <w:r w:rsidRPr="002A3430">
      <w:rPr>
        <w:rStyle w:val="slostrnky"/>
        <w:sz w:val="24"/>
        <w:szCs w:val="24"/>
      </w:rPr>
      <w:fldChar w:fldCharType="end"/>
    </w:r>
  </w:p>
  <w:p w:rsidR="00126A9A" w:rsidRDefault="00C87884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margin-left:-18.15pt;margin-top:-23.15pt;width:33.5pt;height:39.9pt;z-index:2;visibility:visible;mso-wrap-edited:f;mso-wrap-distance-left:0;mso-wrap-distance-right:0" filled="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Default="00C87884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18.15pt;margin-top:-32.15pt;width:33.5pt;height:39.9pt;z-index:1;visibility:visible;mso-wrap-edited:f;mso-wrap-distance-left:0;mso-wrap-distance-right:0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884" w:rsidRDefault="00C87884">
      <w:r>
        <w:separator/>
      </w:r>
    </w:p>
  </w:footnote>
  <w:footnote w:type="continuationSeparator" w:id="0">
    <w:p w:rsidR="00C87884" w:rsidRDefault="00C8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CA" w:rsidRPr="009A15DC" w:rsidRDefault="00722094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834303">
      <w:rPr>
        <w:b/>
        <w:sz w:val="24"/>
        <w:szCs w:val="24"/>
      </w:rPr>
      <w:t>V-306-00/22</w:t>
    </w:r>
  </w:p>
  <w:p w:rsidR="00303658" w:rsidRPr="009A15DC" w:rsidRDefault="00303658" w:rsidP="00D56DF2">
    <w:pPr>
      <w:pStyle w:val="Zhlav"/>
      <w:jc w:val="center"/>
      <w:rPr>
        <w:b/>
        <w:color w:val="000000"/>
        <w:sz w:val="24"/>
        <w:szCs w:val="24"/>
      </w:rPr>
    </w:pPr>
  </w:p>
  <w:p w:rsidR="00731325" w:rsidRPr="00F76CCA" w:rsidRDefault="00F925CD" w:rsidP="00F76CCA">
    <w:pPr>
      <w:pStyle w:val="Zhlav"/>
    </w:pPr>
    <w:r w:rsidRPr="00F925CD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4pt;height:676.8pt">
          <v:imagedata r:id="rId1" o:title=""/>
        </v:shape>
        <o:OLEObject Type="Embed" ProgID="Word.Document.12" ShapeID="_x0000_i1025" DrawAspect="Content" ObjectID="_1721200002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Pr="009A15DC" w:rsidRDefault="00F92CE1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824CBB">
      <w:rPr>
        <w:b/>
        <w:sz w:val="24"/>
        <w:szCs w:val="24"/>
      </w:rPr>
      <w:t>V-306-00/22</w:t>
    </w:r>
  </w:p>
  <w:p w:rsidR="00F92CE1" w:rsidRPr="009A15DC" w:rsidRDefault="00F92CE1" w:rsidP="00D56DF2">
    <w:pPr>
      <w:pStyle w:val="Zhlav"/>
      <w:jc w:val="center"/>
      <w:rPr>
        <w:b/>
        <w:color w:val="000000"/>
        <w:sz w:val="24"/>
        <w:szCs w:val="24"/>
      </w:rPr>
    </w:pPr>
  </w:p>
  <w:p w:rsidR="00F92CE1" w:rsidRPr="00F76CCA" w:rsidRDefault="00F925CD" w:rsidP="00F76CCA">
    <w:pPr>
      <w:pStyle w:val="Zhlav"/>
    </w:pPr>
    <w:r w:rsidRPr="00F925CD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1.4pt;height:676.8pt">
          <v:imagedata r:id="rId1" o:title=""/>
        </v:shape>
        <o:OLEObject Type="Embed" ProgID="Word.Document.12" ShapeID="_x0000_i1026" DrawAspect="Content" ObjectID="_172120000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BA5"/>
    <w:multiLevelType w:val="hybridMultilevel"/>
    <w:tmpl w:val="C9C8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86794"/>
    <w:multiLevelType w:val="hybridMultilevel"/>
    <w:tmpl w:val="C3529B8E"/>
    <w:lvl w:ilvl="0" w:tplc="48AEA64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8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6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4"/>
  </w:num>
  <w:num w:numId="4">
    <w:abstractNumId w:val="46"/>
  </w:num>
  <w:num w:numId="5">
    <w:abstractNumId w:val="48"/>
  </w:num>
  <w:num w:numId="6">
    <w:abstractNumId w:val="14"/>
  </w:num>
  <w:num w:numId="7">
    <w:abstractNumId w:val="11"/>
  </w:num>
  <w:num w:numId="8">
    <w:abstractNumId w:val="43"/>
  </w:num>
  <w:num w:numId="9">
    <w:abstractNumId w:val="7"/>
  </w:num>
  <w:num w:numId="10">
    <w:abstractNumId w:val="44"/>
  </w:num>
  <w:num w:numId="11">
    <w:abstractNumId w:val="42"/>
  </w:num>
  <w:num w:numId="12">
    <w:abstractNumId w:val="18"/>
  </w:num>
  <w:num w:numId="13">
    <w:abstractNumId w:val="3"/>
  </w:num>
  <w:num w:numId="14">
    <w:abstractNumId w:val="41"/>
  </w:num>
  <w:num w:numId="15">
    <w:abstractNumId w:val="19"/>
  </w:num>
  <w:num w:numId="16">
    <w:abstractNumId w:val="37"/>
  </w:num>
  <w:num w:numId="17">
    <w:abstractNumId w:val="45"/>
  </w:num>
  <w:num w:numId="18">
    <w:abstractNumId w:val="36"/>
  </w:num>
  <w:num w:numId="19">
    <w:abstractNumId w:val="47"/>
  </w:num>
  <w:num w:numId="20">
    <w:abstractNumId w:val="6"/>
  </w:num>
  <w:num w:numId="21">
    <w:abstractNumId w:val="33"/>
  </w:num>
  <w:num w:numId="22">
    <w:abstractNumId w:val="12"/>
  </w:num>
  <w:num w:numId="23">
    <w:abstractNumId w:val="23"/>
  </w:num>
  <w:num w:numId="24">
    <w:abstractNumId w:val="9"/>
  </w:num>
  <w:num w:numId="25">
    <w:abstractNumId w:val="8"/>
  </w:num>
  <w:num w:numId="26">
    <w:abstractNumId w:val="21"/>
  </w:num>
  <w:num w:numId="27">
    <w:abstractNumId w:val="16"/>
  </w:num>
  <w:num w:numId="28">
    <w:abstractNumId w:val="29"/>
  </w:num>
  <w:num w:numId="29">
    <w:abstractNumId w:val="40"/>
  </w:num>
  <w:num w:numId="30">
    <w:abstractNumId w:val="28"/>
  </w:num>
  <w:num w:numId="31">
    <w:abstractNumId w:val="4"/>
  </w:num>
  <w:num w:numId="32">
    <w:abstractNumId w:val="5"/>
  </w:num>
  <w:num w:numId="33">
    <w:abstractNumId w:val="20"/>
  </w:num>
  <w:num w:numId="34">
    <w:abstractNumId w:val="13"/>
  </w:num>
  <w:num w:numId="35">
    <w:abstractNumId w:val="31"/>
  </w:num>
  <w:num w:numId="36">
    <w:abstractNumId w:val="34"/>
  </w:num>
  <w:num w:numId="37">
    <w:abstractNumId w:val="32"/>
  </w:num>
  <w:num w:numId="38">
    <w:abstractNumId w:val="25"/>
  </w:num>
  <w:num w:numId="39">
    <w:abstractNumId w:val="30"/>
  </w:num>
  <w:num w:numId="40">
    <w:abstractNumId w:val="22"/>
  </w:num>
  <w:num w:numId="41">
    <w:abstractNumId w:val="38"/>
  </w:num>
  <w:num w:numId="42">
    <w:abstractNumId w:val="10"/>
  </w:num>
  <w:num w:numId="43">
    <w:abstractNumId w:val="39"/>
  </w:num>
  <w:num w:numId="44">
    <w:abstractNumId w:val="15"/>
  </w:num>
  <w:num w:numId="45">
    <w:abstractNumId w:val="1"/>
  </w:num>
  <w:num w:numId="46">
    <w:abstractNumId w:val="2"/>
  </w:num>
  <w:num w:numId="47">
    <w:abstractNumId w:val="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2ECC"/>
    <w:rsid w:val="00011CED"/>
    <w:rsid w:val="00013221"/>
    <w:rsid w:val="000132A7"/>
    <w:rsid w:val="00014EA2"/>
    <w:rsid w:val="00015ECE"/>
    <w:rsid w:val="0001716B"/>
    <w:rsid w:val="00020757"/>
    <w:rsid w:val="00020971"/>
    <w:rsid w:val="00027C2C"/>
    <w:rsid w:val="00033899"/>
    <w:rsid w:val="000344C5"/>
    <w:rsid w:val="00036744"/>
    <w:rsid w:val="00037190"/>
    <w:rsid w:val="00040516"/>
    <w:rsid w:val="000436A4"/>
    <w:rsid w:val="00043A55"/>
    <w:rsid w:val="0004438B"/>
    <w:rsid w:val="00053D8D"/>
    <w:rsid w:val="000572A3"/>
    <w:rsid w:val="00063B67"/>
    <w:rsid w:val="00064B1D"/>
    <w:rsid w:val="0006644B"/>
    <w:rsid w:val="00070523"/>
    <w:rsid w:val="0007119C"/>
    <w:rsid w:val="000778E3"/>
    <w:rsid w:val="00082EE7"/>
    <w:rsid w:val="00085ACD"/>
    <w:rsid w:val="000909E7"/>
    <w:rsid w:val="000910F2"/>
    <w:rsid w:val="000955B3"/>
    <w:rsid w:val="00095FDB"/>
    <w:rsid w:val="0009603D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8F9"/>
    <w:rsid w:val="000B69AE"/>
    <w:rsid w:val="000B70BA"/>
    <w:rsid w:val="000B7C5B"/>
    <w:rsid w:val="000C4430"/>
    <w:rsid w:val="000D03E5"/>
    <w:rsid w:val="000D591D"/>
    <w:rsid w:val="000D63FC"/>
    <w:rsid w:val="000D76F1"/>
    <w:rsid w:val="000D7890"/>
    <w:rsid w:val="000D7975"/>
    <w:rsid w:val="000D7E23"/>
    <w:rsid w:val="000E12C3"/>
    <w:rsid w:val="000E78B0"/>
    <w:rsid w:val="00102CFB"/>
    <w:rsid w:val="001050CF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0A6B"/>
    <w:rsid w:val="0016110C"/>
    <w:rsid w:val="001666A8"/>
    <w:rsid w:val="00167E17"/>
    <w:rsid w:val="00172B03"/>
    <w:rsid w:val="00175106"/>
    <w:rsid w:val="001823E7"/>
    <w:rsid w:val="00184F29"/>
    <w:rsid w:val="00191FFA"/>
    <w:rsid w:val="001920B3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D5E45"/>
    <w:rsid w:val="001E121C"/>
    <w:rsid w:val="001E28E4"/>
    <w:rsid w:val="001E3085"/>
    <w:rsid w:val="001E3793"/>
    <w:rsid w:val="001F23B4"/>
    <w:rsid w:val="001F395B"/>
    <w:rsid w:val="00203EBD"/>
    <w:rsid w:val="00206455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1F5"/>
    <w:rsid w:val="00246940"/>
    <w:rsid w:val="00251A87"/>
    <w:rsid w:val="00255407"/>
    <w:rsid w:val="00261746"/>
    <w:rsid w:val="00261F5A"/>
    <w:rsid w:val="00262E52"/>
    <w:rsid w:val="00263A5B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5EE1"/>
    <w:rsid w:val="002B65DD"/>
    <w:rsid w:val="002C458F"/>
    <w:rsid w:val="002C6740"/>
    <w:rsid w:val="002D1995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0445"/>
    <w:rsid w:val="00334106"/>
    <w:rsid w:val="00335FB0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B7ADB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D6281"/>
    <w:rsid w:val="003E168E"/>
    <w:rsid w:val="003E29E2"/>
    <w:rsid w:val="003E47D3"/>
    <w:rsid w:val="003E582E"/>
    <w:rsid w:val="003F15EA"/>
    <w:rsid w:val="003F4000"/>
    <w:rsid w:val="003F64D4"/>
    <w:rsid w:val="004023C0"/>
    <w:rsid w:val="0040457F"/>
    <w:rsid w:val="00406998"/>
    <w:rsid w:val="00410840"/>
    <w:rsid w:val="004138B3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46AC7"/>
    <w:rsid w:val="004540F1"/>
    <w:rsid w:val="00455900"/>
    <w:rsid w:val="00457DD3"/>
    <w:rsid w:val="004604E9"/>
    <w:rsid w:val="0046156D"/>
    <w:rsid w:val="0046280C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77D"/>
    <w:rsid w:val="00495DE3"/>
    <w:rsid w:val="004A7EBB"/>
    <w:rsid w:val="004B3E4F"/>
    <w:rsid w:val="004D32D3"/>
    <w:rsid w:val="004D7537"/>
    <w:rsid w:val="004D7DF2"/>
    <w:rsid w:val="004E0703"/>
    <w:rsid w:val="004E0FAE"/>
    <w:rsid w:val="004E45F2"/>
    <w:rsid w:val="004E4A35"/>
    <w:rsid w:val="004F075B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7C70"/>
    <w:rsid w:val="00560B86"/>
    <w:rsid w:val="00560BF2"/>
    <w:rsid w:val="00561A21"/>
    <w:rsid w:val="005629D6"/>
    <w:rsid w:val="00566299"/>
    <w:rsid w:val="00566F27"/>
    <w:rsid w:val="00567814"/>
    <w:rsid w:val="00571AF1"/>
    <w:rsid w:val="005724EB"/>
    <w:rsid w:val="0057338B"/>
    <w:rsid w:val="00575313"/>
    <w:rsid w:val="00580FDB"/>
    <w:rsid w:val="00592BD8"/>
    <w:rsid w:val="00595E50"/>
    <w:rsid w:val="005963A8"/>
    <w:rsid w:val="00596606"/>
    <w:rsid w:val="00596B25"/>
    <w:rsid w:val="00597A31"/>
    <w:rsid w:val="005A3596"/>
    <w:rsid w:val="005A4411"/>
    <w:rsid w:val="005A5731"/>
    <w:rsid w:val="005A6283"/>
    <w:rsid w:val="005B1AF0"/>
    <w:rsid w:val="005B20E6"/>
    <w:rsid w:val="005B3982"/>
    <w:rsid w:val="005B58C5"/>
    <w:rsid w:val="005C24BE"/>
    <w:rsid w:val="005C32B2"/>
    <w:rsid w:val="005C5662"/>
    <w:rsid w:val="005D2551"/>
    <w:rsid w:val="005D67EA"/>
    <w:rsid w:val="005E0F9E"/>
    <w:rsid w:val="005E3302"/>
    <w:rsid w:val="005E7139"/>
    <w:rsid w:val="005E7D3D"/>
    <w:rsid w:val="005F5131"/>
    <w:rsid w:val="005F5EF5"/>
    <w:rsid w:val="005F7EDB"/>
    <w:rsid w:val="00601843"/>
    <w:rsid w:val="00602BDB"/>
    <w:rsid w:val="00605DE4"/>
    <w:rsid w:val="00606C15"/>
    <w:rsid w:val="00615570"/>
    <w:rsid w:val="00621E02"/>
    <w:rsid w:val="0062556E"/>
    <w:rsid w:val="00627471"/>
    <w:rsid w:val="006306CB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5604"/>
    <w:rsid w:val="00667126"/>
    <w:rsid w:val="00670D74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53F8"/>
    <w:rsid w:val="006D6F14"/>
    <w:rsid w:val="006E1773"/>
    <w:rsid w:val="006E3756"/>
    <w:rsid w:val="006E4FC5"/>
    <w:rsid w:val="006F0781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34491"/>
    <w:rsid w:val="007416C3"/>
    <w:rsid w:val="0074567D"/>
    <w:rsid w:val="00746F82"/>
    <w:rsid w:val="0074794D"/>
    <w:rsid w:val="0075034C"/>
    <w:rsid w:val="00750A54"/>
    <w:rsid w:val="00753CAB"/>
    <w:rsid w:val="00766C6A"/>
    <w:rsid w:val="00767CA6"/>
    <w:rsid w:val="00770224"/>
    <w:rsid w:val="00770577"/>
    <w:rsid w:val="00773F23"/>
    <w:rsid w:val="00776A70"/>
    <w:rsid w:val="00782EEF"/>
    <w:rsid w:val="00783D5E"/>
    <w:rsid w:val="007853A6"/>
    <w:rsid w:val="007872A0"/>
    <w:rsid w:val="00791998"/>
    <w:rsid w:val="00792243"/>
    <w:rsid w:val="00793B5A"/>
    <w:rsid w:val="007947EA"/>
    <w:rsid w:val="007976B8"/>
    <w:rsid w:val="007976F9"/>
    <w:rsid w:val="007A55A8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362F"/>
    <w:rsid w:val="007D4A64"/>
    <w:rsid w:val="007E0ECB"/>
    <w:rsid w:val="007E1065"/>
    <w:rsid w:val="007E173F"/>
    <w:rsid w:val="007E2F3D"/>
    <w:rsid w:val="007E6C98"/>
    <w:rsid w:val="007E7EE1"/>
    <w:rsid w:val="007F0D06"/>
    <w:rsid w:val="007F1244"/>
    <w:rsid w:val="007F1C04"/>
    <w:rsid w:val="007F2753"/>
    <w:rsid w:val="007F2AA2"/>
    <w:rsid w:val="007F4974"/>
    <w:rsid w:val="008005AA"/>
    <w:rsid w:val="008021F4"/>
    <w:rsid w:val="00803355"/>
    <w:rsid w:val="00803807"/>
    <w:rsid w:val="00806F68"/>
    <w:rsid w:val="008249D7"/>
    <w:rsid w:val="00824CBB"/>
    <w:rsid w:val="00831C13"/>
    <w:rsid w:val="00834303"/>
    <w:rsid w:val="00835B21"/>
    <w:rsid w:val="008374CD"/>
    <w:rsid w:val="00842029"/>
    <w:rsid w:val="0084231E"/>
    <w:rsid w:val="00847843"/>
    <w:rsid w:val="00852925"/>
    <w:rsid w:val="00852970"/>
    <w:rsid w:val="008532B1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660C1"/>
    <w:rsid w:val="00981300"/>
    <w:rsid w:val="0098161A"/>
    <w:rsid w:val="00985BA2"/>
    <w:rsid w:val="009861E5"/>
    <w:rsid w:val="0099006C"/>
    <w:rsid w:val="00992D77"/>
    <w:rsid w:val="00993E7F"/>
    <w:rsid w:val="0099589C"/>
    <w:rsid w:val="00995EB3"/>
    <w:rsid w:val="00995FEB"/>
    <w:rsid w:val="009A15DC"/>
    <w:rsid w:val="009A311E"/>
    <w:rsid w:val="009A3F58"/>
    <w:rsid w:val="009A4C5F"/>
    <w:rsid w:val="009A71AC"/>
    <w:rsid w:val="009C1202"/>
    <w:rsid w:val="009C3B42"/>
    <w:rsid w:val="009C42A7"/>
    <w:rsid w:val="009C5B53"/>
    <w:rsid w:val="009D0FFD"/>
    <w:rsid w:val="009D503C"/>
    <w:rsid w:val="009E79F6"/>
    <w:rsid w:val="009F7C99"/>
    <w:rsid w:val="00A02706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43506"/>
    <w:rsid w:val="00A4494B"/>
    <w:rsid w:val="00A52985"/>
    <w:rsid w:val="00A54045"/>
    <w:rsid w:val="00A57703"/>
    <w:rsid w:val="00A66240"/>
    <w:rsid w:val="00A71180"/>
    <w:rsid w:val="00A73DF7"/>
    <w:rsid w:val="00A77B67"/>
    <w:rsid w:val="00A82DEA"/>
    <w:rsid w:val="00A836F0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0311"/>
    <w:rsid w:val="00B0365A"/>
    <w:rsid w:val="00B0703E"/>
    <w:rsid w:val="00B10CE7"/>
    <w:rsid w:val="00B20337"/>
    <w:rsid w:val="00B235B3"/>
    <w:rsid w:val="00B249BD"/>
    <w:rsid w:val="00B2601A"/>
    <w:rsid w:val="00B30054"/>
    <w:rsid w:val="00B46733"/>
    <w:rsid w:val="00B46B1D"/>
    <w:rsid w:val="00B53B74"/>
    <w:rsid w:val="00B54AA7"/>
    <w:rsid w:val="00B567DD"/>
    <w:rsid w:val="00B612D5"/>
    <w:rsid w:val="00B753A2"/>
    <w:rsid w:val="00B8157C"/>
    <w:rsid w:val="00B82357"/>
    <w:rsid w:val="00B90640"/>
    <w:rsid w:val="00B90B47"/>
    <w:rsid w:val="00B9228B"/>
    <w:rsid w:val="00B9303C"/>
    <w:rsid w:val="00B93824"/>
    <w:rsid w:val="00BA1192"/>
    <w:rsid w:val="00BA1429"/>
    <w:rsid w:val="00BB2180"/>
    <w:rsid w:val="00BB5573"/>
    <w:rsid w:val="00BC1F88"/>
    <w:rsid w:val="00BC69C2"/>
    <w:rsid w:val="00BD463F"/>
    <w:rsid w:val="00BE3A33"/>
    <w:rsid w:val="00BE56B7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3BE7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606E5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87884"/>
    <w:rsid w:val="00C9100B"/>
    <w:rsid w:val="00C92AE6"/>
    <w:rsid w:val="00C9449D"/>
    <w:rsid w:val="00CA0E99"/>
    <w:rsid w:val="00CA2F02"/>
    <w:rsid w:val="00CA6AD5"/>
    <w:rsid w:val="00CB2CCD"/>
    <w:rsid w:val="00CB46FC"/>
    <w:rsid w:val="00CC14B8"/>
    <w:rsid w:val="00CC1D62"/>
    <w:rsid w:val="00CC3786"/>
    <w:rsid w:val="00CC6274"/>
    <w:rsid w:val="00CD15A7"/>
    <w:rsid w:val="00CE1C55"/>
    <w:rsid w:val="00CE3433"/>
    <w:rsid w:val="00CE5FEE"/>
    <w:rsid w:val="00D01650"/>
    <w:rsid w:val="00D02DC6"/>
    <w:rsid w:val="00D035BB"/>
    <w:rsid w:val="00D0464B"/>
    <w:rsid w:val="00D13974"/>
    <w:rsid w:val="00D13D50"/>
    <w:rsid w:val="00D1698C"/>
    <w:rsid w:val="00D16F68"/>
    <w:rsid w:val="00D244C2"/>
    <w:rsid w:val="00D27B37"/>
    <w:rsid w:val="00D345A2"/>
    <w:rsid w:val="00D42F33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C6EB8"/>
    <w:rsid w:val="00DD1AF4"/>
    <w:rsid w:val="00DD1FCA"/>
    <w:rsid w:val="00DE5491"/>
    <w:rsid w:val="00DE5981"/>
    <w:rsid w:val="00DF0C95"/>
    <w:rsid w:val="00DF1831"/>
    <w:rsid w:val="00DF458F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619DB"/>
    <w:rsid w:val="00E70FB7"/>
    <w:rsid w:val="00E71354"/>
    <w:rsid w:val="00E72798"/>
    <w:rsid w:val="00E74A94"/>
    <w:rsid w:val="00E75237"/>
    <w:rsid w:val="00E7635E"/>
    <w:rsid w:val="00E76541"/>
    <w:rsid w:val="00E85099"/>
    <w:rsid w:val="00E869EB"/>
    <w:rsid w:val="00E873B3"/>
    <w:rsid w:val="00EA3503"/>
    <w:rsid w:val="00EA3BE5"/>
    <w:rsid w:val="00EB0401"/>
    <w:rsid w:val="00EB170C"/>
    <w:rsid w:val="00EB1CB6"/>
    <w:rsid w:val="00EB2847"/>
    <w:rsid w:val="00EB43A0"/>
    <w:rsid w:val="00EB5CC4"/>
    <w:rsid w:val="00EB5D19"/>
    <w:rsid w:val="00EB7238"/>
    <w:rsid w:val="00EB7C8B"/>
    <w:rsid w:val="00EC3F4B"/>
    <w:rsid w:val="00ED62CE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50A3"/>
    <w:rsid w:val="00F162EF"/>
    <w:rsid w:val="00F20B7B"/>
    <w:rsid w:val="00F23FF1"/>
    <w:rsid w:val="00F25311"/>
    <w:rsid w:val="00F3212A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0445"/>
    <w:rsid w:val="00F634A8"/>
    <w:rsid w:val="00F76CCA"/>
    <w:rsid w:val="00F8052B"/>
    <w:rsid w:val="00F84A88"/>
    <w:rsid w:val="00F866AD"/>
    <w:rsid w:val="00F87849"/>
    <w:rsid w:val="00F87E08"/>
    <w:rsid w:val="00F925CD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113D"/>
    <w:rsid w:val="00FC4BE0"/>
    <w:rsid w:val="00FD11C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6BA2FD5"/>
  <w15:docId w15:val="{FCC86A25-2A66-4577-A335-CB8C5E0B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58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910B-927F-478F-B77B-928700F6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4285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29514</CharactersWithSpaces>
  <SharedDoc>false</SharedDoc>
  <HLinks>
    <vt:vector size="6" baseType="variant"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Václav Krajíček</dc:creator>
  <cp:keywords/>
  <cp:lastModifiedBy>NECASOVA Elena</cp:lastModifiedBy>
  <cp:revision>9</cp:revision>
  <cp:lastPrinted>2019-02-22T09:32:00Z</cp:lastPrinted>
  <dcterms:created xsi:type="dcterms:W3CDTF">2022-08-01T13:27:00Z</dcterms:created>
  <dcterms:modified xsi:type="dcterms:W3CDTF">2022-08-05T08:20:00Z</dcterms:modified>
</cp:coreProperties>
</file>