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459" w:line="1" w:lineRule="exact"/>
      </w:pPr>
    </w:p>
    <w:tbl>
      <w:tblPr>
        <w:tblOverlap w:val="never"/>
        <w:jc w:val="center"/>
        <w:tblLayout w:type="fixed"/>
      </w:tblPr>
      <w:tblGrid>
        <w:gridCol w:w="1939"/>
        <w:gridCol w:w="7090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D O D A T E K č. 19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smlouvě „Asfaltová směs na výspravu za horka, Část XV. - cestmistrovství Bystřice nad Pernštejnem“, uzavřené dne 22. 4. 2010</w:t>
      </w:r>
    </w:p>
    <w:p>
      <w:pPr>
        <w:widowControl w:val="0"/>
        <w:spacing w:after="5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Kosovská 1122/16, 586 01 Jihlava</w:t>
      </w:r>
    </w:p>
    <w:tbl>
      <w:tblPr>
        <w:tblOverlap w:val="never"/>
        <w:jc w:val="center"/>
        <w:tblLayout w:type="fixed"/>
      </w:tblPr>
      <w:tblGrid>
        <w:gridCol w:w="1939"/>
        <w:gridCol w:w="7090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a.s., číslo účtu:</w:t>
            </w: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000 90 450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jedné, jako kupující)</w:t>
      </w:r>
    </w:p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COLAS CZ,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Rubeška 215/1, Vysočany, 190 00 Praha 9,</w:t>
      </w:r>
    </w:p>
    <w:tbl>
      <w:tblPr>
        <w:tblOverlap w:val="never"/>
        <w:jc w:val="center"/>
        <w:tblLayout w:type="fixed"/>
      </w:tblPr>
      <w:tblGrid>
        <w:gridCol w:w="1939"/>
        <w:gridCol w:w="7090"/>
      </w:tblGrid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Pavlem Šrámkem, ředitelem závodu Obalovny, na základě plné moci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Raiffeisenbank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939"/>
        <w:gridCol w:w="7090"/>
      </w:tblGrid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261 77 005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CZ26177005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zapsaná v obchodním rejstříku, vedeném Městským soudem v Praze oddíl B, vložka 6556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druhé jako prodávající)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  <w:bookmarkEnd w:id="0"/>
      <w:bookmarkEnd w:id="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změně stávající kupní smlouvy číslo kupujícího 37/KSÚSV/ZR/10 ze dne 22. 4. 2010 ve znění Dodatků č. 1 až 18 (dále jen „smlouva“), spočívající v navýšení ceny za plnění a přistoupily proto k uzavření tohoto Dodatku č. 19 v souladu s čl. 11 odst. 11.2. smlouvy, a to z důvodů: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naplnění podmínek inflační doložky dle čl. 9 smlouvy, na základě ročního růstu indexu spotřebitelských cen vyhlášených Českým statistickým úřadem za roky 2011, 2012, 2013, 2014, 2015, 2016, 2017, 2018, 2019, 2020 a 2021; a současně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zásadního zvýšení vstupních nákladů prodávajícího souvisejících s těžbou a výrobou kameniva (zejména nárůst cen energií, vrtacích a trhacích prací atd.) a nárůstu ceny bitumenů, převyšující inflaci vyjádřenou přírůstkem průměrného ročního indexu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spotřebitelských cen, především v letech 2020-2021, jež nastaly v důsledku okolností, které smluvní strany jednající s náležitou péčí nemohly předvídat ani ovlivnit.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plnění dle čl. 3 smlouvy se s účinnosti od 1. srpna 2022 navyšuje: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9" w:val="left"/>
        </w:tabs>
        <w:bidi w:val="0"/>
        <w:spacing w:before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průměrnou míru inflace v roce 2011, tj. + 1,9 %, 2012, tj. +3,3 %, 2013, tj. +1,4 %, 2014, tj. +0,4 %, 2015, tj. +0,3 %, 2016, tj. +0,7 %, 2017, tj. +2,5 %, 2018, tj. +2,1 %; 2019, tj. +2,8 %; 2020, tj. +3,2 %; 2021, tj. +3,8 %; celkem tedy 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+22,4 %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platných cen aktualizovaných Dodatkem č. 1 smlouvy; a dále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9" w:val="left"/>
        </w:tabs>
        <w:bidi w:val="0"/>
        <w:spacing w:before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9,99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% v souvislosti s nárůstem vstupních nákladů a cen surovin specifikovaných v odst. 2.1 tohoto článku (v souladu s § 222 odst. 4 ZZVZ).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Celkové navýšení jednotkových cen za plnění dle smlouvy činí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32,39 %.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za plnění sjednané v čl. 3 odst. 3.1. smlouvy se v souladu s výše uvedeným nahrazují od 1. srpna 2022 novými cenami, jež jsou specifikovány v příloze tohoto Dodatku č. 19 - Ceník asfaltových směsí pro měsíc srpen 2022.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souhlasí s Ceníkem asfaltových směsí pro měsíc srpen 2022 ještě před platností a účinností tohoto Dodatku č. 19.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č. 19 před jeho účinností se považuje za plnění dle tohoto Dodatku č. 19 a práva a povinnosti z toho vzniklá se řídí tímto Dodatkem č. 19.“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9" w:val="left"/>
        </w:tabs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povinen kupujícího bez zbytečného odkladu upozornit na skutečnost, že konkrétní dílčí objednávku nelze splnit z důvodů nezávislých na vůli prodávajícího, zejména: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stavu nouze v energetice (přerušení dodávek zemního plynu nebo přerušení dodávek elektrické energie) ze strany distributora nebo dodavatele zemního plynu resp. elektrické energie;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5" w:val="left"/>
        </w:tabs>
        <w:bidi w:val="0"/>
        <w:spacing w:before="0" w:after="28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nedostupnosti nebo nedostatečného množství bitumenů (asfaltů) z produkce rafinerie Litvínov jako vstupní suroviny pro výrobu asfaltových směsí.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kupující prodávajícímu již při objednávce zboží sdělil, že na opožděném plnění nebude mít zájem a dílčí objednávku nebude z důvodů uvedených v předešlém odstavci možné splnit, zaniká závazek z dílčí objednávky již sdělením prodávajícího o existenci překážky plnění resp. počátkem prodlení prodávajícího (podle toho, co nastane dříve), ledaže kupující prodávajícímu bez zbytečného odkladu oznámí, že na splnění dílčí objednávky trvá i po určené době.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nedotčené Dodatkem č. 19 ve znění platných Dodatků č. 1 až 18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19 je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19 je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č. 19 a prohlašují, že si jej přečetly, s jeho obsahem souhlasí, že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- Ceník asfaltových směsí srpen 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12700</wp:posOffset>
                </wp:positionV>
                <wp:extent cx="856615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69999999999999pt;margin-top:1.pt;width:67.450000000000003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1295400</wp:posOffset>
                </wp:positionV>
                <wp:extent cx="1149350" cy="39941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9350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Pavel Šrámek ředitel obaloven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5pt;margin-top:102.pt;width:90.5pt;height:31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Pavel Šrámek ředitel obaloven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4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084" w:left="1363" w:right="1359" w:bottom="195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 Krajská správa a údržba silnic Vysočiny, příspěvková organizace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932815</wp:posOffset>
            </wp:positionH>
            <wp:positionV relativeFrom="paragraph">
              <wp:posOffset>12700</wp:posOffset>
            </wp:positionV>
            <wp:extent cx="1639570" cy="70104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39570" cy="701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500" w:line="240" w:lineRule="auto"/>
        <w:ind w:left="2860" w:right="0" w:firstLine="0"/>
        <w:jc w:val="left"/>
        <w:rPr>
          <w:sz w:val="42"/>
          <w:szCs w:val="42"/>
        </w:rPr>
      </w:pPr>
      <w:bookmarkStart w:id="8" w:name="bookmark8"/>
      <w:bookmarkStart w:id="9" w:name="bookmark9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cs-CZ" w:eastAsia="cs-CZ" w:bidi="cs-CZ"/>
        </w:rPr>
        <w:t>Příloha</w:t>
      </w:r>
      <w:bookmarkEnd w:id="8"/>
      <w:bookmarkEnd w:id="9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19 - Ceník asfaltových sm ěsí pro m ěsíc srpen 2022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 PRO SRPEN 2022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4858" w:val="left"/>
        </w:tabs>
        <w:bidi w:val="0"/>
        <w:spacing w:before="0" w:after="212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sml. prodávajícího: KS 5/2010</w:t>
        <w:tab/>
        <w:t>č. sml. kupujícího: 37/KSÚSV/ZR/10</w:t>
      </w:r>
    </w:p>
    <w:p>
      <w:pPr>
        <w:pStyle w:val="Style24"/>
        <w:keepNext/>
        <w:keepLines/>
        <w:widowControl w:val="0"/>
        <w:pBdr>
          <w:top w:val="single" w:sz="4" w:space="2" w:color="DADADA"/>
          <w:left w:val="single" w:sz="4" w:space="0" w:color="DADADA"/>
          <w:bottom w:val="single" w:sz="4" w:space="5" w:color="DADADA"/>
          <w:right w:val="single" w:sz="4" w:space="0" w:color="DADADA"/>
        </w:pBdr>
        <w:shd w:val="clear" w:color="auto" w:fill="DADADA"/>
        <w:bidi w:val="0"/>
        <w:spacing w:before="0" w:after="154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KSÚS VYSOČINY</w:t>
      </w:r>
      <w:bookmarkEnd w:id="10"/>
      <w:bookmarkEnd w:id="11"/>
    </w:p>
    <w:tbl>
      <w:tblPr>
        <w:tblOverlap w:val="never"/>
        <w:jc w:val="center"/>
        <w:tblLayout w:type="fixed"/>
      </w:tblPr>
      <w:tblGrid>
        <w:gridCol w:w="1819"/>
        <w:gridCol w:w="1810"/>
        <w:gridCol w:w="1814"/>
        <w:gridCol w:w="1810"/>
        <w:gridCol w:w="1824"/>
      </w:tblGrid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DRUH SMĚSI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RANČÍŘOV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BYSTŘICE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TASOVICE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SOUTICE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ACO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ACO 8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2 020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ACO 11+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ACO 11S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ACO 16+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2 032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ACL 16+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ACL 16S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1 959 Kč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ACP 16+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ACP 16S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ACP 22+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ACP 22S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DAD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1 906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= recyklát ve směsi ACL, ACP do 20%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= recyklát ve směsi ACO do 10%</w:t>
      </w:r>
    </w:p>
    <w:sectPr>
      <w:footnotePr>
        <w:pos w:val="pageBottom"/>
        <w:numFmt w:val="decimal"/>
        <w:numRestart w:val="continuous"/>
      </w:footnotePr>
      <w:pgSz w:w="11900" w:h="16840"/>
      <w:pgMar w:top="2151" w:left="1412" w:right="1412" w:bottom="21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3419475</wp:posOffset>
              </wp:positionH>
              <wp:positionV relativeFrom="page">
                <wp:posOffset>9617075</wp:posOffset>
              </wp:positionV>
              <wp:extent cx="722630" cy="13398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263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69.25pt;margin-top:757.25pt;width:56.899999999999999pt;height:10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9581515</wp:posOffset>
              </wp:positionV>
              <wp:extent cx="5800090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754.45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768350</wp:posOffset>
              </wp:positionV>
              <wp:extent cx="5711825" cy="1308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9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prodávajícího: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KS 5/2010</w:t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kupujícího: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37/KSÚSV/ZR/10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99999999999997pt;margin-top:60.5pt;width:449.75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Číslo smlouvy prodávajícího: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KS 5/2010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Číslo smlouvy kupujícího: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37/KSÚSV/ZR/10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819785</wp:posOffset>
              </wp:positionH>
              <wp:positionV relativeFrom="page">
                <wp:posOffset>1010920</wp:posOffset>
              </wp:positionV>
              <wp:extent cx="586105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610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549999999999997pt;margin-top:79.599999999999994pt;width:461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5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Titulek tabulky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7">
    <w:name w:val="Jiné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2_"/>
    <w:basedOn w:val="DefaultParagraphFont"/>
    <w:link w:val="Style1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5">
    <w:name w:val="Nadpis #1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8">
    <w:name w:val="Základní text (4)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0">
    <w:name w:val="Základní text (5)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Základní text (3)_"/>
    <w:basedOn w:val="DefaultParagraphFont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5">
    <w:name w:val="Základní text (2)_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Titulek tabulky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24">
    <w:name w:val="Nadpis #1"/>
    <w:basedOn w:val="Normal"/>
    <w:link w:val="CharStyle25"/>
    <w:pPr>
      <w:widowControl w:val="0"/>
      <w:shd w:val="clear" w:color="auto" w:fill="FFFFFF"/>
      <w:spacing w:after="380"/>
      <w:ind w:left="143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27">
    <w:name w:val="Základní text (4)"/>
    <w:basedOn w:val="Normal"/>
    <w:link w:val="CharStyle28"/>
    <w:pPr>
      <w:widowControl w:val="0"/>
      <w:shd w:val="clear" w:color="auto" w:fill="FFFFFF"/>
      <w:spacing w:line="38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9">
    <w:name w:val="Základní text (5)"/>
    <w:basedOn w:val="Normal"/>
    <w:link w:val="CharStyle30"/>
    <w:pPr>
      <w:widowControl w:val="0"/>
      <w:shd w:val="clear" w:color="auto" w:fill="FFFFFF"/>
      <w:spacing w:after="60" w:line="38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Základní text (3)"/>
    <w:basedOn w:val="Normal"/>
    <w:link w:val="CharStyle32"/>
    <w:pPr>
      <w:widowControl w:val="0"/>
      <w:shd w:val="clear" w:color="auto" w:fill="FFFFFF"/>
      <w:spacing w:after="2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4">
    <w:name w:val="Základní text (2)"/>
    <w:basedOn w:val="Normal"/>
    <w:link w:val="CharStyle35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Upravený návrh CO - Za horka BnP-Dodatek 19-37 2022 (002)</dc:title>
  <dc:subject/>
  <dc:creator>BEDNARM1</dc:creator>
  <cp:keywords/>
</cp:coreProperties>
</file>