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55" w:right="102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1200500014</w:t>
      </w:r>
    </w:p>
    <w:p>
      <w:pPr>
        <w:spacing w:line="425" w:lineRule="exact" w:before="0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7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ind w:left="242"/>
        <w:jc w:val="left"/>
      </w:pPr>
      <w:r>
        <w:rPr/>
        <w:t>obec</w:t>
      </w:r>
      <w:r>
        <w:rPr>
          <w:spacing w:val="-2"/>
        </w:rPr>
        <w:t> </w:t>
      </w:r>
      <w:r>
        <w:rPr/>
        <w:t>Prášily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Prášily</w:t>
      </w:r>
      <w:r>
        <w:rPr>
          <w:spacing w:val="-3"/>
        </w:rPr>
        <w:t> </w:t>
      </w:r>
      <w:r>
        <w:rPr/>
        <w:t>č.p.</w:t>
      </w:r>
      <w:r>
        <w:rPr>
          <w:spacing w:val="-3"/>
        </w:rPr>
        <w:t> </w:t>
      </w:r>
      <w:r>
        <w:rPr/>
        <w:t>110,</w:t>
      </w:r>
      <w:r>
        <w:rPr>
          <w:spacing w:val="-3"/>
        </w:rPr>
        <w:t> </w:t>
      </w:r>
      <w:r>
        <w:rPr/>
        <w:t>342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Prášily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IČO:</w:t>
      </w:r>
      <w:r>
        <w:rPr>
          <w:rFonts w:ascii="Times New Roman" w:hAnsi="Times New Roman"/>
        </w:rPr>
        <w:tab/>
      </w:r>
      <w:r>
        <w:rPr/>
        <w:t>43313957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zastoupená:</w:t>
        <w:tab/>
      </w:r>
      <w:r>
        <w:rPr>
          <w:spacing w:val="-1"/>
        </w:rPr>
        <w:t>Liborem</w:t>
      </w:r>
      <w:r>
        <w:rPr>
          <w:spacing w:val="1"/>
        </w:rPr>
        <w:t> </w:t>
      </w:r>
      <w:r>
        <w:rPr>
          <w:spacing w:val="-1"/>
        </w:rPr>
        <w:t>P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s</w:t>
      </w:r>
      <w:r>
        <w:rPr>
          <w:spacing w:val="-15"/>
        </w:rPr>
        <w:t> </w:t>
      </w:r>
      <w:r>
        <w:rPr>
          <w:spacing w:val="-1"/>
        </w:rPr>
        <w:t>p</w:t>
      </w:r>
      <w:r>
        <w:rPr>
          <w:spacing w:val="-14"/>
        </w:rPr>
        <w:t> </w:t>
      </w:r>
      <w:r>
        <w:rPr>
          <w:spacing w:val="-1"/>
        </w:rPr>
        <w:t>í</w:t>
      </w:r>
      <w:r>
        <w:rPr>
          <w:spacing w:val="-15"/>
        </w:rPr>
        <w:t> </w:t>
      </w:r>
      <w:r>
        <w:rPr>
          <w:spacing w:val="-1"/>
        </w:rPr>
        <w:t>š</w:t>
      </w:r>
      <w:r>
        <w:rPr>
          <w:spacing w:val="-15"/>
        </w:rPr>
        <w:t> </w:t>
      </w:r>
      <w:r>
        <w:rPr>
          <w:spacing w:val="-1"/>
        </w:rPr>
        <w:t>i</w:t>
      </w:r>
      <w:r>
        <w:rPr>
          <w:spacing w:val="-15"/>
        </w:rPr>
        <w:t> </w:t>
      </w:r>
      <w:r>
        <w:rPr>
          <w:spacing w:val="-1"/>
        </w:rPr>
        <w:t>l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8"/>
        </w:rPr>
        <w:t> </w:t>
      </w:r>
      <w:r>
        <w:rPr/>
        <w:t>m</w:t>
      </w:r>
      <w:r>
        <w:rPr>
          <w:spacing w:val="-13"/>
        </w:rPr>
        <w:t> </w:t>
      </w:r>
      <w:r>
        <w:rPr/>
        <w:t>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94-8719351/0710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0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1200500014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24. 5. 2021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9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6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5/2020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48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981"/>
        <w:jc w:val="left"/>
      </w:pPr>
      <w:r>
        <w:rPr/>
        <w:t>„Prášily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Vybavenost</w:t>
      </w:r>
      <w:r>
        <w:rPr>
          <w:spacing w:val="-2"/>
        </w:rPr>
        <w:t> </w:t>
      </w:r>
      <w:r>
        <w:rPr/>
        <w:t>obce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NP</w:t>
      </w:r>
      <w:r>
        <w:rPr>
          <w:spacing w:val="-2"/>
        </w:rPr>
        <w:t> </w:t>
      </w:r>
      <w:r>
        <w:rPr/>
        <w:t>Šumava“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1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 poskytnout</w:t>
      </w:r>
      <w:r>
        <w:rPr>
          <w:spacing w:val="2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2 044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143,75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miliony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1"/>
          <w:sz w:val="20"/>
        </w:rPr>
        <w:t> </w:t>
      </w:r>
      <w:r>
        <w:rPr>
          <w:sz w:val="20"/>
        </w:rPr>
        <w:t>čtyři tisíce</w:t>
      </w:r>
      <w:r>
        <w:rPr>
          <w:spacing w:val="-2"/>
          <w:sz w:val="20"/>
        </w:rPr>
        <w:t> </w:t>
      </w:r>
      <w:r>
        <w:rPr>
          <w:sz w:val="20"/>
        </w:rPr>
        <w:t>sto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1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</w:t>
      </w:r>
      <w:r>
        <w:rPr>
          <w:spacing w:val="1"/>
          <w:sz w:val="20"/>
        </w:rPr>
        <w:t> </w:t>
      </w:r>
      <w:r>
        <w:rPr>
          <w:sz w:val="20"/>
        </w:rPr>
        <w:t>404</w:t>
      </w:r>
      <w:r>
        <w:rPr>
          <w:spacing w:val="1"/>
          <w:sz w:val="20"/>
        </w:rPr>
        <w:t> </w:t>
      </w:r>
      <w:r>
        <w:rPr>
          <w:sz w:val="20"/>
        </w:rPr>
        <w:t>875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byly</w:t>
      </w:r>
      <w:r>
        <w:rPr>
          <w:spacing w:val="-6"/>
          <w:sz w:val="20"/>
        </w:rPr>
        <w:t> </w:t>
      </w:r>
      <w:r>
        <w:rPr>
          <w:sz w:val="20"/>
        </w:rPr>
        <w:t>uhrazeny</w:t>
      </w:r>
      <w:r>
        <w:rPr>
          <w:spacing w:val="-5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vyhlášení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8"/>
          <w:sz w:val="20"/>
        </w:rPr>
        <w:t> </w:t>
      </w:r>
      <w:r>
        <w:rPr>
          <w:sz w:val="20"/>
        </w:rPr>
        <w:t>z 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line="265" w:lineRule="exac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6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45" w:right="184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50" w:right="18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044 143,75</w:t>
            </w:r>
          </w:p>
        </w:tc>
      </w:tr>
    </w:tbl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prostředky</w:t>
      </w:r>
      <w:r>
        <w:rPr>
          <w:spacing w:val="12"/>
          <w:sz w:val="20"/>
        </w:rPr>
        <w:t> </w:t>
      </w:r>
      <w:r>
        <w:rPr>
          <w:sz w:val="20"/>
        </w:rPr>
        <w:t>nevyčerpané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daném</w:t>
      </w:r>
      <w:r>
        <w:rPr>
          <w:spacing w:val="13"/>
          <w:sz w:val="20"/>
        </w:rPr>
        <w:t> </w:t>
      </w:r>
      <w:r>
        <w:rPr>
          <w:sz w:val="20"/>
        </w:rPr>
        <w:t>roce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2"/>
          <w:sz w:val="20"/>
        </w:rPr>
        <w:t> </w:t>
      </w:r>
      <w:r>
        <w:rPr>
          <w:sz w:val="20"/>
        </w:rPr>
        <w:t>vrácené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zvýší</w:t>
      </w:r>
      <w:r>
        <w:rPr>
          <w:spacing w:val="12"/>
          <w:sz w:val="20"/>
        </w:rPr>
        <w:t> </w:t>
      </w:r>
      <w:r>
        <w:rPr>
          <w:sz w:val="20"/>
        </w:rPr>
        <w:t>finanční</w:t>
      </w:r>
      <w:r>
        <w:rPr>
          <w:spacing w:val="12"/>
          <w:sz w:val="20"/>
        </w:rPr>
        <w:t> </w:t>
      </w:r>
      <w:r>
        <w:rPr>
          <w:sz w:val="20"/>
        </w:rPr>
        <w:t>objem</w:t>
      </w:r>
      <w:r>
        <w:rPr>
          <w:spacing w:val="15"/>
          <w:sz w:val="20"/>
        </w:rPr>
        <w:t> </w:t>
      </w:r>
      <w:r>
        <w:rPr>
          <w:sz w:val="20"/>
        </w:rPr>
        <w:t>následujícího</w:t>
      </w:r>
      <w:r>
        <w:rPr>
          <w:spacing w:val="13"/>
          <w:sz w:val="20"/>
        </w:rPr>
        <w:t> </w:t>
      </w:r>
      <w:r>
        <w:rPr>
          <w:sz w:val="20"/>
        </w:rPr>
        <w:t>roku,</w:t>
      </w:r>
      <w:r>
        <w:rPr>
          <w:spacing w:val="12"/>
          <w:sz w:val="20"/>
        </w:rPr>
        <w:t> </w:t>
      </w:r>
      <w:r>
        <w:rPr>
          <w:sz w:val="20"/>
        </w:rPr>
        <w:t>pokud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Fond</w:t>
      </w:r>
      <w:r>
        <w:rPr>
          <w:spacing w:val="-3"/>
        </w:rPr>
        <w:t> </w:t>
      </w:r>
      <w:r>
        <w:rPr/>
        <w:t>tento</w:t>
      </w:r>
      <w:r>
        <w:rPr>
          <w:spacing w:val="-3"/>
        </w:rPr>
        <w:t> </w:t>
      </w:r>
      <w:r>
        <w:rPr/>
        <w:t>převod</w:t>
      </w:r>
      <w:r>
        <w:rPr>
          <w:spacing w:val="-2"/>
        </w:rPr>
        <w:t> </w:t>
      </w:r>
      <w:r>
        <w:rPr/>
        <w:t>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 takovém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2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82" w:right="111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skutečnému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-2"/>
          <w:sz w:val="20"/>
        </w:rPr>
        <w:t> </w:t>
      </w:r>
      <w:r>
        <w:rPr>
          <w:sz w:val="20"/>
        </w:rPr>
        <w:t>výdajů, 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faktur,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9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bude provedena podle Fondem odsouhlasené projektové dokumentace "Prášily – Vybavenost</w:t>
      </w:r>
      <w:r>
        <w:rPr>
          <w:spacing w:val="-52"/>
          <w:sz w:val="20"/>
        </w:rPr>
        <w:t> </w:t>
      </w:r>
      <w:r>
        <w:rPr>
          <w:w w:val="95"/>
          <w:sz w:val="20"/>
        </w:rPr>
        <w:t>obce v NP Šumava“ zpracované Ing. Zdeňkem Havlem v 12/2020, včetně případných změn a doplňků</w:t>
      </w:r>
      <w:r>
        <w:rPr>
          <w:spacing w:val="1"/>
          <w:w w:val="95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odsouhlasených Fondem,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-4"/>
          <w:sz w:val="20"/>
        </w:rPr>
        <w:t> </w:t>
      </w:r>
      <w:r>
        <w:rPr>
          <w:sz w:val="20"/>
        </w:rPr>
        <w:t>stavbu</w:t>
      </w:r>
      <w:r>
        <w:rPr>
          <w:spacing w:val="-2"/>
          <w:sz w:val="20"/>
        </w:rPr>
        <w:t> </w:t>
      </w:r>
      <w:r>
        <w:rPr>
          <w:sz w:val="20"/>
        </w:rPr>
        <w:t>veřejného</w:t>
      </w:r>
      <w:r>
        <w:rPr>
          <w:spacing w:val="1"/>
          <w:sz w:val="20"/>
        </w:rPr>
        <w:t> </w:t>
      </w:r>
      <w:r>
        <w:rPr>
          <w:sz w:val="20"/>
        </w:rPr>
        <w:t>WC</w:t>
      </w:r>
      <w:r>
        <w:rPr>
          <w:spacing w:val="-3"/>
          <w:sz w:val="20"/>
        </w:rPr>
        <w:t> </w:t>
      </w:r>
      <w:r>
        <w:rPr>
          <w:sz w:val="20"/>
        </w:rPr>
        <w:t>v obci</w:t>
      </w:r>
      <w:r>
        <w:rPr>
          <w:spacing w:val="-2"/>
          <w:sz w:val="20"/>
        </w:rPr>
        <w:t> </w:t>
      </w:r>
      <w:r>
        <w:rPr>
          <w:sz w:val="20"/>
        </w:rPr>
        <w:t>Prášily,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bude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čtvrté) po dobu 5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5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5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3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5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9/2022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dodržení</w:t>
      </w:r>
      <w:r>
        <w:rPr>
          <w:spacing w:val="-10"/>
          <w:sz w:val="20"/>
        </w:rPr>
        <w:t> </w:t>
      </w:r>
      <w:r>
        <w:rPr>
          <w:sz w:val="20"/>
        </w:rPr>
        <w:t>tohoto</w:t>
      </w:r>
      <w:r>
        <w:rPr>
          <w:spacing w:val="-9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bez</w:t>
      </w:r>
      <w:r>
        <w:rPr>
          <w:spacing w:val="-9"/>
          <w:sz w:val="20"/>
        </w:rPr>
        <w:t> </w:t>
      </w:r>
      <w:r>
        <w:rPr>
          <w:sz w:val="20"/>
        </w:rPr>
        <w:t>zbytečného</w:t>
      </w:r>
      <w:r>
        <w:rPr>
          <w:spacing w:val="-8"/>
          <w:sz w:val="20"/>
        </w:rPr>
        <w:t> </w:t>
      </w:r>
      <w:r>
        <w:rPr>
          <w:sz w:val="20"/>
        </w:rPr>
        <w:t>odkladu</w:t>
      </w:r>
      <w:r>
        <w:rPr>
          <w:spacing w:val="-53"/>
          <w:sz w:val="20"/>
        </w:rPr>
        <w:t> </w:t>
      </w:r>
      <w:r>
        <w:rPr>
          <w:sz w:val="20"/>
        </w:rPr>
        <w:t>informovat (za termín ukončení projektu</w:t>
      </w:r>
      <w:r>
        <w:rPr>
          <w:spacing w:val="54"/>
          <w:sz w:val="20"/>
        </w:rPr>
        <w:t> </w:t>
      </w:r>
      <w:r>
        <w:rPr>
          <w:sz w:val="20"/>
        </w:rPr>
        <w:t>se považuje</w:t>
      </w:r>
      <w:r>
        <w:rPr>
          <w:spacing w:val="55"/>
          <w:sz w:val="20"/>
        </w:rPr>
        <w:t> </w:t>
      </w:r>
      <w:r>
        <w:rPr>
          <w:sz w:val="20"/>
        </w:rPr>
        <w:t>datum</w:t>
      </w:r>
      <w:r>
        <w:rPr>
          <w:spacing w:val="55"/>
          <w:sz w:val="20"/>
        </w:rPr>
        <w:t> </w:t>
      </w:r>
      <w:r>
        <w:rPr>
          <w:sz w:val="20"/>
        </w:rPr>
        <w:t>protokolu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předání a převzetí díla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4/2022,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konce</w:t>
      </w:r>
      <w:r>
        <w:rPr>
          <w:spacing w:val="25"/>
          <w:sz w:val="20"/>
        </w:rPr>
        <w:t> </w:t>
      </w:r>
      <w:r>
        <w:rPr>
          <w:sz w:val="20"/>
        </w:rPr>
        <w:t>12/2022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7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30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</w:p>
    <w:p>
      <w:pPr>
        <w:pStyle w:val="BodyText"/>
        <w:spacing w:before="1"/>
        <w:ind w:left="808"/>
      </w:pPr>
      <w:r>
        <w:rPr/>
        <w:t>k</w:t>
      </w:r>
      <w:r>
        <w:rPr>
          <w:spacing w:val="-3"/>
        </w:rPr>
        <w:t> </w:t>
      </w:r>
      <w:r>
        <w:rPr/>
        <w:t>závěrečnému</w:t>
      </w:r>
      <w:r>
        <w:rPr>
          <w:spacing w:val="-1"/>
        </w:rPr>
        <w:t> </w:t>
      </w:r>
      <w:r>
        <w:rPr/>
        <w:t>vyhodnocení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„ZVA")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písm.</w:t>
      </w:r>
      <w:r>
        <w:rPr>
          <w:spacing w:val="-2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dále: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předání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3"/>
          <w:sz w:val="20"/>
        </w:rPr>
        <w:t> </w:t>
      </w:r>
      <w:r>
        <w:rPr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> </w:t>
      </w:r>
      <w:r>
        <w:rPr>
          <w:sz w:val="20"/>
        </w:rPr>
        <w:t>provedení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BodyText"/>
        <w:spacing w:before="121"/>
        <w:ind w:right="108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27"/>
        </w:rPr>
        <w:t> </w:t>
      </w:r>
      <w:r>
        <w:rPr/>
        <w:t>o</w:t>
      </w:r>
      <w:r>
        <w:rPr>
          <w:spacing w:val="29"/>
        </w:rPr>
        <w:t> </w:t>
      </w:r>
      <w:r>
        <w:rPr/>
        <w:t>plnění</w:t>
      </w:r>
      <w:r>
        <w:rPr>
          <w:spacing w:val="28"/>
        </w:rPr>
        <w:t> </w:t>
      </w:r>
      <w:r>
        <w:rPr/>
        <w:t>podmínek</w:t>
      </w:r>
      <w:r>
        <w:rPr>
          <w:spacing w:val="28"/>
        </w:rPr>
        <w:t> </w:t>
      </w:r>
      <w:r>
        <w:rPr/>
        <w:t>této</w:t>
      </w:r>
      <w:r>
        <w:rPr>
          <w:spacing w:val="29"/>
        </w:rPr>
        <w:t> </w:t>
      </w:r>
      <w:r>
        <w:rPr/>
        <w:t>Smlouvy</w:t>
      </w:r>
      <w:r>
        <w:rPr>
          <w:spacing w:val="28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29"/>
        </w:rPr>
        <w:t> </w:t>
      </w:r>
      <w:r>
        <w:rPr/>
        <w:t>v</w:t>
      </w:r>
      <w:r>
        <w:rPr>
          <w:spacing w:val="29"/>
        </w:rPr>
        <w:t> </w:t>
      </w:r>
      <w:r>
        <w:rPr/>
        <w:t>případě,</w:t>
      </w:r>
      <w:r>
        <w:rPr>
          <w:spacing w:val="28"/>
        </w:rPr>
        <w:t> </w:t>
      </w:r>
      <w:r>
        <w:rPr/>
        <w:t>že</w:t>
      </w:r>
      <w:r>
        <w:rPr>
          <w:spacing w:val="27"/>
        </w:rPr>
        <w:t> </w:t>
      </w:r>
      <w:r>
        <w:rPr/>
        <w:t>příjemce</w:t>
      </w:r>
      <w:r>
        <w:rPr>
          <w:spacing w:val="30"/>
        </w:rPr>
        <w:t> </w:t>
      </w:r>
      <w:r>
        <w:rPr/>
        <w:t>podpory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v</w:t>
      </w:r>
      <w:r>
        <w:rPr>
          <w:spacing w:val="2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</w:t>
      </w:r>
      <w:r>
        <w:rPr>
          <w:spacing w:val="1"/>
        </w:rPr>
        <w:t> </w:t>
      </w:r>
      <w:r>
        <w:rPr/>
        <w:t>finančních závazků vůči Fondu. Protokol o</w:t>
      </w:r>
      <w:r>
        <w:rPr>
          <w:spacing w:val="1"/>
        </w:rPr>
        <w:t> </w:t>
      </w:r>
      <w:r>
        <w:rPr/>
        <w:t>ZVA</w:t>
      </w:r>
      <w:r>
        <w:rPr>
          <w:spacing w:val="1"/>
        </w:rPr>
        <w:t> </w:t>
      </w:r>
      <w:r>
        <w:rPr/>
        <w:t>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spacing w:after="0"/>
        <w:sectPr>
          <w:type w:val="continuous"/>
          <w:pgSz w:w="12240" w:h="15840"/>
          <w:pgMar w:header="0" w:footer="1458" w:top="1480" w:bottom="1640" w:left="1460" w:right="1020"/>
        </w:sect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</w:p>
    <w:p>
      <w:pPr>
        <w:pStyle w:val="BodyText"/>
        <w:ind w:left="808"/>
      </w:pPr>
      <w:r>
        <w:rPr/>
        <w:t>realizace</w:t>
      </w:r>
      <w:r>
        <w:rPr>
          <w:spacing w:val="-2"/>
        </w:rPr>
        <w:t> </w:t>
      </w:r>
      <w:r>
        <w:rPr/>
        <w:t>akce.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této</w:t>
      </w:r>
      <w:r>
        <w:rPr>
          <w:spacing w:val="-3"/>
        </w:rPr>
        <w:t> </w:t>
      </w:r>
      <w:r>
        <w:rPr/>
        <w:t>souvislosti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prohlašuje,</w:t>
      </w:r>
      <w:r>
        <w:rPr>
          <w:spacing w:val="-3"/>
        </w:rPr>
        <w:t> </w:t>
      </w:r>
      <w:r>
        <w:rPr/>
        <w:t>že uvedená</w:t>
      </w:r>
      <w:r>
        <w:rPr>
          <w:spacing w:val="-3"/>
        </w:rPr>
        <w:t> </w:t>
      </w:r>
      <w:r>
        <w:rPr/>
        <w:t>pravidla</w:t>
      </w:r>
      <w:r>
        <w:rPr>
          <w:spacing w:val="-4"/>
        </w:rPr>
        <w:t> </w:t>
      </w:r>
      <w:r>
        <w:rPr/>
        <w:t>byla</w:t>
      </w:r>
      <w:r>
        <w:rPr>
          <w:spacing w:val="-3"/>
        </w:rPr>
        <w:t> </w:t>
      </w:r>
      <w:r>
        <w:rPr/>
        <w:t>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6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9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z w:val="20"/>
        </w:rPr>
        <w:t>odrážkou,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3"/>
          <w:sz w:val="20"/>
        </w:rPr>
        <w:t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52"/>
          <w:sz w:val="20"/>
        </w:rPr>
        <w:t> </w:t>
      </w:r>
      <w:r>
        <w:rPr>
          <w:sz w:val="20"/>
        </w:rPr>
        <w:t>50-90</w:t>
      </w:r>
      <w:r>
        <w:rPr>
          <w:spacing w:val="33"/>
          <w:sz w:val="20"/>
        </w:rPr>
        <w:t> </w:t>
      </w:r>
      <w:r>
        <w:rPr>
          <w:sz w:val="20"/>
        </w:rPr>
        <w:t>%</w:t>
      </w:r>
      <w:r>
        <w:rPr>
          <w:spacing w:val="86"/>
          <w:sz w:val="20"/>
        </w:rPr>
        <w:t> </w:t>
      </w:r>
      <w:r>
        <w:rPr>
          <w:sz w:val="20"/>
        </w:rPr>
        <w:t>stanovených</w:t>
      </w:r>
      <w:r>
        <w:rPr>
          <w:spacing w:val="88"/>
          <w:sz w:val="20"/>
        </w:rPr>
        <w:t> </w:t>
      </w:r>
      <w:r>
        <w:rPr>
          <w:sz w:val="20"/>
        </w:rPr>
        <w:t>indikátorů,</w:t>
      </w:r>
      <w:r>
        <w:rPr>
          <w:spacing w:val="88"/>
          <w:sz w:val="20"/>
        </w:rPr>
        <w:t> </w:t>
      </w:r>
      <w:r>
        <w:rPr>
          <w:sz w:val="20"/>
        </w:rPr>
        <w:t>bude</w:t>
      </w:r>
      <w:r>
        <w:rPr>
          <w:spacing w:val="87"/>
          <w:sz w:val="20"/>
        </w:rPr>
        <w:t> </w:t>
      </w:r>
      <w:r>
        <w:rPr>
          <w:sz w:val="20"/>
        </w:rPr>
        <w:t>toto</w:t>
      </w:r>
      <w:r>
        <w:rPr>
          <w:spacing w:val="87"/>
          <w:sz w:val="20"/>
        </w:rPr>
        <w:t> </w:t>
      </w:r>
      <w:r>
        <w:rPr>
          <w:sz w:val="20"/>
        </w:rPr>
        <w:t>porušení</w:t>
      </w:r>
      <w:r>
        <w:rPr>
          <w:spacing w:val="87"/>
          <w:sz w:val="20"/>
        </w:rPr>
        <w:t> </w:t>
      </w:r>
      <w:r>
        <w:rPr>
          <w:sz w:val="20"/>
        </w:rPr>
        <w:t>postiženo</w:t>
      </w:r>
      <w:r>
        <w:rPr>
          <w:spacing w:val="87"/>
          <w:sz w:val="20"/>
        </w:rPr>
        <w:t> </w:t>
      </w:r>
      <w:r>
        <w:rPr>
          <w:sz w:val="20"/>
        </w:rPr>
        <w:t>odvodem</w:t>
      </w:r>
      <w:r>
        <w:rPr>
          <w:spacing w:val="8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rozmezí</w:t>
      </w:r>
      <w:r>
        <w:rPr>
          <w:spacing w:val="86"/>
          <w:sz w:val="20"/>
        </w:rPr>
        <w:t> </w:t>
      </w:r>
      <w:r>
        <w:rPr>
          <w:sz w:val="20"/>
        </w:rPr>
        <w:t>10-50</w:t>
      </w:r>
      <w:r>
        <w:rPr>
          <w:spacing w:val="8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6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jc w:val="left"/>
      </w:pPr>
      <w:r>
        <w:rPr/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" w:after="0"/>
        <w:ind w:left="52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</w:t>
      </w:r>
      <w:r>
        <w:rPr>
          <w:spacing w:val="15"/>
          <w:sz w:val="20"/>
        </w:rPr>
        <w:t> </w:t>
      </w:r>
      <w:r>
        <w:rPr>
          <w:sz w:val="20"/>
        </w:rPr>
        <w:t>smluv</w:t>
      </w:r>
      <w:r>
        <w:rPr>
          <w:spacing w:val="15"/>
          <w:sz w:val="20"/>
        </w:rPr>
        <w:t> </w:t>
      </w:r>
      <w:r>
        <w:rPr>
          <w:sz w:val="20"/>
        </w:rPr>
        <w:t>(zákon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registru</w:t>
      </w:r>
      <w:r>
        <w:rPr>
          <w:spacing w:val="15"/>
          <w:sz w:val="20"/>
        </w:rPr>
        <w:t> </w:t>
      </w:r>
      <w:r>
        <w:rPr>
          <w:sz w:val="20"/>
        </w:rPr>
        <w:t>smluv),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15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pokud</w:t>
      </w:r>
      <w:r>
        <w:rPr>
          <w:spacing w:val="15"/>
          <w:sz w:val="20"/>
        </w:rPr>
        <w:t> </w:t>
      </w:r>
      <w:r>
        <w:rPr>
          <w:sz w:val="20"/>
        </w:rPr>
        <w:t>zveřejnění</w:t>
      </w:r>
      <w:r>
        <w:rPr>
          <w:spacing w:val="15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</w:pPr>
      <w:r>
        <w:rPr/>
        <w:t>tento</w:t>
      </w:r>
      <w:r>
        <w:rPr>
          <w:spacing w:val="-3"/>
        </w:rPr>
        <w:t> </w:t>
      </w:r>
      <w:r>
        <w:rPr/>
        <w:t>zákon</w:t>
      </w:r>
      <w:r>
        <w:rPr>
          <w:spacing w:val="-3"/>
        </w:rPr>
        <w:t> </w:t>
      </w:r>
      <w:r>
        <w:rPr/>
        <w:t>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4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3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1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51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0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1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58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5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4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2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 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797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2022-07-29T06:51:04Z</dcterms:created>
  <dcterms:modified xsi:type="dcterms:W3CDTF">2022-07-29T06:51:04Z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2022-07-29T00:00:00Z</vt:filetime>
  </property>
</Properties>
</file>