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24CA1" w14:textId="77777777" w:rsidR="006A6403" w:rsidRDefault="00987B4C">
      <w:pPr>
        <w:pStyle w:val="NoList1"/>
        <w:jc w:val="right"/>
        <w:rPr>
          <w:rFonts w:ascii="Arial" w:eastAsia="Arial" w:hAnsi="Arial" w:cs="Arial"/>
          <w:b/>
          <w:spacing w:val="8"/>
          <w:sz w:val="22"/>
          <w:szCs w:val="22"/>
          <w:lang w:val="cs-CZ"/>
        </w:rPr>
      </w:pPr>
      <w:r>
        <w:rPr>
          <w:rFonts w:ascii="Arial" w:eastAsia="Arial" w:hAnsi="Arial" w:cs="Arial"/>
          <w:lang w:val="cs-CZ"/>
        </w:rPr>
        <w:pict w14:anchorId="1A72F559">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B7AA9">
        <w:rPr>
          <w:rFonts w:ascii="Arial" w:eastAsia="Arial" w:hAnsi="Arial" w:cs="Arial"/>
          <w:spacing w:val="14"/>
          <w:lang w:val="cs-CZ"/>
        </w:rPr>
        <w:t xml:space="preserve"> </w:t>
      </w:r>
      <w:r w:rsidR="00BB7AA9">
        <w:rPr>
          <w:rFonts w:ascii="Arial" w:eastAsia="Arial" w:hAnsi="Arial" w:cs="Arial"/>
          <w:b/>
          <w:i/>
          <w:spacing w:val="8"/>
          <w:sz w:val="28"/>
          <w:lang w:val="cs-CZ"/>
        </w:rPr>
        <w:t xml:space="preserve"> </w:t>
      </w:r>
      <w:r w:rsidR="00BB7AA9">
        <w:rPr>
          <w:noProof/>
        </w:rPr>
        <mc:AlternateContent>
          <mc:Choice Requires="wps">
            <w:drawing>
              <wp:inline distT="0" distB="0" distL="0" distR="0" wp14:anchorId="473B1FA3" wp14:editId="423994E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FA4A30F" w14:textId="77777777" w:rsidR="00987B4C" w:rsidRDefault="00987B4C">
                            <w:pPr>
                              <w:spacing w:after="60"/>
                              <w:jc w:val="center"/>
                            </w:pPr>
                            <w:r>
                              <w:rPr>
                                <w:sz w:val="18"/>
                              </w:rPr>
                              <w:t>MZE-42265/2022-12122</w:t>
                            </w:r>
                          </w:p>
                          <w:p w14:paraId="4A105336" w14:textId="77777777" w:rsidR="00987B4C" w:rsidRDefault="00987B4C">
                            <w:pPr>
                              <w:jc w:val="center"/>
                            </w:pPr>
                            <w:r>
                              <w:rPr>
                                <w:noProof/>
                              </w:rPr>
                              <w:drawing>
                                <wp:inline distT="0" distB="0" distL="0" distR="0" wp14:anchorId="5BECB514" wp14:editId="22EB9F5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F551382" w14:textId="77777777" w:rsidR="00987B4C" w:rsidRDefault="00987B4C">
                            <w:pPr>
                              <w:jc w:val="center"/>
                            </w:pPr>
                            <w:r>
                              <w:rPr>
                                <w:sz w:val="18"/>
                              </w:rPr>
                              <w:t>mzedms023605048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73B1FA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5FA4A30F" w14:textId="77777777" w:rsidR="00987B4C" w:rsidRDefault="00987B4C">
                      <w:pPr>
                        <w:spacing w:after="60"/>
                        <w:jc w:val="center"/>
                      </w:pPr>
                      <w:r>
                        <w:rPr>
                          <w:sz w:val="18"/>
                        </w:rPr>
                        <w:t>MZE-42265/2022-12122</w:t>
                      </w:r>
                    </w:p>
                    <w:p w14:paraId="4A105336" w14:textId="77777777" w:rsidR="00987B4C" w:rsidRDefault="00987B4C">
                      <w:pPr>
                        <w:jc w:val="center"/>
                      </w:pPr>
                      <w:r>
                        <w:rPr>
                          <w:noProof/>
                        </w:rPr>
                        <w:drawing>
                          <wp:inline distT="0" distB="0" distL="0" distR="0" wp14:anchorId="5BECB514" wp14:editId="22EB9F5A">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F551382" w14:textId="77777777" w:rsidR="00987B4C" w:rsidRDefault="00987B4C">
                      <w:pPr>
                        <w:jc w:val="center"/>
                      </w:pPr>
                      <w:r>
                        <w:rPr>
                          <w:sz w:val="18"/>
                        </w:rPr>
                        <w:t>mzedms023605048</w:t>
                      </w:r>
                    </w:p>
                  </w:txbxContent>
                </v:textbox>
                <w10:anchorlock/>
              </v:rect>
            </w:pict>
          </mc:Fallback>
        </mc:AlternateContent>
      </w:r>
    </w:p>
    <w:p w14:paraId="1B32B0DB" w14:textId="77777777" w:rsidR="006A6403" w:rsidRDefault="00BB7AA9">
      <w:pPr>
        <w:rPr>
          <w:szCs w:val="22"/>
        </w:rPr>
      </w:pPr>
      <w:r>
        <w:rPr>
          <w:szCs w:val="22"/>
        </w:rPr>
        <w:t xml:space="preserve"> </w:t>
      </w:r>
    </w:p>
    <w:p w14:paraId="02B77869" w14:textId="77777777" w:rsidR="006A6403" w:rsidRDefault="00BB7AA9">
      <w:pPr>
        <w:tabs>
          <w:tab w:val="left" w:pos="6946"/>
        </w:tabs>
        <w:jc w:val="center"/>
        <w:rPr>
          <w:b/>
          <w:color w:val="FF0000"/>
          <w:sz w:val="36"/>
          <w:szCs w:val="36"/>
        </w:rPr>
      </w:pPr>
      <w:r>
        <w:t xml:space="preserve"> </w:t>
      </w:r>
      <w:r>
        <w:rPr>
          <w:b/>
          <w:sz w:val="36"/>
          <w:szCs w:val="36"/>
        </w:rPr>
        <w:t>Požadavek na změnu (RfC)</w:t>
      </w:r>
      <w:r>
        <w:rPr>
          <w:rStyle w:val="Odkaznavysvtlivky"/>
          <w:b/>
          <w:sz w:val="36"/>
          <w:szCs w:val="36"/>
        </w:rPr>
        <w:endnoteReference w:id="1"/>
      </w:r>
      <w:r>
        <w:rPr>
          <w:b/>
          <w:sz w:val="36"/>
          <w:szCs w:val="36"/>
        </w:rPr>
        <w:t xml:space="preserve"> – Z34337</w:t>
      </w:r>
    </w:p>
    <w:p w14:paraId="5393061F" w14:textId="77777777" w:rsidR="006A6403" w:rsidRDefault="006A6403">
      <w:pPr>
        <w:tabs>
          <w:tab w:val="left" w:pos="6946"/>
        </w:tabs>
        <w:jc w:val="center"/>
        <w:rPr>
          <w:b/>
          <w:caps/>
          <w:szCs w:val="22"/>
        </w:rPr>
      </w:pPr>
    </w:p>
    <w:p w14:paraId="4A5EB306" w14:textId="77777777" w:rsidR="006A6403" w:rsidRDefault="006A6403">
      <w:pPr>
        <w:jc w:val="center"/>
        <w:rPr>
          <w:b/>
          <w:caps/>
          <w:szCs w:val="22"/>
        </w:rPr>
      </w:pPr>
    </w:p>
    <w:p w14:paraId="2E06BCE8" w14:textId="77777777" w:rsidR="006A6403" w:rsidRDefault="00BB7AA9">
      <w:pPr>
        <w:rPr>
          <w:b/>
          <w:caps/>
          <w:szCs w:val="22"/>
        </w:rPr>
      </w:pPr>
      <w:r>
        <w:rPr>
          <w:b/>
          <w:caps/>
          <w:szCs w:val="22"/>
        </w:rPr>
        <w:t>a – věcné zadání</w:t>
      </w:r>
    </w:p>
    <w:p w14:paraId="5389CDF2" w14:textId="77777777" w:rsidR="006A6403" w:rsidRDefault="00BB7AA9">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6403" w14:paraId="4A3E39F7" w14:textId="77777777">
        <w:tc>
          <w:tcPr>
            <w:tcW w:w="1701" w:type="dxa"/>
            <w:tcBorders>
              <w:top w:val="single" w:sz="8" w:space="0" w:color="auto"/>
              <w:left w:val="single" w:sz="8" w:space="0" w:color="auto"/>
              <w:bottom w:val="single" w:sz="8" w:space="0" w:color="auto"/>
            </w:tcBorders>
            <w:vAlign w:val="center"/>
          </w:tcPr>
          <w:p w14:paraId="68AEA98F" w14:textId="77777777" w:rsidR="006A6403" w:rsidRDefault="00BB7AA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FABBB54" w14:textId="77777777" w:rsidR="006A6403" w:rsidRDefault="00BB7AA9">
            <w:pPr>
              <w:pStyle w:val="Tabulka"/>
              <w:rPr>
                <w:szCs w:val="22"/>
              </w:rPr>
            </w:pPr>
            <w:r>
              <w:rPr>
                <w:szCs w:val="22"/>
              </w:rPr>
              <w:t>686</w:t>
            </w:r>
          </w:p>
        </w:tc>
      </w:tr>
    </w:tbl>
    <w:p w14:paraId="50429843" w14:textId="77777777" w:rsidR="006A6403" w:rsidRDefault="006A640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6A6403" w14:paraId="0AF9F7DE" w14:textId="77777777">
        <w:tc>
          <w:tcPr>
            <w:tcW w:w="1975" w:type="dxa"/>
            <w:tcBorders>
              <w:top w:val="single" w:sz="8" w:space="0" w:color="auto"/>
              <w:left w:val="single" w:sz="8" w:space="0" w:color="auto"/>
            </w:tcBorders>
            <w:vAlign w:val="center"/>
          </w:tcPr>
          <w:p w14:paraId="25D832E2" w14:textId="77777777" w:rsidR="006A6403" w:rsidRDefault="00BB7AA9">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7224DB32" w14:textId="77777777" w:rsidR="006A6403" w:rsidRDefault="00BB7AA9">
            <w:pPr>
              <w:pStyle w:val="Tabulka"/>
              <w:rPr>
                <w:b/>
                <w:szCs w:val="22"/>
              </w:rPr>
            </w:pPr>
            <w:r>
              <w:rPr>
                <w:b/>
                <w:szCs w:val="22"/>
              </w:rPr>
              <w:t>Implementace vrstvy erozní ohroženosti půd pro 2024 (SZP 23/3a)</w:t>
            </w:r>
          </w:p>
        </w:tc>
      </w:tr>
      <w:tr w:rsidR="006A6403" w14:paraId="71EA5AE0" w14:textId="77777777">
        <w:tc>
          <w:tcPr>
            <w:tcW w:w="3392" w:type="dxa"/>
            <w:gridSpan w:val="2"/>
            <w:tcBorders>
              <w:left w:val="single" w:sz="8" w:space="0" w:color="auto"/>
              <w:bottom w:val="single" w:sz="8" w:space="0" w:color="auto"/>
            </w:tcBorders>
            <w:vAlign w:val="center"/>
          </w:tcPr>
          <w:p w14:paraId="32A6A5F0" w14:textId="77777777" w:rsidR="006A6403" w:rsidRDefault="00BB7AA9">
            <w:pPr>
              <w:pStyle w:val="Tabulka"/>
              <w:rPr>
                <w:rStyle w:val="Siln"/>
                <w:b w:val="0"/>
                <w:szCs w:val="22"/>
              </w:rPr>
            </w:pPr>
            <w:r>
              <w:rPr>
                <w:rStyle w:val="Siln"/>
                <w:szCs w:val="22"/>
              </w:rPr>
              <w:t>Datum předložení požadavku:</w:t>
            </w:r>
          </w:p>
        </w:tc>
        <w:sdt>
          <w:sdtPr>
            <w:rPr>
              <w:szCs w:val="22"/>
            </w:rPr>
            <w:id w:val="1670597228"/>
            <w:date w:fullDate="2022-04-1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3E38BB0F" w14:textId="77777777" w:rsidR="006A6403" w:rsidRDefault="00BB7AA9">
                <w:pPr>
                  <w:pStyle w:val="Tabulka"/>
                  <w:rPr>
                    <w:szCs w:val="22"/>
                  </w:rPr>
                </w:pPr>
                <w:r>
                  <w:rPr>
                    <w:szCs w:val="22"/>
                  </w:rPr>
                  <w:t>10.4.2022</w:t>
                </w:r>
              </w:p>
            </w:tc>
          </w:sdtContent>
        </w:sdt>
        <w:tc>
          <w:tcPr>
            <w:tcW w:w="3383" w:type="dxa"/>
            <w:tcBorders>
              <w:left w:val="dotted" w:sz="4" w:space="0" w:color="auto"/>
              <w:bottom w:val="single" w:sz="8" w:space="0" w:color="auto"/>
            </w:tcBorders>
            <w:vAlign w:val="center"/>
          </w:tcPr>
          <w:p w14:paraId="216D043F" w14:textId="77777777" w:rsidR="006A6403" w:rsidRDefault="00BB7AA9">
            <w:pPr>
              <w:pStyle w:val="Tabulka"/>
              <w:rPr>
                <w:rStyle w:val="Siln"/>
                <w:b w:val="0"/>
                <w:szCs w:val="22"/>
              </w:rPr>
            </w:pPr>
            <w:r>
              <w:rPr>
                <w:rStyle w:val="Siln"/>
                <w:szCs w:val="22"/>
              </w:rPr>
              <w:t>Požadované datum nasazení:</w:t>
            </w:r>
          </w:p>
        </w:tc>
        <w:sdt>
          <w:sdtPr>
            <w:rPr>
              <w:szCs w:val="22"/>
            </w:rPr>
            <w:id w:val="-1745104504"/>
            <w:date w:fullDate="2022-08-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6E489789" w14:textId="77777777" w:rsidR="006A6403" w:rsidRDefault="00BB7AA9">
                <w:pPr>
                  <w:pStyle w:val="Tabulka"/>
                  <w:rPr>
                    <w:szCs w:val="22"/>
                  </w:rPr>
                </w:pPr>
                <w:r>
                  <w:rPr>
                    <w:szCs w:val="22"/>
                  </w:rPr>
                  <w:t>31.8.2022</w:t>
                </w:r>
              </w:p>
            </w:tc>
          </w:sdtContent>
        </w:sdt>
      </w:tr>
    </w:tbl>
    <w:p w14:paraId="46AD4A2C" w14:textId="77777777" w:rsidR="006A6403" w:rsidRDefault="006A640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A6403" w14:paraId="7781981C" w14:textId="77777777">
        <w:tc>
          <w:tcPr>
            <w:tcW w:w="2258" w:type="dxa"/>
            <w:tcBorders>
              <w:top w:val="single" w:sz="8" w:space="0" w:color="auto"/>
              <w:left w:val="single" w:sz="8" w:space="0" w:color="auto"/>
              <w:bottom w:val="single" w:sz="8" w:space="0" w:color="auto"/>
            </w:tcBorders>
            <w:vAlign w:val="center"/>
          </w:tcPr>
          <w:p w14:paraId="01034B23" w14:textId="77777777" w:rsidR="006A6403" w:rsidRDefault="00BB7AA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6662653" w14:textId="77777777" w:rsidR="006A6403" w:rsidRDefault="00BB7AA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7D9293A" w14:textId="77777777" w:rsidR="006A6403" w:rsidRDefault="00BB7AA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10F6AD0" w14:textId="77777777" w:rsidR="006A6403" w:rsidRDefault="00BB7AA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1B54F66" w14:textId="77777777" w:rsidR="006A6403" w:rsidRDefault="006A6403">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A6403" w14:paraId="5080B0EE" w14:textId="77777777">
        <w:tc>
          <w:tcPr>
            <w:tcW w:w="983" w:type="dxa"/>
            <w:vMerge w:val="restart"/>
            <w:tcBorders>
              <w:top w:val="single" w:sz="8" w:space="0" w:color="auto"/>
              <w:left w:val="single" w:sz="8" w:space="0" w:color="auto"/>
            </w:tcBorders>
            <w:vAlign w:val="center"/>
          </w:tcPr>
          <w:p w14:paraId="63B3E52D" w14:textId="77777777" w:rsidR="006A6403" w:rsidRDefault="00BB7AA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76BE97C" w14:textId="77777777" w:rsidR="006A6403" w:rsidRDefault="00BB7AA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1E8F05E" w14:textId="77777777" w:rsidR="006A6403" w:rsidRDefault="00BB7AA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05A3A6F" w14:textId="77777777" w:rsidR="006A6403" w:rsidRDefault="00BB7AA9">
            <w:pPr>
              <w:pStyle w:val="Tabulka"/>
              <w:rPr>
                <w:szCs w:val="22"/>
              </w:rPr>
            </w:pPr>
            <w:r>
              <w:rPr>
                <w:szCs w:val="22"/>
              </w:rPr>
              <w:t>LPIS</w:t>
            </w:r>
          </w:p>
        </w:tc>
      </w:tr>
      <w:tr w:rsidR="006A6403" w14:paraId="33D959A1" w14:textId="77777777">
        <w:tc>
          <w:tcPr>
            <w:tcW w:w="983" w:type="dxa"/>
            <w:vMerge/>
            <w:tcBorders>
              <w:left w:val="single" w:sz="8" w:space="0" w:color="auto"/>
            </w:tcBorders>
            <w:vAlign w:val="center"/>
          </w:tcPr>
          <w:p w14:paraId="741076FF" w14:textId="77777777" w:rsidR="006A6403" w:rsidRDefault="006A6403">
            <w:pPr>
              <w:pStyle w:val="Tabulka"/>
              <w:rPr>
                <w:szCs w:val="22"/>
              </w:rPr>
            </w:pPr>
          </w:p>
        </w:tc>
        <w:tc>
          <w:tcPr>
            <w:tcW w:w="1911" w:type="dxa"/>
            <w:vMerge/>
            <w:tcBorders>
              <w:bottom w:val="dotted" w:sz="4" w:space="0" w:color="auto"/>
            </w:tcBorders>
            <w:vAlign w:val="center"/>
          </w:tcPr>
          <w:p w14:paraId="36B1FAFD" w14:textId="77777777" w:rsidR="006A6403" w:rsidRDefault="006A6403">
            <w:pPr>
              <w:pStyle w:val="Tabulka"/>
              <w:rPr>
                <w:szCs w:val="22"/>
              </w:rPr>
            </w:pPr>
          </w:p>
        </w:tc>
        <w:tc>
          <w:tcPr>
            <w:tcW w:w="1491" w:type="dxa"/>
            <w:tcBorders>
              <w:bottom w:val="dotted" w:sz="4" w:space="0" w:color="auto"/>
            </w:tcBorders>
            <w:vAlign w:val="center"/>
          </w:tcPr>
          <w:p w14:paraId="64F69A8B" w14:textId="77777777" w:rsidR="006A6403" w:rsidRDefault="00BB7AA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393B025" w14:textId="77777777" w:rsidR="006A6403" w:rsidRDefault="00BB7AA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6A6403" w14:paraId="1E4BF13D" w14:textId="77777777">
        <w:tc>
          <w:tcPr>
            <w:tcW w:w="983" w:type="dxa"/>
            <w:vMerge/>
            <w:tcBorders>
              <w:left w:val="single" w:sz="8" w:space="0" w:color="auto"/>
              <w:bottom w:val="single" w:sz="8" w:space="0" w:color="auto"/>
            </w:tcBorders>
            <w:vAlign w:val="center"/>
          </w:tcPr>
          <w:p w14:paraId="34503554" w14:textId="77777777" w:rsidR="006A6403" w:rsidRDefault="006A6403">
            <w:pPr>
              <w:pStyle w:val="Tabulka"/>
              <w:rPr>
                <w:szCs w:val="22"/>
              </w:rPr>
            </w:pPr>
          </w:p>
        </w:tc>
        <w:tc>
          <w:tcPr>
            <w:tcW w:w="1911" w:type="dxa"/>
            <w:tcBorders>
              <w:top w:val="dotted" w:sz="4" w:space="0" w:color="auto"/>
              <w:bottom w:val="single" w:sz="8" w:space="0" w:color="auto"/>
            </w:tcBorders>
            <w:vAlign w:val="center"/>
          </w:tcPr>
          <w:p w14:paraId="041AA811" w14:textId="77777777" w:rsidR="006A6403" w:rsidRDefault="00BB7AA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DAE51C5" w14:textId="77777777" w:rsidR="006A6403" w:rsidRDefault="00BB7AA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383B1E1" w14:textId="77777777" w:rsidR="006A6403" w:rsidRDefault="00BB7AA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6272653C" w14:textId="77777777" w:rsidR="006A6403" w:rsidRDefault="006A6403">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6A6403" w14:paraId="40184D66" w14:textId="77777777">
        <w:tc>
          <w:tcPr>
            <w:tcW w:w="2679" w:type="dxa"/>
            <w:tcBorders>
              <w:top w:val="single" w:sz="8" w:space="0" w:color="auto"/>
              <w:left w:val="single" w:sz="8" w:space="0" w:color="auto"/>
              <w:bottom w:val="single" w:sz="8" w:space="0" w:color="auto"/>
            </w:tcBorders>
            <w:vAlign w:val="center"/>
          </w:tcPr>
          <w:p w14:paraId="59A291DA" w14:textId="77777777" w:rsidR="006A6403" w:rsidRDefault="00BB7AA9">
            <w:pPr>
              <w:pStyle w:val="Tabulka"/>
              <w:rPr>
                <w:b/>
                <w:szCs w:val="22"/>
              </w:rPr>
            </w:pPr>
            <w:r>
              <w:rPr>
                <w:b/>
                <w:szCs w:val="22"/>
              </w:rPr>
              <w:t>Role</w:t>
            </w:r>
          </w:p>
        </w:tc>
        <w:tc>
          <w:tcPr>
            <w:tcW w:w="1701" w:type="dxa"/>
            <w:tcBorders>
              <w:top w:val="single" w:sz="8" w:space="0" w:color="auto"/>
              <w:bottom w:val="single" w:sz="8" w:space="0" w:color="auto"/>
            </w:tcBorders>
            <w:vAlign w:val="center"/>
          </w:tcPr>
          <w:p w14:paraId="4CC236FB" w14:textId="77777777" w:rsidR="006A6403" w:rsidRDefault="00BB7AA9">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51C40C68" w14:textId="77777777" w:rsidR="006A6403" w:rsidRDefault="00BB7AA9">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691CC7B9" w14:textId="77777777" w:rsidR="006A6403" w:rsidRDefault="00BB7AA9">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1026EB29" w14:textId="77777777" w:rsidR="006A6403" w:rsidRDefault="00BB7AA9">
            <w:pPr>
              <w:pStyle w:val="Tabulka"/>
              <w:rPr>
                <w:b/>
                <w:szCs w:val="22"/>
              </w:rPr>
            </w:pPr>
            <w:r>
              <w:rPr>
                <w:b/>
                <w:szCs w:val="22"/>
              </w:rPr>
              <w:t>E-mail</w:t>
            </w:r>
          </w:p>
        </w:tc>
      </w:tr>
      <w:tr w:rsidR="006A6403" w14:paraId="70A99E22" w14:textId="77777777">
        <w:trPr>
          <w:trHeight w:hRule="exact" w:val="20"/>
        </w:trPr>
        <w:tc>
          <w:tcPr>
            <w:tcW w:w="2679" w:type="dxa"/>
            <w:tcBorders>
              <w:top w:val="single" w:sz="8" w:space="0" w:color="auto"/>
              <w:left w:val="dotted" w:sz="4" w:space="0" w:color="auto"/>
            </w:tcBorders>
            <w:vAlign w:val="center"/>
          </w:tcPr>
          <w:p w14:paraId="7F5E2329" w14:textId="77777777" w:rsidR="006A6403" w:rsidRDefault="006A6403">
            <w:pPr>
              <w:pStyle w:val="Tabulka"/>
              <w:rPr>
                <w:b/>
                <w:szCs w:val="22"/>
              </w:rPr>
            </w:pPr>
          </w:p>
        </w:tc>
        <w:tc>
          <w:tcPr>
            <w:tcW w:w="1701" w:type="dxa"/>
            <w:tcBorders>
              <w:top w:val="single" w:sz="8" w:space="0" w:color="auto"/>
            </w:tcBorders>
            <w:vAlign w:val="center"/>
          </w:tcPr>
          <w:p w14:paraId="5977C551" w14:textId="77777777" w:rsidR="006A6403" w:rsidRDefault="006A6403">
            <w:pPr>
              <w:pStyle w:val="Tabulka"/>
              <w:rPr>
                <w:sz w:val="20"/>
                <w:szCs w:val="20"/>
              </w:rPr>
            </w:pPr>
          </w:p>
        </w:tc>
        <w:tc>
          <w:tcPr>
            <w:tcW w:w="1417" w:type="dxa"/>
            <w:tcBorders>
              <w:top w:val="single" w:sz="8" w:space="0" w:color="auto"/>
            </w:tcBorders>
            <w:vAlign w:val="center"/>
          </w:tcPr>
          <w:p w14:paraId="62D9A424" w14:textId="77777777" w:rsidR="006A6403" w:rsidRDefault="006A6403">
            <w:pPr>
              <w:pStyle w:val="Tabulka"/>
              <w:rPr>
                <w:rStyle w:val="Siln"/>
                <w:b w:val="0"/>
                <w:sz w:val="20"/>
                <w:szCs w:val="20"/>
              </w:rPr>
            </w:pPr>
          </w:p>
        </w:tc>
        <w:tc>
          <w:tcPr>
            <w:tcW w:w="1418" w:type="dxa"/>
            <w:tcBorders>
              <w:top w:val="single" w:sz="8" w:space="0" w:color="auto"/>
            </w:tcBorders>
            <w:vAlign w:val="center"/>
          </w:tcPr>
          <w:p w14:paraId="527AF29C" w14:textId="77777777" w:rsidR="006A6403" w:rsidRDefault="006A6403">
            <w:pPr>
              <w:pStyle w:val="Tabulka"/>
              <w:rPr>
                <w:sz w:val="20"/>
                <w:szCs w:val="20"/>
              </w:rPr>
            </w:pPr>
          </w:p>
        </w:tc>
        <w:tc>
          <w:tcPr>
            <w:tcW w:w="2693" w:type="dxa"/>
            <w:tcBorders>
              <w:top w:val="single" w:sz="8" w:space="0" w:color="auto"/>
              <w:right w:val="dotted" w:sz="4" w:space="0" w:color="auto"/>
            </w:tcBorders>
            <w:vAlign w:val="center"/>
          </w:tcPr>
          <w:p w14:paraId="51BA3C56" w14:textId="77777777" w:rsidR="006A6403" w:rsidRDefault="006A6403">
            <w:pPr>
              <w:pStyle w:val="Tabulka"/>
              <w:rPr>
                <w:sz w:val="20"/>
                <w:szCs w:val="20"/>
              </w:rPr>
            </w:pPr>
          </w:p>
        </w:tc>
      </w:tr>
      <w:tr w:rsidR="006A6403" w14:paraId="00133E12" w14:textId="77777777">
        <w:tc>
          <w:tcPr>
            <w:tcW w:w="2679" w:type="dxa"/>
            <w:tcBorders>
              <w:top w:val="dotted" w:sz="4" w:space="0" w:color="auto"/>
              <w:left w:val="dotted" w:sz="4" w:space="0" w:color="auto"/>
            </w:tcBorders>
            <w:vAlign w:val="center"/>
          </w:tcPr>
          <w:p w14:paraId="362477F6" w14:textId="77777777" w:rsidR="006A6403" w:rsidRDefault="00BB7AA9">
            <w:pPr>
              <w:pStyle w:val="Tabulka"/>
              <w:rPr>
                <w:szCs w:val="22"/>
              </w:rPr>
            </w:pPr>
            <w:r>
              <w:rPr>
                <w:szCs w:val="22"/>
              </w:rPr>
              <w:t>Žadatel/věcný garant</w:t>
            </w:r>
          </w:p>
        </w:tc>
        <w:tc>
          <w:tcPr>
            <w:tcW w:w="1701" w:type="dxa"/>
            <w:tcBorders>
              <w:top w:val="dotted" w:sz="4" w:space="0" w:color="auto"/>
            </w:tcBorders>
            <w:vAlign w:val="center"/>
          </w:tcPr>
          <w:p w14:paraId="301AEAB7" w14:textId="77777777" w:rsidR="006A6403" w:rsidRDefault="00BB7AA9">
            <w:pPr>
              <w:pStyle w:val="Tabulka"/>
              <w:rPr>
                <w:b/>
                <w:sz w:val="20"/>
                <w:szCs w:val="20"/>
              </w:rPr>
            </w:pPr>
            <w:r>
              <w:rPr>
                <w:rFonts w:ascii="ArialMT2" w:hAnsi="ArialMT2" w:cs="ArialMT2"/>
                <w:sz w:val="20"/>
                <w:szCs w:val="20"/>
                <w:lang w:eastAsia="cs-CZ"/>
              </w:rPr>
              <w:t>Kateřina Bělinová</w:t>
            </w:r>
          </w:p>
        </w:tc>
        <w:tc>
          <w:tcPr>
            <w:tcW w:w="1417" w:type="dxa"/>
            <w:tcBorders>
              <w:top w:val="dotted" w:sz="4" w:space="0" w:color="auto"/>
            </w:tcBorders>
          </w:tcPr>
          <w:p w14:paraId="13AB39DD" w14:textId="77777777" w:rsidR="006A6403" w:rsidRDefault="00BB7AA9">
            <w:pPr>
              <w:pStyle w:val="Tabulka"/>
              <w:rPr>
                <w:rStyle w:val="Siln"/>
                <w:b w:val="0"/>
                <w:sz w:val="20"/>
                <w:szCs w:val="20"/>
              </w:rPr>
            </w:pPr>
            <w:r>
              <w:rPr>
                <w:rStyle w:val="Siln"/>
                <w:sz w:val="20"/>
                <w:szCs w:val="20"/>
              </w:rPr>
              <w:t>MZe/odbor PP</w:t>
            </w:r>
          </w:p>
        </w:tc>
        <w:tc>
          <w:tcPr>
            <w:tcW w:w="1418" w:type="dxa"/>
            <w:tcBorders>
              <w:top w:val="dotted" w:sz="4" w:space="0" w:color="auto"/>
            </w:tcBorders>
            <w:vAlign w:val="center"/>
          </w:tcPr>
          <w:p w14:paraId="2AD77C6C" w14:textId="77777777" w:rsidR="006A6403" w:rsidRDefault="00BB7AA9">
            <w:pPr>
              <w:pStyle w:val="Tabulka"/>
              <w:rPr>
                <w:sz w:val="20"/>
                <w:szCs w:val="20"/>
              </w:rPr>
            </w:pPr>
            <w:r>
              <w:rPr>
                <w:sz w:val="20"/>
                <w:szCs w:val="20"/>
              </w:rPr>
              <w:t>221 812 849</w:t>
            </w:r>
          </w:p>
        </w:tc>
        <w:tc>
          <w:tcPr>
            <w:tcW w:w="2693" w:type="dxa"/>
            <w:tcBorders>
              <w:top w:val="dotted" w:sz="4" w:space="0" w:color="auto"/>
              <w:right w:val="dotted" w:sz="4" w:space="0" w:color="auto"/>
            </w:tcBorders>
            <w:vAlign w:val="center"/>
          </w:tcPr>
          <w:p w14:paraId="27CD0A5C" w14:textId="77777777" w:rsidR="006A6403" w:rsidRDefault="00BB7AA9">
            <w:pPr>
              <w:pStyle w:val="Tabulka"/>
              <w:rPr>
                <w:sz w:val="20"/>
                <w:szCs w:val="20"/>
              </w:rPr>
            </w:pPr>
            <w:r>
              <w:rPr>
                <w:sz w:val="20"/>
                <w:szCs w:val="20"/>
              </w:rPr>
              <w:t>Katerina.Belinova@mze.cz</w:t>
            </w:r>
          </w:p>
        </w:tc>
      </w:tr>
      <w:tr w:rsidR="006A6403" w14:paraId="698F8211" w14:textId="77777777">
        <w:tc>
          <w:tcPr>
            <w:tcW w:w="2679" w:type="dxa"/>
            <w:tcBorders>
              <w:top w:val="dotted" w:sz="4" w:space="0" w:color="auto"/>
              <w:left w:val="dotted" w:sz="4" w:space="0" w:color="auto"/>
            </w:tcBorders>
            <w:vAlign w:val="center"/>
          </w:tcPr>
          <w:p w14:paraId="7D40F96C" w14:textId="77777777" w:rsidR="006A6403" w:rsidRDefault="00BB7AA9">
            <w:pPr>
              <w:pStyle w:val="Tabulka"/>
              <w:rPr>
                <w:szCs w:val="22"/>
              </w:rPr>
            </w:pPr>
            <w:r>
              <w:rPr>
                <w:szCs w:val="22"/>
              </w:rPr>
              <w:t>Žadatel/věcný garant</w:t>
            </w:r>
          </w:p>
        </w:tc>
        <w:tc>
          <w:tcPr>
            <w:tcW w:w="1701" w:type="dxa"/>
            <w:tcBorders>
              <w:top w:val="dotted" w:sz="4" w:space="0" w:color="auto"/>
            </w:tcBorders>
            <w:vAlign w:val="center"/>
          </w:tcPr>
          <w:p w14:paraId="40ADAFFA" w14:textId="77777777" w:rsidR="006A6403" w:rsidRDefault="00BB7AA9">
            <w:pPr>
              <w:pStyle w:val="Tabulka"/>
              <w:rPr>
                <w:rFonts w:ascii="ArialMT2" w:hAnsi="ArialMT2" w:cs="ArialMT2"/>
                <w:sz w:val="20"/>
                <w:szCs w:val="20"/>
                <w:lang w:eastAsia="cs-CZ"/>
              </w:rPr>
            </w:pPr>
            <w:r>
              <w:rPr>
                <w:rFonts w:ascii="ArialMT2" w:hAnsi="ArialMT2" w:cs="ArialMT2"/>
                <w:sz w:val="20"/>
                <w:szCs w:val="20"/>
                <w:lang w:eastAsia="cs-CZ"/>
              </w:rPr>
              <w:t>Lenka Typoltová</w:t>
            </w:r>
          </w:p>
        </w:tc>
        <w:tc>
          <w:tcPr>
            <w:tcW w:w="1417" w:type="dxa"/>
            <w:tcBorders>
              <w:top w:val="dotted" w:sz="4" w:space="0" w:color="auto"/>
            </w:tcBorders>
          </w:tcPr>
          <w:p w14:paraId="6244E827" w14:textId="77777777" w:rsidR="006A6403" w:rsidRDefault="00BB7AA9">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088B144F" w14:textId="77777777" w:rsidR="006A6403" w:rsidRDefault="00BB7AA9">
            <w:pPr>
              <w:pStyle w:val="Tabulka"/>
              <w:rPr>
                <w:sz w:val="20"/>
                <w:szCs w:val="20"/>
              </w:rPr>
            </w:pPr>
            <w:r>
              <w:rPr>
                <w:sz w:val="20"/>
                <w:szCs w:val="20"/>
              </w:rPr>
              <w:t>221 812 342</w:t>
            </w:r>
          </w:p>
        </w:tc>
        <w:tc>
          <w:tcPr>
            <w:tcW w:w="2693" w:type="dxa"/>
            <w:tcBorders>
              <w:top w:val="dotted" w:sz="4" w:space="0" w:color="auto"/>
              <w:right w:val="dotted" w:sz="4" w:space="0" w:color="auto"/>
            </w:tcBorders>
            <w:vAlign w:val="center"/>
          </w:tcPr>
          <w:p w14:paraId="5A96E301" w14:textId="77777777" w:rsidR="006A6403" w:rsidRDefault="00BB7AA9">
            <w:pPr>
              <w:pStyle w:val="Tabulka"/>
              <w:rPr>
                <w:sz w:val="20"/>
                <w:szCs w:val="20"/>
              </w:rPr>
            </w:pPr>
            <w:r>
              <w:rPr>
                <w:sz w:val="20"/>
                <w:szCs w:val="20"/>
              </w:rPr>
              <w:t>Lenka.Typoltova@mze.cz</w:t>
            </w:r>
          </w:p>
        </w:tc>
      </w:tr>
      <w:tr w:rsidR="006A6403" w14:paraId="2074C2B9" w14:textId="77777777">
        <w:tc>
          <w:tcPr>
            <w:tcW w:w="2679" w:type="dxa"/>
            <w:tcBorders>
              <w:left w:val="dotted" w:sz="4" w:space="0" w:color="auto"/>
            </w:tcBorders>
            <w:vAlign w:val="center"/>
          </w:tcPr>
          <w:p w14:paraId="417DA4CF" w14:textId="77777777" w:rsidR="006A6403" w:rsidRDefault="00BB7AA9">
            <w:pPr>
              <w:pStyle w:val="Tabulka"/>
              <w:rPr>
                <w:szCs w:val="22"/>
              </w:rPr>
            </w:pPr>
            <w:r>
              <w:rPr>
                <w:szCs w:val="22"/>
              </w:rPr>
              <w:t>Koordinátor změny:</w:t>
            </w:r>
          </w:p>
        </w:tc>
        <w:tc>
          <w:tcPr>
            <w:tcW w:w="1701" w:type="dxa"/>
            <w:vAlign w:val="center"/>
          </w:tcPr>
          <w:p w14:paraId="0C2882DA" w14:textId="77777777" w:rsidR="006A6403" w:rsidRDefault="00BB7AA9">
            <w:pPr>
              <w:pStyle w:val="Tabulka"/>
              <w:rPr>
                <w:rFonts w:ascii="ArialMT2" w:hAnsi="ArialMT2" w:cs="ArialMT2"/>
                <w:sz w:val="20"/>
                <w:szCs w:val="20"/>
                <w:lang w:eastAsia="cs-CZ"/>
              </w:rPr>
            </w:pPr>
            <w:r>
              <w:rPr>
                <w:sz w:val="20"/>
                <w:szCs w:val="20"/>
              </w:rPr>
              <w:t>Jiří Bukovský</w:t>
            </w:r>
          </w:p>
        </w:tc>
        <w:tc>
          <w:tcPr>
            <w:tcW w:w="1417" w:type="dxa"/>
            <w:vAlign w:val="center"/>
          </w:tcPr>
          <w:p w14:paraId="09309D05" w14:textId="77777777" w:rsidR="006A6403" w:rsidRDefault="00BB7AA9">
            <w:pPr>
              <w:pStyle w:val="Tabulka"/>
              <w:rPr>
                <w:rStyle w:val="Siln"/>
                <w:b w:val="0"/>
                <w:sz w:val="20"/>
                <w:szCs w:val="20"/>
              </w:rPr>
            </w:pPr>
            <w:r>
              <w:rPr>
                <w:rStyle w:val="Siln"/>
                <w:sz w:val="20"/>
                <w:szCs w:val="20"/>
              </w:rPr>
              <w:t>MZe</w:t>
            </w:r>
          </w:p>
        </w:tc>
        <w:tc>
          <w:tcPr>
            <w:tcW w:w="1418" w:type="dxa"/>
            <w:vAlign w:val="center"/>
          </w:tcPr>
          <w:p w14:paraId="290488A8" w14:textId="77777777" w:rsidR="006A6403" w:rsidRDefault="00BB7AA9">
            <w:pPr>
              <w:pStyle w:val="Tabulka"/>
              <w:rPr>
                <w:sz w:val="20"/>
                <w:szCs w:val="20"/>
              </w:rPr>
            </w:pPr>
            <w:r>
              <w:rPr>
                <w:sz w:val="20"/>
                <w:szCs w:val="20"/>
              </w:rPr>
              <w:t>221 812 710</w:t>
            </w:r>
          </w:p>
        </w:tc>
        <w:tc>
          <w:tcPr>
            <w:tcW w:w="2693" w:type="dxa"/>
            <w:tcBorders>
              <w:right w:val="dotted" w:sz="4" w:space="0" w:color="auto"/>
            </w:tcBorders>
            <w:vAlign w:val="center"/>
          </w:tcPr>
          <w:p w14:paraId="2DFB6595" w14:textId="77777777" w:rsidR="006A6403" w:rsidRDefault="00BB7AA9">
            <w:pPr>
              <w:pStyle w:val="Tabulka"/>
              <w:rPr>
                <w:sz w:val="20"/>
                <w:szCs w:val="20"/>
              </w:rPr>
            </w:pPr>
            <w:r>
              <w:rPr>
                <w:sz w:val="20"/>
                <w:szCs w:val="20"/>
              </w:rPr>
              <w:t>Jiri.Bukovsky@mze.cz</w:t>
            </w:r>
          </w:p>
        </w:tc>
      </w:tr>
      <w:tr w:rsidR="006A6403" w14:paraId="01AF5450" w14:textId="77777777">
        <w:tc>
          <w:tcPr>
            <w:tcW w:w="2679" w:type="dxa"/>
            <w:tcBorders>
              <w:left w:val="dotted" w:sz="4" w:space="0" w:color="auto"/>
            </w:tcBorders>
            <w:vAlign w:val="center"/>
          </w:tcPr>
          <w:p w14:paraId="3A5EF286" w14:textId="77777777" w:rsidR="006A6403" w:rsidRDefault="00BB7AA9">
            <w:pPr>
              <w:pStyle w:val="Tabulka"/>
              <w:rPr>
                <w:szCs w:val="22"/>
              </w:rPr>
            </w:pPr>
            <w:r>
              <w:rPr>
                <w:szCs w:val="22"/>
              </w:rPr>
              <w:t>Poskytovatel/Dodavatel:</w:t>
            </w:r>
          </w:p>
        </w:tc>
        <w:tc>
          <w:tcPr>
            <w:tcW w:w="1701" w:type="dxa"/>
            <w:vAlign w:val="center"/>
          </w:tcPr>
          <w:p w14:paraId="678AC4CF" w14:textId="0F5B6ABB" w:rsidR="006A6403" w:rsidRDefault="00987B4C">
            <w:pPr>
              <w:pStyle w:val="Tabulka"/>
              <w:rPr>
                <w:sz w:val="20"/>
                <w:szCs w:val="20"/>
              </w:rPr>
            </w:pPr>
            <w:r>
              <w:rPr>
                <w:sz w:val="20"/>
                <w:szCs w:val="20"/>
              </w:rPr>
              <w:t>xxx</w:t>
            </w:r>
          </w:p>
        </w:tc>
        <w:tc>
          <w:tcPr>
            <w:tcW w:w="1417" w:type="dxa"/>
            <w:vAlign w:val="center"/>
          </w:tcPr>
          <w:p w14:paraId="51AD3A00" w14:textId="77777777" w:rsidR="006A6403" w:rsidRDefault="00BB7AA9">
            <w:pPr>
              <w:pStyle w:val="Tabulka"/>
              <w:rPr>
                <w:rStyle w:val="Siln"/>
                <w:b w:val="0"/>
                <w:sz w:val="20"/>
                <w:szCs w:val="20"/>
              </w:rPr>
            </w:pPr>
            <w:r>
              <w:rPr>
                <w:rStyle w:val="Siln"/>
                <w:sz w:val="20"/>
                <w:szCs w:val="20"/>
              </w:rPr>
              <w:t>O2its</w:t>
            </w:r>
          </w:p>
        </w:tc>
        <w:tc>
          <w:tcPr>
            <w:tcW w:w="1418" w:type="dxa"/>
            <w:vAlign w:val="center"/>
          </w:tcPr>
          <w:p w14:paraId="7D96F50D" w14:textId="77777777" w:rsidR="006A6403" w:rsidRDefault="006A6403">
            <w:pPr>
              <w:pStyle w:val="Tabulka"/>
              <w:rPr>
                <w:sz w:val="20"/>
                <w:szCs w:val="20"/>
              </w:rPr>
            </w:pPr>
          </w:p>
        </w:tc>
        <w:tc>
          <w:tcPr>
            <w:tcW w:w="2693" w:type="dxa"/>
            <w:tcBorders>
              <w:right w:val="dotted" w:sz="4" w:space="0" w:color="auto"/>
            </w:tcBorders>
            <w:vAlign w:val="center"/>
          </w:tcPr>
          <w:p w14:paraId="2343F8DF" w14:textId="6989BE8C" w:rsidR="006A6403" w:rsidRDefault="00987B4C">
            <w:pPr>
              <w:pStyle w:val="Tabulka"/>
              <w:rPr>
                <w:sz w:val="20"/>
                <w:szCs w:val="20"/>
              </w:rPr>
            </w:pPr>
            <w:r>
              <w:rPr>
                <w:sz w:val="20"/>
                <w:szCs w:val="20"/>
              </w:rPr>
              <w:t>xxx</w:t>
            </w:r>
          </w:p>
        </w:tc>
      </w:tr>
    </w:tbl>
    <w:p w14:paraId="3E42379C" w14:textId="77777777" w:rsidR="006A6403" w:rsidRDefault="006A6403">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6A6403" w14:paraId="6BECD62C" w14:textId="77777777">
        <w:trPr>
          <w:trHeight w:val="397"/>
        </w:trPr>
        <w:tc>
          <w:tcPr>
            <w:tcW w:w="1681" w:type="dxa"/>
            <w:vAlign w:val="center"/>
          </w:tcPr>
          <w:p w14:paraId="0D5C3E82" w14:textId="77777777" w:rsidR="006A6403" w:rsidRDefault="00BB7AA9">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26D6BBBF" w14:textId="77777777" w:rsidR="006A6403" w:rsidRDefault="00BB7AA9">
            <w:pPr>
              <w:pStyle w:val="Tabulka"/>
              <w:rPr>
                <w:szCs w:val="22"/>
              </w:rPr>
            </w:pPr>
            <w:r>
              <w:rPr>
                <w:szCs w:val="22"/>
              </w:rPr>
              <w:t>S2019-0043; DMS 391-2019-11150;</w:t>
            </w:r>
          </w:p>
        </w:tc>
        <w:tc>
          <w:tcPr>
            <w:tcW w:w="1418" w:type="dxa"/>
            <w:tcBorders>
              <w:top w:val="single" w:sz="8" w:space="0" w:color="auto"/>
              <w:left w:val="dotted" w:sz="4" w:space="0" w:color="auto"/>
              <w:bottom w:val="single" w:sz="8" w:space="0" w:color="auto"/>
            </w:tcBorders>
            <w:vAlign w:val="center"/>
          </w:tcPr>
          <w:p w14:paraId="16ED62E9" w14:textId="77777777" w:rsidR="006A6403" w:rsidRDefault="00BB7AA9">
            <w:pPr>
              <w:pStyle w:val="Tabulka"/>
              <w:rPr>
                <w:rStyle w:val="Siln"/>
                <w:b w:val="0"/>
                <w:szCs w:val="22"/>
              </w:rPr>
            </w:pPr>
            <w:r>
              <w:rPr>
                <w:rStyle w:val="Siln"/>
                <w:szCs w:val="22"/>
              </w:rPr>
              <w:t>KL:</w:t>
            </w:r>
          </w:p>
        </w:tc>
        <w:tc>
          <w:tcPr>
            <w:tcW w:w="2693" w:type="dxa"/>
            <w:vAlign w:val="center"/>
          </w:tcPr>
          <w:p w14:paraId="2BF833ED" w14:textId="77777777" w:rsidR="006A6403" w:rsidRDefault="00BB7AA9">
            <w:pPr>
              <w:pStyle w:val="Tabulka"/>
              <w:rPr>
                <w:szCs w:val="22"/>
              </w:rPr>
            </w:pPr>
            <w:r>
              <w:rPr>
                <w:szCs w:val="22"/>
              </w:rPr>
              <w:t>KL HR-001</w:t>
            </w:r>
          </w:p>
        </w:tc>
      </w:tr>
    </w:tbl>
    <w:p w14:paraId="77E15655" w14:textId="77777777" w:rsidR="006A6403" w:rsidRDefault="006A6403">
      <w:pPr>
        <w:rPr>
          <w:szCs w:val="22"/>
        </w:rPr>
      </w:pPr>
    </w:p>
    <w:p w14:paraId="1ABA00EE" w14:textId="77777777" w:rsidR="006A6403" w:rsidRDefault="00BB7AA9">
      <w:pPr>
        <w:pStyle w:val="Nadpis1"/>
        <w:numPr>
          <w:ilvl w:val="0"/>
          <w:numId w:val="1"/>
        </w:numPr>
        <w:ind w:left="284" w:hanging="284"/>
        <w:rPr>
          <w:szCs w:val="22"/>
        </w:rPr>
      </w:pPr>
      <w:r>
        <w:rPr>
          <w:szCs w:val="22"/>
        </w:rPr>
        <w:t>Stručný popis a odůvodnění požadavku</w:t>
      </w:r>
    </w:p>
    <w:p w14:paraId="6CC25C49" w14:textId="77777777" w:rsidR="006A6403" w:rsidRDefault="00BB7AA9">
      <w:pPr>
        <w:pStyle w:val="Nadpis2"/>
      </w:pPr>
      <w:r>
        <w:t>2.1 Popis požadavku</w:t>
      </w:r>
    </w:p>
    <w:p w14:paraId="775B54B4" w14:textId="77777777" w:rsidR="006A6403" w:rsidRDefault="00BB7AA9">
      <w:pPr>
        <w:spacing w:after="120"/>
      </w:pPr>
      <w:r>
        <w:t>Předmětem požadavku je implementace nové vrstvy erozní ohroženosti půd do LPIS, která má být uplatňována od 1.1.2024. S ohledem na to, že se má jednat o zásadní zpřísnění vyhodnocení míry erozní ohroženosti je nezbytné zemědělskou veřejnost informovat nejméně s ročním předstihem, aby bylo možné přizpůsobit osevní postup.</w:t>
      </w:r>
    </w:p>
    <w:p w14:paraId="05CD64B8" w14:textId="77777777" w:rsidR="006A6403" w:rsidRDefault="00BB7AA9">
      <w:pPr>
        <w:spacing w:after="120"/>
      </w:pPr>
      <w:r>
        <w:t>Kromě samotného omezení pěstování určitých plodin má erozní vrstva dopad na podmínky uplatnění budoucího DZES7b (omezení pěstování monokultur), kdy DPB s klasifikací SEO nesmí zahrnovat monokultury nad 10 ha. Tento dopad je zcela zásadní na řešení plánu osevu plodin a proto je žádoucí, aby vrstva ukázala v LPIS dopady ještě v letošním roce.</w:t>
      </w:r>
    </w:p>
    <w:p w14:paraId="339DACE7" w14:textId="77777777" w:rsidR="006A6403" w:rsidRDefault="00BB7AA9">
      <w:pPr>
        <w:spacing w:after="120"/>
      </w:pPr>
      <w:r>
        <w:t>Přípravu osevního plánu navíc podstatně komplikuje i zavedení omezení pěstování shodné plodiny (tzv. DZES7a - rotace plodin).</w:t>
      </w:r>
    </w:p>
    <w:p w14:paraId="42FEED63" w14:textId="77777777" w:rsidR="006A6403" w:rsidRDefault="00BB7AA9">
      <w:pPr>
        <w:spacing w:after="120"/>
      </w:pPr>
      <w:r>
        <w:lastRenderedPageBreak/>
        <w:t>Implementace bude realizována „vedle“ současné klasifikace eroze, aby nedocházel k záměně informací a vyhodnocení mezí erozní ohrožeností platnou do 31.12.2023 a tou nadcházející. Podobný zlom byl proveden již k 1.1.2019.</w:t>
      </w:r>
    </w:p>
    <w:p w14:paraId="48E5D624" w14:textId="77777777" w:rsidR="006A6403" w:rsidRDefault="00BB7AA9">
      <w:pPr>
        <w:spacing w:after="120"/>
      </w:pPr>
      <w:r>
        <w:t>Při realizaci bude rok účinnosti nové erozní ohroženosti vhodně odlišen (např. červeným písmem).</w:t>
      </w:r>
    </w:p>
    <w:p w14:paraId="3455017D" w14:textId="77777777" w:rsidR="006A6403" w:rsidRDefault="00BB7AA9">
      <w:pPr>
        <w:pStyle w:val="Nadpis2"/>
        <w:numPr>
          <w:ilvl w:val="1"/>
          <w:numId w:val="12"/>
        </w:numPr>
      </w:pPr>
      <w:r>
        <w:t>Odůvodnění požadované změny (změny právních předpisů, přínosy)</w:t>
      </w:r>
    </w:p>
    <w:p w14:paraId="3C26ED28" w14:textId="77777777" w:rsidR="006A6403" w:rsidRDefault="00BB7AA9">
      <w:r>
        <w:t>Změna reaguje na připravované podmínky nové SZP.</w:t>
      </w:r>
    </w:p>
    <w:p w14:paraId="3C64DBB7" w14:textId="77777777" w:rsidR="006A6403" w:rsidRDefault="00BB7AA9">
      <w:pPr>
        <w:pStyle w:val="Nadpis2"/>
        <w:numPr>
          <w:ilvl w:val="1"/>
          <w:numId w:val="12"/>
        </w:numPr>
      </w:pPr>
      <w:r>
        <w:t>Rizika nerealizace</w:t>
      </w:r>
    </w:p>
    <w:p w14:paraId="044DE090" w14:textId="77777777" w:rsidR="006A6403" w:rsidRDefault="00BB7AA9">
      <w:pPr>
        <w:autoSpaceDE w:val="0"/>
        <w:autoSpaceDN w:val="0"/>
        <w:adjustRightInd w:val="0"/>
        <w:rPr>
          <w:szCs w:val="22"/>
          <w:lang w:eastAsia="cs-CZ"/>
        </w:rPr>
      </w:pPr>
      <w:r>
        <w:rPr>
          <w:szCs w:val="22"/>
          <w:lang w:eastAsia="cs-CZ"/>
        </w:rPr>
        <w:t>V případě neprovedení nebude možné implementovat podmínky nového DZES5 (eroze) a DZES7b (</w:t>
      </w:r>
      <w:r>
        <w:t>omezení pěstování monokultur). Tento dopad je nepřijatelný.</w:t>
      </w:r>
    </w:p>
    <w:p w14:paraId="3AACA910" w14:textId="77777777" w:rsidR="006A6403" w:rsidRDefault="006A6403">
      <w:pPr>
        <w:autoSpaceDE w:val="0"/>
        <w:autoSpaceDN w:val="0"/>
        <w:adjustRightInd w:val="0"/>
        <w:rPr>
          <w:b/>
          <w:color w:val="FF0000"/>
        </w:rPr>
      </w:pPr>
    </w:p>
    <w:p w14:paraId="0CDE9FDC" w14:textId="77777777" w:rsidR="006A6403" w:rsidRDefault="00BB7AA9">
      <w:pPr>
        <w:pStyle w:val="Nadpis1"/>
        <w:numPr>
          <w:ilvl w:val="0"/>
          <w:numId w:val="1"/>
        </w:numPr>
        <w:ind w:left="0" w:hanging="1566"/>
      </w:pPr>
      <w:r>
        <w:t>3 Podrobný popis požadavku</w:t>
      </w:r>
    </w:p>
    <w:p w14:paraId="53A7749E" w14:textId="77777777" w:rsidR="006A6403" w:rsidRDefault="00BB7AA9">
      <w:r>
        <w:t>Implementace bude kopírovat dosavadní řešení erozní ohroženosti v LPIS, avšak s tím, že bude informačně oddělena, aby nedocházelo k záměně. Pracovně bude nazývána funkcionalita „Eroze 2024“.</w:t>
      </w:r>
    </w:p>
    <w:p w14:paraId="5A31A5FE" w14:textId="77777777" w:rsidR="006A6403" w:rsidRDefault="00BB7AA9">
      <w:r>
        <w:t>Realizace bude skládat z těchto kroků:</w:t>
      </w:r>
    </w:p>
    <w:p w14:paraId="3DB9DDE3" w14:textId="77777777" w:rsidR="006A6403" w:rsidRDefault="00BB7AA9">
      <w:pPr>
        <w:pStyle w:val="Odstavecseseznamem"/>
        <w:numPr>
          <w:ilvl w:val="0"/>
          <w:numId w:val="9"/>
        </w:numPr>
      </w:pPr>
      <w:r>
        <w:t>Fyzický nápočet Eroze 2024 na DPB/zemědělské parcely - tj. výpočet nebude uložen s účinností od 1.1.2024, ale bude mít aktuální platnost s tím, že na všech publikačních zdrojích bude důsledně označován jako Eroze 2024</w:t>
      </w:r>
    </w:p>
    <w:p w14:paraId="1E82146D" w14:textId="77777777" w:rsidR="006A6403" w:rsidRDefault="00BB7AA9">
      <w:pPr>
        <w:pStyle w:val="Odstavecseseznamem"/>
        <w:numPr>
          <w:ilvl w:val="0"/>
          <w:numId w:val="9"/>
        </w:numPr>
      </w:pPr>
      <w:r>
        <w:t xml:space="preserve">Vytvoření nové záložky Eroze 2024 na detailu DPB </w:t>
      </w:r>
    </w:p>
    <w:p w14:paraId="7F564D98" w14:textId="77777777" w:rsidR="006A6403" w:rsidRDefault="00BB7AA9">
      <w:pPr>
        <w:pStyle w:val="Odstavecseseznamem"/>
        <w:numPr>
          <w:ilvl w:val="0"/>
          <w:numId w:val="9"/>
        </w:numPr>
      </w:pPr>
      <w:r>
        <w:t>Vytvoření nového tisku 12c/d – Erozní ohroženost od 1.1.2024</w:t>
      </w:r>
    </w:p>
    <w:p w14:paraId="2CEBC2AC" w14:textId="77777777" w:rsidR="006A6403" w:rsidRDefault="00BB7AA9">
      <w:pPr>
        <w:pStyle w:val="Odstavecseseznamem"/>
        <w:numPr>
          <w:ilvl w:val="0"/>
          <w:numId w:val="9"/>
        </w:numPr>
      </w:pPr>
      <w:r>
        <w:t>Úprava mapového stromečku – Nový uzel Eroze 2024</w:t>
      </w:r>
    </w:p>
    <w:p w14:paraId="6B97FD19" w14:textId="77777777" w:rsidR="006A6403" w:rsidRDefault="00BB7AA9">
      <w:pPr>
        <w:pStyle w:val="Odstavecseseznamem"/>
        <w:numPr>
          <w:ilvl w:val="0"/>
          <w:numId w:val="9"/>
        </w:numPr>
      </w:pPr>
      <w:r>
        <w:t>Řešení Eroze 2024 na detail EEP/VEP a detail Zem. parcely a zajištění, že bude eroze spočtena podle nápočtu Eroze 2024</w:t>
      </w:r>
    </w:p>
    <w:p w14:paraId="40D5A643" w14:textId="77777777" w:rsidR="006A6403" w:rsidRDefault="00BB7AA9">
      <w:pPr>
        <w:rPr>
          <w:b/>
          <w:bCs/>
        </w:rPr>
      </w:pPr>
      <w:r>
        <w:rPr>
          <w:b/>
          <w:bCs/>
        </w:rPr>
        <w:t>Údaje o erozi 2024 nebudou publikovány webovými službami ani nebudou promítány do kontrolního modulu SZIF, ani nebudou vstupovat do žádných dalších nápočtů.</w:t>
      </w:r>
    </w:p>
    <w:p w14:paraId="5F582DAE" w14:textId="77777777" w:rsidR="006A6403" w:rsidRDefault="00BB7AA9">
      <w:pPr>
        <w:pStyle w:val="Nadpis2"/>
      </w:pPr>
      <w:r>
        <w:t>3.1 Fyzický nápočet Eroze 2024</w:t>
      </w:r>
    </w:p>
    <w:p w14:paraId="54DD6824" w14:textId="77777777" w:rsidR="006A6403" w:rsidRDefault="00BB7AA9">
      <w:r>
        <w:t xml:space="preserve">Bude zajištěno, že na entity DPB/Zem. parcely bude napočítávána pravidelně ve shodných úlohách kromě stávající erozní ohroženosti i Eroze 2024, a to na základě jednorázově předané vrstvy. </w:t>
      </w:r>
    </w:p>
    <w:p w14:paraId="4CF1178D" w14:textId="77777777" w:rsidR="006A6403" w:rsidRDefault="00BB7AA9">
      <w:pPr>
        <w:pStyle w:val="Nadpis2"/>
        <w:numPr>
          <w:ilvl w:val="1"/>
          <w:numId w:val="13"/>
        </w:numPr>
      </w:pPr>
      <w:r>
        <w:t>Vytvoření nové záložky Eroze 2024 na detailu DPB</w:t>
      </w:r>
    </w:p>
    <w:p w14:paraId="58215A55" w14:textId="77777777" w:rsidR="006A6403" w:rsidRDefault="00BB7AA9">
      <w:r>
        <w:t>Na detailu DPB vznikne nová záložka Eroze 2024 principiálně shodná jako stávající Nová eroze s těmito rozdíly:</w:t>
      </w:r>
    </w:p>
    <w:p w14:paraId="12934E1E" w14:textId="77777777" w:rsidR="006A6403" w:rsidRDefault="00BB7AA9">
      <w:pPr>
        <w:pStyle w:val="Odstavecseseznamem"/>
        <w:numPr>
          <w:ilvl w:val="0"/>
          <w:numId w:val="7"/>
        </w:numPr>
      </w:pPr>
      <w:r>
        <w:t>Nebude obsahovat panel Zjištění monitoringu</w:t>
      </w:r>
    </w:p>
    <w:p w14:paraId="38288334" w14:textId="77777777" w:rsidR="006A6403" w:rsidRDefault="00BB7AA9">
      <w:pPr>
        <w:pStyle w:val="Odstavecseseznamem"/>
        <w:numPr>
          <w:ilvl w:val="0"/>
          <w:numId w:val="7"/>
        </w:numPr>
      </w:pPr>
      <w:r>
        <w:t>Nebude obsahovat panel Další omezení z titulu erozní ohroženosti</w:t>
      </w:r>
    </w:p>
    <w:p w14:paraId="053E4579" w14:textId="77777777" w:rsidR="006A6403" w:rsidRDefault="00BB7AA9">
      <w:pPr>
        <w:pStyle w:val="Nadpis2"/>
        <w:numPr>
          <w:ilvl w:val="1"/>
          <w:numId w:val="13"/>
        </w:numPr>
      </w:pPr>
      <w:r>
        <w:t>Vytvoření nového tisku 12c – Návrh erozní ohroženosti od 1.1.2024 pro DPB a 12d Návrh erozní ohroženosti od 1.1.2024 pro zemědělské parcely</w:t>
      </w:r>
    </w:p>
    <w:p w14:paraId="40FBF5CB" w14:textId="77777777" w:rsidR="006A6403" w:rsidRDefault="00BB7AA9">
      <w:r>
        <w:t>Tisk bude totožný jako stávající tisky č. 12a a 12b s těmito rozdíly:</w:t>
      </w:r>
    </w:p>
    <w:p w14:paraId="1D11477D" w14:textId="77777777" w:rsidR="006A6403" w:rsidRDefault="00BB7AA9">
      <w:pPr>
        <w:pStyle w:val="Odstavecseseznamem"/>
        <w:numPr>
          <w:ilvl w:val="0"/>
          <w:numId w:val="8"/>
        </w:numPr>
        <w:jc w:val="both"/>
      </w:pPr>
      <w:r>
        <w:t xml:space="preserve">Nadpis sloupců bude znít Návrh erozní ohroženosti pro osevy od 1.1.2024 </w:t>
      </w:r>
    </w:p>
    <w:p w14:paraId="3AF0389D" w14:textId="77777777" w:rsidR="006A6403" w:rsidRDefault="00BB7AA9">
      <w:pPr>
        <w:pStyle w:val="Odstavecseseznamem"/>
        <w:numPr>
          <w:ilvl w:val="0"/>
          <w:numId w:val="8"/>
        </w:numPr>
        <w:jc w:val="both"/>
      </w:pPr>
      <w:r>
        <w:t>Nebude obsahovat poslední sloupec Změna – místo něj bude sloupec Erozní ohrožení („SEO“, „MEO“, „NEO“do 31.12.2023), což umožní zjistit možné dopady zpřísněné vrstvy eroze.</w:t>
      </w:r>
    </w:p>
    <w:p w14:paraId="2CB8AD56" w14:textId="77777777" w:rsidR="006A6403" w:rsidRDefault="00BB7AA9">
      <w:r>
        <w:t>Ukázka záhlaví tabulky pro tisk 12d Návrh erozní ohroženosti od 1.1.2024 pro zemědělské parcely</w:t>
      </w:r>
      <w:r>
        <w:rPr>
          <w:noProof/>
        </w:rPr>
        <w:drawing>
          <wp:inline distT="0" distB="0" distL="0" distR="0" wp14:anchorId="3612DA02" wp14:editId="0C424204">
            <wp:extent cx="6029960" cy="699770"/>
            <wp:effectExtent l="0" t="0" r="8890" b="5080"/>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699770"/>
                    </a:xfrm>
                    <a:prstGeom prst="rect">
                      <a:avLst/>
                    </a:prstGeom>
                  </pic:spPr>
                </pic:pic>
              </a:graphicData>
            </a:graphic>
          </wp:inline>
        </w:drawing>
      </w:r>
    </w:p>
    <w:p w14:paraId="43DE8EF7" w14:textId="77777777" w:rsidR="006A6403" w:rsidRDefault="006A6403"/>
    <w:p w14:paraId="4C1F6196" w14:textId="77777777" w:rsidR="006A6403" w:rsidRDefault="00BB7AA9">
      <w:r>
        <w:t xml:space="preserve">Pozn. Tisky 12a a 12b budou přejmenovány a upraveny na </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7"/>
      </w:tblGrid>
      <w:tr w:rsidR="006A6403" w14:paraId="04C3CEC0" w14:textId="77777777">
        <w:trPr>
          <w:trHeight w:val="255"/>
          <w:jc w:val="center"/>
        </w:trPr>
        <w:tc>
          <w:tcPr>
            <w:tcW w:w="3017" w:type="dxa"/>
            <w:shd w:val="clear" w:color="auto" w:fill="auto"/>
            <w:noWrap/>
          </w:tcPr>
          <w:p w14:paraId="6AEF98BF" w14:textId="77777777" w:rsidR="006A6403" w:rsidRDefault="00BB7AA9">
            <w:pPr>
              <w:rPr>
                <w:sz w:val="18"/>
                <w:szCs w:val="18"/>
              </w:rPr>
            </w:pPr>
            <w:r>
              <w:rPr>
                <w:sz w:val="18"/>
                <w:szCs w:val="18"/>
              </w:rPr>
              <w:t>Erozní ohroženost DPB od 1.1.2019 do 31.12.2023</w:t>
            </w:r>
          </w:p>
        </w:tc>
      </w:tr>
      <w:tr w:rsidR="006A6403" w14:paraId="21FA5E35" w14:textId="77777777">
        <w:trPr>
          <w:trHeight w:val="255"/>
          <w:jc w:val="center"/>
        </w:trPr>
        <w:tc>
          <w:tcPr>
            <w:tcW w:w="3017" w:type="dxa"/>
            <w:tcBorders>
              <w:top w:val="single" w:sz="4" w:space="0" w:color="auto"/>
              <w:left w:val="single" w:sz="4" w:space="0" w:color="auto"/>
              <w:bottom w:val="single" w:sz="4" w:space="0" w:color="auto"/>
              <w:right w:val="single" w:sz="4" w:space="0" w:color="auto"/>
            </w:tcBorders>
            <w:shd w:val="clear" w:color="auto" w:fill="auto"/>
            <w:noWrap/>
          </w:tcPr>
          <w:p w14:paraId="66DF5CDC" w14:textId="77777777" w:rsidR="006A6403" w:rsidRDefault="00BB7AA9">
            <w:pPr>
              <w:rPr>
                <w:sz w:val="18"/>
                <w:szCs w:val="18"/>
              </w:rPr>
            </w:pPr>
            <w:r>
              <w:rPr>
                <w:rStyle w:val="objectbox"/>
                <w:sz w:val="18"/>
                <w:szCs w:val="18"/>
              </w:rPr>
              <w:t>Erozní ohroženost zem. parcel od 1.1.2019 do 31.12.2023</w:t>
            </w:r>
          </w:p>
        </w:tc>
      </w:tr>
    </w:tbl>
    <w:p w14:paraId="1CFCDB84" w14:textId="77777777" w:rsidR="006A6403" w:rsidRDefault="00BB7AA9">
      <w:r>
        <w:t>Přiměřeně tomu budou upraveny i záhlaví těchto tisků.</w:t>
      </w:r>
    </w:p>
    <w:p w14:paraId="2B7E1CA3" w14:textId="77777777" w:rsidR="006A6403" w:rsidRDefault="00BB7AA9">
      <w:pPr>
        <w:pStyle w:val="Nadpis2"/>
        <w:numPr>
          <w:ilvl w:val="1"/>
          <w:numId w:val="13"/>
        </w:numPr>
      </w:pPr>
      <w:r>
        <w:lastRenderedPageBreak/>
        <w:t>Úprava mapového stromečku – Nový uzel Eroze 2024</w:t>
      </w:r>
    </w:p>
    <w:p w14:paraId="201D7035" w14:textId="77777777" w:rsidR="006A6403" w:rsidRDefault="00BB7AA9">
      <w:r>
        <w:t xml:space="preserve">Do mapového stromečku bude doplněn do části Životní prostředí/Eroze uzel Eroze od 1.1.2024, který bude mít totožnou strukturu jako stávající uzel Eroze od 1.1.2019 (viz obrázek) s tím, že bude logicky pracovat s daty Eroze 2024. </w:t>
      </w:r>
    </w:p>
    <w:p w14:paraId="246676AD" w14:textId="77777777" w:rsidR="006A6403" w:rsidRDefault="00BB7AA9">
      <w:r>
        <w:rPr>
          <w:noProof/>
        </w:rPr>
        <w:drawing>
          <wp:inline distT="0" distB="0" distL="0" distR="0" wp14:anchorId="64EB4B46" wp14:editId="31B3A2A2">
            <wp:extent cx="2305050" cy="2438400"/>
            <wp:effectExtent l="0" t="0" r="0" b="0"/>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305050" cy="2438400"/>
                    </a:xfrm>
                    <a:prstGeom prst="rect">
                      <a:avLst/>
                    </a:prstGeom>
                  </pic:spPr>
                </pic:pic>
              </a:graphicData>
            </a:graphic>
          </wp:inline>
        </w:drawing>
      </w:r>
    </w:p>
    <w:p w14:paraId="09E38106" w14:textId="77777777" w:rsidR="006A6403" w:rsidRDefault="006A6403"/>
    <w:p w14:paraId="77D9832A" w14:textId="77777777" w:rsidR="006A6403" w:rsidRDefault="00BB7AA9">
      <w:pPr>
        <w:pStyle w:val="Nadpis2"/>
        <w:numPr>
          <w:ilvl w:val="1"/>
          <w:numId w:val="13"/>
        </w:numPr>
      </w:pPr>
      <w:r>
        <w:t xml:space="preserve">Exporty </w:t>
      </w:r>
    </w:p>
    <w:p w14:paraId="6E89E71A" w14:textId="77777777" w:rsidR="006A6403" w:rsidRDefault="00BB7AA9">
      <w:r>
        <w:t xml:space="preserve">Do Exportu DPB pro veřejnost (LPIS, iLPIS a exportu DPB pro veřejnost na Eagri ve formátu .shp) bude v dialogu pro výběr atributů přidán nový atribut „Návrh eroze od 1.1.2024“. Stávající (výběrový) atribut Nová eroze bude přejmenován na Eroze do 31.12.2023. </w:t>
      </w:r>
    </w:p>
    <w:p w14:paraId="3B73D299" w14:textId="77777777" w:rsidR="006A6403" w:rsidRDefault="00BB7AA9">
      <w:r>
        <w:t>V DBF exportu bude pouze doplněn nový atribut pojmenován EROZE2024.</w:t>
      </w:r>
    </w:p>
    <w:p w14:paraId="6562FEB0" w14:textId="77777777" w:rsidR="006A6403" w:rsidRDefault="00BB7AA9">
      <w:r>
        <w:rPr>
          <w:noProof/>
        </w:rPr>
        <mc:AlternateContent>
          <mc:Choice Requires="wps">
            <w:drawing>
              <wp:anchor distT="0" distB="0" distL="114300" distR="114300" simplePos="0" relativeHeight="251658240" behindDoc="0" locked="0" layoutInCell="1" allowOverlap="1" wp14:anchorId="5372F166" wp14:editId="7BA3BA01">
                <wp:simplePos x="0" y="0"/>
                <wp:positionH relativeFrom="column">
                  <wp:posOffset>-57658</wp:posOffset>
                </wp:positionH>
                <wp:positionV relativeFrom="paragraph">
                  <wp:posOffset>438277</wp:posOffset>
                </wp:positionV>
                <wp:extent cx="544152" cy="112196"/>
                <wp:effectExtent l="0" t="0" r="27940" b="21590"/>
                <wp:wrapNone/>
                <wp:docPr id="6" name="Ovál 5"/>
                <wp:cNvGraphicFramePr/>
                <a:graphic xmlns:a="http://schemas.openxmlformats.org/drawingml/2006/main">
                  <a:graphicData uri="http://schemas.microsoft.com/office/word/2010/wordprocessingShape">
                    <wps:wsp>
                      <wps:cNvSpPr/>
                      <wps:spPr>
                        <a:xfrm>
                          <a:off x="0" y="0"/>
                          <a:ext cx="544152" cy="112196"/>
                        </a:xfrm>
                        <a:prstGeom prst="ellipse">
                          <a:avLst/>
                        </a:prstGeom>
                        <a:noFill/>
                        <a:ln w="12700" cap="flat" cmpd="sng">
                          <a:solidFill>
                            <a:srgbClr val="FF0000">
                              <a:alpha val="100000"/>
                            </a:srgbClr>
                          </a:solidFill>
                          <a:prstDash val="solid"/>
                        </a:ln>
                      </wps:spPr>
                      <wps:style>
                        <a:lnRef idx="2">
                          <a:srgbClr val="41719C">
                            <a:alpha val="100000"/>
                          </a:srgbClr>
                        </a:lnRef>
                        <a:fillRef idx="1">
                          <a:srgbClr val="5B9BD5">
                            <a:alpha val="100000"/>
                          </a:srgbClr>
                        </a:fillRef>
                        <a:effectRef idx="0">
                          <a:srgbClr val="5B9BD5">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style="position:absolute;margin-left:-4.54pt;margin-top:34.51pt;width:42.84661pt;height:8.834331pt;z-index:6144;;v-text-anchor:middle;mso-wrap-distance-left:9pt;mso-wrap-distance-top:0pt;mso-wrap-distance-right:9pt;mso-wrap-distance-bottom:0pt;" filled="f" strokecolor="#FF0000" strokeweight="1pt">
                <v:stroke dashstyle="solid" linestyle="single" joinstyle="miter" endcap="flat" color2="#FF0000"/>
              </v:oval>
            </w:pict>
          </mc:Fallback>
        </mc:AlternateContent>
      </w:r>
      <w:r>
        <w:rPr>
          <w:noProof/>
        </w:rPr>
        <w:drawing>
          <wp:inline distT="0" distB="0" distL="0" distR="0" wp14:anchorId="5323C467" wp14:editId="1E328FFE">
            <wp:extent cx="6029960" cy="1161415"/>
            <wp:effectExtent l="0" t="0" r="8890" b="635"/>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6029960" cy="1161415"/>
                    </a:xfrm>
                    <a:prstGeom prst="rect">
                      <a:avLst/>
                    </a:prstGeom>
                  </pic:spPr>
                </pic:pic>
              </a:graphicData>
            </a:graphic>
          </wp:inline>
        </w:drawing>
      </w:r>
    </w:p>
    <w:p w14:paraId="21D18E3D" w14:textId="77777777" w:rsidR="006A6403" w:rsidRDefault="006A6403"/>
    <w:p w14:paraId="7F4A8E00" w14:textId="77777777" w:rsidR="006A6403" w:rsidRDefault="00BB7AA9">
      <w:r>
        <w:rPr>
          <w:noProof/>
        </w:rPr>
        <w:drawing>
          <wp:inline distT="0" distB="0" distL="0" distR="0" wp14:anchorId="14CABE52" wp14:editId="40F4085C">
            <wp:extent cx="6029960" cy="2078355"/>
            <wp:effectExtent l="0" t="0" r="8890" b="0"/>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6029960" cy="2078355"/>
                    </a:xfrm>
                    <a:prstGeom prst="rect">
                      <a:avLst/>
                    </a:prstGeom>
                  </pic:spPr>
                </pic:pic>
              </a:graphicData>
            </a:graphic>
          </wp:inline>
        </w:drawing>
      </w:r>
    </w:p>
    <w:p w14:paraId="6A36A004" w14:textId="77777777" w:rsidR="006A6403" w:rsidRDefault="006A6403"/>
    <w:p w14:paraId="4CA5A9C5" w14:textId="77777777" w:rsidR="006A6403" w:rsidRDefault="00BB7AA9">
      <w:pPr>
        <w:rPr>
          <w:rFonts w:ascii="Calibri" w:hAnsi="Calibri"/>
          <w:szCs w:val="22"/>
        </w:rPr>
      </w:pPr>
      <w:r>
        <w:t xml:space="preserve">Pozn.: Není požadováno přejmenování současného atributu EROZOHRO (erozní ohroženost NEO/MEO/SEO aktuální), protože pak by se tak správně mělo stát ve všech exportech, což je nežádoucí i s ohledem na možné dopady na klientské straně. Vzhledem k tomu, že současný atribut EROZOHRO není nijak zavádějící, je možné jej ponechat a případně jen zpřesnit popis v příručkách k exportům. Nový atribut se může jmenovat například EO2024 nebo EROZOHRO24 (název musí být do 10 znaků). </w:t>
      </w:r>
    </w:p>
    <w:p w14:paraId="0A6ECF20" w14:textId="77777777" w:rsidR="006A6403" w:rsidRDefault="00BB7AA9">
      <w:pPr>
        <w:pStyle w:val="Nadpis2"/>
        <w:numPr>
          <w:ilvl w:val="1"/>
          <w:numId w:val="13"/>
        </w:numPr>
      </w:pPr>
      <w:r>
        <w:lastRenderedPageBreak/>
        <w:t xml:space="preserve">Řešení Eroze 2024 na detailu EEP/VEP a detail Zem. parcely </w:t>
      </w:r>
    </w:p>
    <w:p w14:paraId="580CA8F5" w14:textId="77777777" w:rsidR="006A6403" w:rsidRDefault="00BB7AA9">
      <w:pPr>
        <w:pStyle w:val="Nadpis3"/>
      </w:pPr>
      <w:r>
        <w:t>3.6.1 Řešení na detailu EEP/VEP</w:t>
      </w:r>
    </w:p>
    <w:p w14:paraId="78BAB0E4" w14:textId="77777777" w:rsidR="006A6403" w:rsidRDefault="00BB7AA9">
      <w:r>
        <w:t>Na detailu EEP/VEP bude doplněna nová záložka Eroze 2024, která stejně jako u DBP nebude obsahovat informační panely Zjištění monitoringu a Další omezení z titulu erozní ohroženosti.</w:t>
      </w:r>
    </w:p>
    <w:p w14:paraId="2D211EA1" w14:textId="77777777" w:rsidR="006A6403" w:rsidRDefault="00BB7AA9">
      <w:r>
        <w:t xml:space="preserve">Současně bude doplněno tlačítko Uložit a zkontrolovat Erozi 2024, které otevře detail Kontrola protierozních opatření DZES5 </w:t>
      </w:r>
      <w:r>
        <w:rPr>
          <w:color w:val="FF0000"/>
        </w:rPr>
        <w:t xml:space="preserve">od 1.1.2024. </w:t>
      </w:r>
      <w:r>
        <w:t>Tento detail bude obsahovat pouze vyhodnocení eroze (nikoliv podmínek dělení pozemků kvůli 10/30 ha omezení) a bude pracovat s napočtenými daty Eroze 2024.</w:t>
      </w:r>
    </w:p>
    <w:p w14:paraId="6AA0CD71" w14:textId="77777777" w:rsidR="006A6403" w:rsidRDefault="00BB7AA9">
      <w:pPr>
        <w:pStyle w:val="Nadpis3"/>
        <w:numPr>
          <w:ilvl w:val="2"/>
          <w:numId w:val="14"/>
        </w:numPr>
      </w:pPr>
      <w:r>
        <w:t>Řešení na detailu Zemědělské parcely</w:t>
      </w:r>
    </w:p>
    <w:p w14:paraId="35F668C7" w14:textId="77777777" w:rsidR="006A6403" w:rsidRDefault="00BB7AA9">
      <w:r>
        <w:t>Na detailu Zemědělské parcely bude doplněno tlačítko Eroze 2024, které otevře panel s daty napočtené erozní ohroženosti 2024 a stejně jako u DBP nebude obsahovat informační panely Zjištění monitoringu a Další omezení z titulu erozní ohroženosti.</w:t>
      </w:r>
    </w:p>
    <w:p w14:paraId="491E7661" w14:textId="77777777" w:rsidR="006A6403" w:rsidRDefault="00BB7AA9">
      <w:r>
        <w:t xml:space="preserve">Bude doplněno tlačítko Zkontrolovat Erozi 2024, které otevře detail Kontrola protierozních opatření DZES5 </w:t>
      </w:r>
      <w:r>
        <w:rPr>
          <w:color w:val="FF0000"/>
        </w:rPr>
        <w:t xml:space="preserve">od 1.1.2024. </w:t>
      </w:r>
      <w:r>
        <w:t>Tento detail bude obsahovat pouze vyhodnocení eroze (nikoliv podmínek dělení pozemků kvůli 10/30 ha omezení) a bude pracovat s napočtenými daty Eroze 2024.</w:t>
      </w:r>
    </w:p>
    <w:p w14:paraId="30B04A25" w14:textId="77777777" w:rsidR="006A6403" w:rsidRDefault="006A6403"/>
    <w:p w14:paraId="76193E49" w14:textId="77777777" w:rsidR="006A6403" w:rsidRDefault="00BB7AA9">
      <w:pPr>
        <w:pStyle w:val="Nadpis1"/>
        <w:numPr>
          <w:ilvl w:val="0"/>
          <w:numId w:val="1"/>
        </w:numPr>
        <w:ind w:left="284" w:hanging="284"/>
        <w:rPr>
          <w:szCs w:val="22"/>
        </w:rPr>
      </w:pPr>
      <w:r>
        <w:rPr>
          <w:szCs w:val="22"/>
        </w:rPr>
        <w:t>Dopady na IS MZe</w:t>
      </w:r>
    </w:p>
    <w:p w14:paraId="41777659" w14:textId="77777777" w:rsidR="006A6403" w:rsidRDefault="00BB7AA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F0409AD" w14:textId="77777777" w:rsidR="006A6403" w:rsidRDefault="00BB7AA9">
      <w:pPr>
        <w:pStyle w:val="Nadpis2"/>
      </w:pPr>
      <w:r>
        <w:t>4.1 Na provoz a infrastrukturu</w:t>
      </w:r>
    </w:p>
    <w:p w14:paraId="78F4076A" w14:textId="77777777" w:rsidR="006A6403" w:rsidRDefault="00BB7AA9">
      <w:r>
        <w:t>Nejsou známy</w:t>
      </w:r>
    </w:p>
    <w:p w14:paraId="44CD57FB" w14:textId="77777777" w:rsidR="006A6403" w:rsidRDefault="00BB7AA9">
      <w:pPr>
        <w:pStyle w:val="Nadpis2"/>
        <w:numPr>
          <w:ilvl w:val="1"/>
          <w:numId w:val="15"/>
        </w:numPr>
      </w:pPr>
      <w:r>
        <w:t>Na bezpečnost</w:t>
      </w:r>
    </w:p>
    <w:p w14:paraId="14B5165F" w14:textId="77777777" w:rsidR="006A6403" w:rsidRDefault="00BB7AA9">
      <w:r>
        <w:t>Nejsou známy</w:t>
      </w:r>
    </w:p>
    <w:p w14:paraId="0227FA5B" w14:textId="77777777" w:rsidR="006A6403" w:rsidRDefault="00BB7AA9">
      <w:pPr>
        <w:pStyle w:val="Nadpis2"/>
        <w:numPr>
          <w:ilvl w:val="1"/>
          <w:numId w:val="15"/>
        </w:numPr>
      </w:pPr>
      <w:r>
        <w:t>Na součinnost s dalšími systémy</w:t>
      </w:r>
    </w:p>
    <w:p w14:paraId="52BC1F3E" w14:textId="77777777" w:rsidR="006A6403" w:rsidRDefault="00BB7AA9">
      <w:r>
        <w:t>Nejsou známy</w:t>
      </w:r>
    </w:p>
    <w:p w14:paraId="1607717C" w14:textId="77777777" w:rsidR="006A6403" w:rsidRDefault="00BB7AA9">
      <w:pPr>
        <w:pStyle w:val="Nadpis2"/>
        <w:numPr>
          <w:ilvl w:val="1"/>
          <w:numId w:val="15"/>
        </w:numPr>
      </w:pPr>
      <w:r>
        <w:t>Požadavky na součinnost AgriBus a EPO</w:t>
      </w:r>
    </w:p>
    <w:p w14:paraId="36995200" w14:textId="77777777" w:rsidR="006A6403" w:rsidRDefault="00BB7AA9">
      <w:r>
        <w:t>Bez dopadů.</w:t>
      </w:r>
    </w:p>
    <w:p w14:paraId="32EBAD6E" w14:textId="77777777" w:rsidR="006A6403" w:rsidRDefault="00BB7AA9">
      <w:pPr>
        <w:rPr>
          <w:sz w:val="16"/>
          <w:szCs w:val="16"/>
        </w:rPr>
      </w:pPr>
      <w:r>
        <w:rPr>
          <w:sz w:val="16"/>
          <w:szCs w:val="16"/>
        </w:rPr>
        <w:t>(Pokud existují požadavky na součinnost Agribus, uveďte specifikaci služby ve formě strukturovaného požadavku (request) a odpovědi (response) s vyznačenou změnou.)</w:t>
      </w:r>
    </w:p>
    <w:p w14:paraId="1669303A" w14:textId="77777777" w:rsidR="006A6403" w:rsidRDefault="00BB7AA9">
      <w:pPr>
        <w:pStyle w:val="Nadpis2"/>
        <w:numPr>
          <w:ilvl w:val="1"/>
          <w:numId w:val="15"/>
        </w:numPr>
      </w:pPr>
      <w:r>
        <w:t>Požadavek na podporu provozu naimplementované změny</w:t>
      </w:r>
    </w:p>
    <w:p w14:paraId="5C6BDDB0" w14:textId="77777777" w:rsidR="006A6403" w:rsidRDefault="00BB7AA9">
      <w:pPr>
        <w:rPr>
          <w:b/>
          <w:sz w:val="16"/>
          <w:szCs w:val="16"/>
        </w:rPr>
      </w:pPr>
      <w:r>
        <w:rPr>
          <w:sz w:val="16"/>
          <w:szCs w:val="16"/>
        </w:rPr>
        <w:t>(Uveďte, zda zařadit změnu do stávající provozní smlouvy, konkrétní požadavky na požadované služby, SLA.)</w:t>
      </w:r>
    </w:p>
    <w:p w14:paraId="312480C1" w14:textId="77777777" w:rsidR="006A6403" w:rsidRDefault="00BB7AA9">
      <w:pPr>
        <w:pStyle w:val="Nadpis2"/>
        <w:numPr>
          <w:ilvl w:val="1"/>
          <w:numId w:val="15"/>
        </w:numPr>
      </w:pPr>
      <w:r>
        <w:t>Požadavek na úpravu dohledového nástroje</w:t>
      </w:r>
    </w:p>
    <w:p w14:paraId="606C4174" w14:textId="77777777" w:rsidR="006A6403" w:rsidRDefault="00BB7AA9">
      <w:pPr>
        <w:rPr>
          <w:b/>
          <w:sz w:val="16"/>
          <w:szCs w:val="16"/>
        </w:rPr>
      </w:pPr>
      <w:r>
        <w:rPr>
          <w:sz w:val="16"/>
          <w:szCs w:val="16"/>
        </w:rPr>
        <w:t>(Uveďte, zda a jakým způsobem je požadována úprava dohledových nástrojů.)</w:t>
      </w:r>
    </w:p>
    <w:p w14:paraId="3417FB13" w14:textId="77777777" w:rsidR="006A6403" w:rsidRDefault="006A6403"/>
    <w:p w14:paraId="1707CC04" w14:textId="77777777" w:rsidR="006A6403" w:rsidRDefault="00BB7AA9">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6A6403" w14:paraId="22C16EC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12A6D34" w14:textId="77777777" w:rsidR="006A6403" w:rsidRDefault="00BB7AA9">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3AC1CC2" w14:textId="77777777" w:rsidR="006A6403" w:rsidRDefault="00BB7AA9">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CD83983" w14:textId="77777777" w:rsidR="006A6403" w:rsidRDefault="00BB7AA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E2313F4" w14:textId="77777777" w:rsidR="006A6403" w:rsidRDefault="00BB7AA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6A6403" w14:paraId="78196DA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1C39AF0" w14:textId="77777777" w:rsidR="006A6403" w:rsidRDefault="006A6403">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81BD070" w14:textId="77777777" w:rsidR="006A6403" w:rsidRDefault="006A6403">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E183E37" w14:textId="77777777" w:rsidR="006A6403" w:rsidRDefault="00BB7AA9">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317A29D" w14:textId="77777777" w:rsidR="006A6403" w:rsidRDefault="00BB7AA9">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CC64AB0" w14:textId="77777777" w:rsidR="006A6403" w:rsidRDefault="00BB7AA9">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E2BF9C1" w14:textId="77777777" w:rsidR="006A6403" w:rsidRDefault="006A6403">
            <w:pPr>
              <w:rPr>
                <w:bCs/>
                <w:color w:val="000000"/>
                <w:szCs w:val="22"/>
                <w:lang w:eastAsia="cs-CZ"/>
              </w:rPr>
            </w:pPr>
          </w:p>
        </w:tc>
      </w:tr>
      <w:tr w:rsidR="006A6403" w14:paraId="4892248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917CC3"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26C0282" w14:textId="77777777" w:rsidR="006A6403" w:rsidRDefault="00BB7AA9">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4A8FB83" w14:textId="77777777" w:rsidR="006A6403" w:rsidRDefault="00BB7AA9">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1C5A99C" w14:textId="77777777" w:rsidR="006A6403" w:rsidRDefault="00BB7AA9">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708710F" w14:textId="77777777" w:rsidR="006A6403" w:rsidRDefault="00BB7AA9">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9E60672" w14:textId="77777777" w:rsidR="006A6403" w:rsidRDefault="006A6403">
            <w:pPr>
              <w:rPr>
                <w:color w:val="000000"/>
                <w:szCs w:val="22"/>
                <w:lang w:eastAsia="cs-CZ"/>
              </w:rPr>
            </w:pPr>
          </w:p>
        </w:tc>
      </w:tr>
      <w:tr w:rsidR="006A6403" w14:paraId="5F64284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8FEBBE"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53A14E" w14:textId="77777777" w:rsidR="006A6403" w:rsidRDefault="00BB7AA9">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05FF98A" w14:textId="77777777" w:rsidR="006A6403" w:rsidRDefault="00BB7AA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CF4F28F" w14:textId="77777777" w:rsidR="006A6403" w:rsidRDefault="00BB7AA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C0A201B" w14:textId="77777777" w:rsidR="006A6403" w:rsidRDefault="00BB7AA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7E8294" w14:textId="77777777" w:rsidR="006A6403" w:rsidRDefault="006A6403">
            <w:pPr>
              <w:rPr>
                <w:color w:val="000000"/>
                <w:szCs w:val="22"/>
                <w:lang w:eastAsia="cs-CZ"/>
              </w:rPr>
            </w:pPr>
          </w:p>
        </w:tc>
      </w:tr>
      <w:tr w:rsidR="006A6403" w14:paraId="26A88C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6A14B2"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A8AF88" w14:textId="77777777" w:rsidR="006A6403" w:rsidRDefault="00BB7AA9">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262B719" w14:textId="77777777" w:rsidR="006A6403" w:rsidRDefault="00BB7AA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016E086" w14:textId="77777777" w:rsidR="006A6403" w:rsidRDefault="00BB7AA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B02F21" w14:textId="77777777" w:rsidR="006A6403" w:rsidRDefault="00BB7AA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A0CC32F" w14:textId="77777777" w:rsidR="006A6403" w:rsidRDefault="006A6403">
            <w:pPr>
              <w:rPr>
                <w:color w:val="000000"/>
                <w:szCs w:val="22"/>
                <w:lang w:eastAsia="cs-CZ"/>
              </w:rPr>
            </w:pPr>
          </w:p>
        </w:tc>
      </w:tr>
      <w:tr w:rsidR="006A6403" w14:paraId="288B2CC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1F63AD"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3F9AEB" w14:textId="77777777" w:rsidR="006A6403" w:rsidRDefault="00BB7AA9">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927169F" w14:textId="77777777" w:rsidR="006A6403" w:rsidRDefault="00BB7AA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9B7EF2" w14:textId="77777777" w:rsidR="006A6403" w:rsidRDefault="00BB7AA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61D1B1" w14:textId="77777777" w:rsidR="006A6403" w:rsidRDefault="00BB7AA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EB673F4" w14:textId="77777777" w:rsidR="006A6403" w:rsidRDefault="00BB7AA9">
            <w:pPr>
              <w:rPr>
                <w:color w:val="000000"/>
                <w:szCs w:val="22"/>
                <w:lang w:eastAsia="cs-CZ"/>
              </w:rPr>
            </w:pPr>
            <w:r>
              <w:rPr>
                <w:color w:val="000000"/>
                <w:szCs w:val="22"/>
                <w:lang w:eastAsia="cs-CZ"/>
              </w:rPr>
              <w:t>Věcný garant</w:t>
            </w:r>
          </w:p>
        </w:tc>
      </w:tr>
      <w:tr w:rsidR="006A6403" w14:paraId="2686521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40F580"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172657" w14:textId="77777777" w:rsidR="006A6403" w:rsidRDefault="00BB7AA9">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C268E61" w14:textId="77777777" w:rsidR="006A6403" w:rsidRDefault="00BB7AA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30F09D" w14:textId="77777777" w:rsidR="006A6403" w:rsidRDefault="00BB7AA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8B748E" w14:textId="77777777" w:rsidR="006A6403" w:rsidRDefault="00BB7AA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0323EF" w14:textId="77777777" w:rsidR="006A6403" w:rsidRDefault="00BB7AA9">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6A6403" w14:paraId="0D5D26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07A355"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11B417" w14:textId="77777777" w:rsidR="006A6403" w:rsidRDefault="00BB7AA9">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C36C9BE" w14:textId="77777777" w:rsidR="006A6403" w:rsidRDefault="00BB7AA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CE673BC" w14:textId="77777777" w:rsidR="006A6403" w:rsidRDefault="00BB7AA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FF2DAD8" w14:textId="77777777" w:rsidR="006A6403" w:rsidRDefault="00BB7AA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C291B8" w14:textId="77777777" w:rsidR="006A6403" w:rsidRDefault="006A6403">
            <w:pPr>
              <w:rPr>
                <w:rStyle w:val="Odkaznakoment10"/>
                <w:rFonts w:eastAsia="Calibri"/>
              </w:rPr>
            </w:pPr>
          </w:p>
        </w:tc>
      </w:tr>
      <w:tr w:rsidR="006A6403" w14:paraId="64691E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97CA43"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73BB0" w14:textId="77777777" w:rsidR="006A6403" w:rsidRDefault="00BB7AA9">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4F9B67D" w14:textId="77777777" w:rsidR="006A6403" w:rsidRDefault="00BB7AA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ADAB44C" w14:textId="77777777" w:rsidR="006A6403" w:rsidRDefault="00BB7AA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343AE1D" w14:textId="77777777" w:rsidR="006A6403" w:rsidRDefault="00BB7AA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7B5498" w14:textId="77777777" w:rsidR="006A6403" w:rsidRDefault="006A6403">
            <w:pPr>
              <w:rPr>
                <w:rStyle w:val="Odkaznakoment10"/>
                <w:rFonts w:eastAsia="Calibri"/>
              </w:rPr>
            </w:pPr>
          </w:p>
        </w:tc>
      </w:tr>
      <w:tr w:rsidR="006A6403" w14:paraId="0B4B6E2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CB2D1D" w14:textId="77777777" w:rsidR="006A6403" w:rsidRDefault="006A6403">
            <w:pPr>
              <w:pStyle w:val="Odstavecseseznamem"/>
              <w:numPr>
                <w:ilvl w:val="0"/>
                <w:numId w:val="4"/>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8E8FF2" w14:textId="77777777" w:rsidR="006A6403" w:rsidRDefault="00BB7AA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8350BA9" w14:textId="77777777" w:rsidR="006A6403" w:rsidRDefault="00BB7AA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60D1694" w14:textId="77777777" w:rsidR="006A6403" w:rsidRDefault="00BB7AA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2810D7" w14:textId="77777777" w:rsidR="006A6403" w:rsidRDefault="00BB7AA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1B0995" w14:textId="77777777" w:rsidR="006A6403" w:rsidRDefault="006A6403">
            <w:pPr>
              <w:rPr>
                <w:rStyle w:val="Odkaznakoment10"/>
                <w:rFonts w:eastAsia="Calibri"/>
              </w:rPr>
            </w:pPr>
          </w:p>
        </w:tc>
      </w:tr>
    </w:tbl>
    <w:p w14:paraId="67CE6E0A" w14:textId="77777777" w:rsidR="006A6403" w:rsidRDefault="006A6403"/>
    <w:p w14:paraId="75607096" w14:textId="77777777" w:rsidR="006A6403" w:rsidRDefault="00BB7AA9">
      <w:pPr>
        <w:rPr>
          <w:b/>
        </w:rPr>
      </w:pPr>
      <w:r>
        <w:rPr>
          <w:b/>
        </w:rPr>
        <w:lastRenderedPageBreak/>
        <w:t>ROZSAH TECHNICKÉ DOKUMENTACE</w:t>
      </w:r>
    </w:p>
    <w:p w14:paraId="0FCC2D78" w14:textId="77777777" w:rsidR="006A6403" w:rsidRDefault="00BB7AA9">
      <w:pPr>
        <w:pStyle w:val="Odstavecseseznamem"/>
        <w:numPr>
          <w:ilvl w:val="0"/>
          <w:numId w:val="2"/>
        </w:numPr>
        <w:spacing w:after="120"/>
        <w:ind w:left="1060" w:hanging="703"/>
        <w:contextualSpacing w:val="0"/>
        <w:rPr>
          <w:b/>
        </w:rPr>
      </w:pPr>
      <w:r>
        <w:rPr>
          <w:b/>
        </w:rPr>
        <w:t xml:space="preserve">Sparx EA modelu (zejména ArchiMate modelu) </w:t>
      </w:r>
    </w:p>
    <w:p w14:paraId="26F91B8D" w14:textId="77777777" w:rsidR="006A6403" w:rsidRDefault="00BB7AA9">
      <w:pPr>
        <w:pStyle w:val="Odstavecseseznamem"/>
        <w:ind w:left="1065"/>
      </w:pPr>
      <w:r>
        <w:t>V případě, že v rámci implementace dojde k jeho změnám oproti návrhu architektury připravenému jako součást analýzy, provede se aktualizace modelu. Sparx EA model by měl zahrnovat:</w:t>
      </w:r>
    </w:p>
    <w:p w14:paraId="3DA2CA96" w14:textId="77777777" w:rsidR="006A6403" w:rsidRDefault="00BB7AA9">
      <w:pPr>
        <w:pStyle w:val="Odstavecseseznamem"/>
        <w:numPr>
          <w:ilvl w:val="1"/>
          <w:numId w:val="2"/>
        </w:numPr>
        <w:ind w:left="1418" w:hanging="338"/>
      </w:pPr>
      <w:r>
        <w:t>aplikační komponenty tvořící řešení, případně dílčí komponenty v podobě ArchiMate Application Component,</w:t>
      </w:r>
    </w:p>
    <w:p w14:paraId="2942B895" w14:textId="77777777" w:rsidR="006A6403" w:rsidRDefault="00BB7AA9">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7FAFE8AB" w14:textId="77777777" w:rsidR="006A6403" w:rsidRDefault="00BB7AA9">
      <w:pPr>
        <w:pStyle w:val="Odstavecseseznamem"/>
        <w:numPr>
          <w:ilvl w:val="1"/>
          <w:numId w:val="2"/>
        </w:numPr>
        <w:ind w:left="1418" w:hanging="338"/>
      </w:pPr>
      <w:r>
        <w:t>prvky webových služeb reprezentované ArchiMate Application Service,</w:t>
      </w:r>
    </w:p>
    <w:p w14:paraId="1A7DDF56" w14:textId="77777777" w:rsidR="006A6403" w:rsidRDefault="00BB7AA9">
      <w:pPr>
        <w:pStyle w:val="Odstavecseseznamem"/>
        <w:numPr>
          <w:ilvl w:val="1"/>
          <w:numId w:val="2"/>
        </w:numPr>
        <w:ind w:left="1418" w:hanging="338"/>
      </w:pPr>
      <w:r>
        <w:t>hlavní datové objekty a číselníky reprezentovány ArchiMate Data Object,</w:t>
      </w:r>
    </w:p>
    <w:p w14:paraId="69ED996A" w14:textId="77777777" w:rsidR="006A6403" w:rsidRDefault="00BB7AA9">
      <w:pPr>
        <w:pStyle w:val="Odstavecseseznamem"/>
        <w:numPr>
          <w:ilvl w:val="1"/>
          <w:numId w:val="2"/>
        </w:numPr>
        <w:ind w:left="1418" w:hanging="338"/>
      </w:pPr>
      <w:r>
        <w:t>activity model/diagramy anebo sekvenční model/diagramy logiky zpracování definovaných typů dokumentů,</w:t>
      </w:r>
    </w:p>
    <w:p w14:paraId="5B237A08" w14:textId="77777777" w:rsidR="006A6403" w:rsidRDefault="00BB7AA9">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7B0D6EC7" w14:textId="77777777" w:rsidR="006A6403" w:rsidRDefault="00BB7AA9">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4D5FBB62" w14:textId="77777777" w:rsidR="006A6403" w:rsidRDefault="006A6403"/>
    <w:p w14:paraId="6CA47870" w14:textId="77777777" w:rsidR="006A6403" w:rsidRDefault="00BB7AA9">
      <w:pPr>
        <w:pStyle w:val="Odstavecseseznamem"/>
        <w:numPr>
          <w:ilvl w:val="0"/>
          <w:numId w:val="2"/>
        </w:numPr>
        <w:spacing w:after="120"/>
        <w:ind w:left="1060" w:hanging="703"/>
        <w:contextualSpacing w:val="0"/>
        <w:rPr>
          <w:b/>
        </w:rPr>
      </w:pPr>
      <w:r>
        <w:rPr>
          <w:b/>
        </w:rPr>
        <w:t>Bezpečnostní dokumentace</w:t>
      </w:r>
    </w:p>
    <w:p w14:paraId="7CAD58B8" w14:textId="77777777" w:rsidR="006A6403" w:rsidRDefault="00BB7AA9">
      <w:pPr>
        <w:pStyle w:val="Odstavecseseznamem"/>
        <w:ind w:left="1065"/>
      </w:pPr>
      <w:r>
        <w:t>Jde o přehled bezpečnostních opatření, který jen odkazuje, kde v technické dokumentaci se nalézá jejich popis</w:t>
      </w:r>
    </w:p>
    <w:p w14:paraId="21318AC0" w14:textId="77777777" w:rsidR="006A6403" w:rsidRDefault="00BB7AA9">
      <w:pPr>
        <w:pStyle w:val="Odstavecseseznamem"/>
        <w:ind w:left="1065"/>
      </w:pPr>
      <w:r>
        <w:t>Jedná se především o popis těchto bezpečnostních opatření (jsou-li relevantní):</w:t>
      </w:r>
    </w:p>
    <w:p w14:paraId="04A49DA1" w14:textId="77777777" w:rsidR="006A6403" w:rsidRDefault="00BB7AA9">
      <w:pPr>
        <w:pStyle w:val="Odstavecseseznamem"/>
        <w:numPr>
          <w:ilvl w:val="1"/>
          <w:numId w:val="2"/>
        </w:numPr>
        <w:ind w:left="1418" w:hanging="338"/>
      </w:pPr>
      <w:r>
        <w:t>řízení přístupu, role, autentizace a autorizace, druhy a správa účtů,</w:t>
      </w:r>
    </w:p>
    <w:p w14:paraId="3A3FCD9B" w14:textId="77777777" w:rsidR="006A6403" w:rsidRDefault="00BB7AA9">
      <w:pPr>
        <w:pStyle w:val="Odstavecseseznamem"/>
        <w:numPr>
          <w:ilvl w:val="1"/>
          <w:numId w:val="2"/>
        </w:numPr>
        <w:ind w:left="1418" w:hanging="338"/>
      </w:pPr>
      <w:r>
        <w:t>omezení oprávnění (princip minimálních oprávnění),</w:t>
      </w:r>
    </w:p>
    <w:p w14:paraId="3CBF7BEA" w14:textId="77777777" w:rsidR="006A6403" w:rsidRDefault="00BB7AA9">
      <w:pPr>
        <w:pStyle w:val="Odstavecseseznamem"/>
        <w:numPr>
          <w:ilvl w:val="1"/>
          <w:numId w:val="2"/>
        </w:numPr>
        <w:ind w:left="1418" w:hanging="338"/>
      </w:pPr>
      <w:r>
        <w:t>proces řízení účtů (přidělování/odebírání, vytváření/rušení),</w:t>
      </w:r>
    </w:p>
    <w:p w14:paraId="19019A39" w14:textId="77777777" w:rsidR="006A6403" w:rsidRDefault="00BB7AA9">
      <w:pPr>
        <w:pStyle w:val="Odstavecseseznamem"/>
        <w:numPr>
          <w:ilvl w:val="1"/>
          <w:numId w:val="2"/>
        </w:numPr>
        <w:ind w:left="1418" w:hanging="338"/>
      </w:pPr>
      <w:r>
        <w:t>auditní mechanismy, napojení na SIEM (Syslog, SNP TRAP, Textový soubor, JDBC, Microsoft Event Log…),</w:t>
      </w:r>
    </w:p>
    <w:p w14:paraId="6D864ADB" w14:textId="77777777" w:rsidR="006A6403" w:rsidRDefault="00BB7AA9">
      <w:pPr>
        <w:pStyle w:val="Odstavecseseznamem"/>
        <w:numPr>
          <w:ilvl w:val="1"/>
          <w:numId w:val="2"/>
        </w:numPr>
        <w:ind w:left="1418" w:hanging="338"/>
      </w:pPr>
      <w:r>
        <w:t>šifrování,</w:t>
      </w:r>
    </w:p>
    <w:p w14:paraId="53F29EB5" w14:textId="77777777" w:rsidR="006A6403" w:rsidRDefault="00BB7AA9">
      <w:pPr>
        <w:pStyle w:val="Odstavecseseznamem"/>
        <w:numPr>
          <w:ilvl w:val="1"/>
          <w:numId w:val="2"/>
        </w:numPr>
        <w:ind w:left="1418" w:hanging="338"/>
      </w:pPr>
      <w:r>
        <w:t>zabezpečení webového rozhraní, je-li součástí systému,</w:t>
      </w:r>
    </w:p>
    <w:p w14:paraId="1DBF5601" w14:textId="77777777" w:rsidR="006A6403" w:rsidRDefault="00BB7AA9">
      <w:pPr>
        <w:pStyle w:val="Odstavecseseznamem"/>
        <w:numPr>
          <w:ilvl w:val="1"/>
          <w:numId w:val="2"/>
        </w:numPr>
        <w:ind w:left="1418" w:hanging="338"/>
      </w:pPr>
      <w:r>
        <w:t>certifikační autority a PKI,</w:t>
      </w:r>
    </w:p>
    <w:p w14:paraId="50532C72" w14:textId="77777777" w:rsidR="006A6403" w:rsidRDefault="00BB7AA9">
      <w:pPr>
        <w:pStyle w:val="Odstavecseseznamem"/>
        <w:numPr>
          <w:ilvl w:val="1"/>
          <w:numId w:val="2"/>
        </w:numPr>
        <w:ind w:left="1418" w:hanging="338"/>
      </w:pPr>
      <w:r>
        <w:t>zajištění integrity dat,</w:t>
      </w:r>
    </w:p>
    <w:p w14:paraId="21DCE137" w14:textId="77777777" w:rsidR="006A6403" w:rsidRDefault="00BB7AA9">
      <w:pPr>
        <w:pStyle w:val="Odstavecseseznamem"/>
        <w:numPr>
          <w:ilvl w:val="1"/>
          <w:numId w:val="2"/>
        </w:numPr>
        <w:ind w:left="1418" w:hanging="338"/>
      </w:pPr>
      <w:r>
        <w:t>zajištění dostupnosti dat (redundance, cluster, HA…),</w:t>
      </w:r>
    </w:p>
    <w:p w14:paraId="31B8BF9E" w14:textId="77777777" w:rsidR="006A6403" w:rsidRDefault="00BB7AA9">
      <w:pPr>
        <w:pStyle w:val="Odstavecseseznamem"/>
        <w:numPr>
          <w:ilvl w:val="1"/>
          <w:numId w:val="2"/>
        </w:numPr>
        <w:ind w:left="1418" w:hanging="338"/>
      </w:pPr>
      <w:r>
        <w:t>zálohování, způsob, rozvrh,</w:t>
      </w:r>
    </w:p>
    <w:p w14:paraId="179BD290" w14:textId="77777777" w:rsidR="006A6403" w:rsidRDefault="00BB7AA9">
      <w:pPr>
        <w:pStyle w:val="Odstavecseseznamem"/>
        <w:numPr>
          <w:ilvl w:val="1"/>
          <w:numId w:val="2"/>
        </w:numPr>
        <w:ind w:left="1418" w:hanging="338"/>
      </w:pPr>
      <w:r>
        <w:t>obnovení ze zálohy (DRP) včetně předpokládané doby obnovy,</w:t>
      </w:r>
    </w:p>
    <w:p w14:paraId="4FE9A0B3" w14:textId="77777777" w:rsidR="006A6403" w:rsidRDefault="00BB7AA9">
      <w:pPr>
        <w:pStyle w:val="Odstavecseseznamem"/>
        <w:numPr>
          <w:ilvl w:val="1"/>
          <w:numId w:val="2"/>
        </w:numPr>
        <w:ind w:left="1418" w:hanging="338"/>
      </w:pPr>
      <w:r>
        <w:t>předpokládá se, že existuje síťové schéma, komunikační schéma a zdrojový kód.</w:t>
      </w:r>
    </w:p>
    <w:p w14:paraId="50C6CA51" w14:textId="77777777" w:rsidR="006A6403" w:rsidRDefault="00BB7AA9">
      <w:pPr>
        <w:pStyle w:val="Nadpis3"/>
      </w:pPr>
      <w:r>
        <w:t xml:space="preserve">5.1.1 Dohledové scénáře jsou požadovány, pokud Dodavatel potvrdí dopad na dohledové scénáře/nástroj. </w:t>
      </w:r>
    </w:p>
    <w:p w14:paraId="754C76B7" w14:textId="126049BD" w:rsidR="006A6403" w:rsidRDefault="00BB7AA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1733CE6" w14:textId="4C181F29" w:rsidR="006A6403" w:rsidRDefault="00BB7AA9">
      <w:pPr>
        <w:ind w:right="-427"/>
        <w:rPr>
          <w:sz w:val="18"/>
          <w:szCs w:val="18"/>
        </w:rPr>
      </w:pPr>
      <w:r>
        <w:rPr>
          <w:sz w:val="18"/>
          <w:szCs w:val="18"/>
        </w:rPr>
        <w:t xml:space="preserve">Provozně-technická dokumentace bude zpracována dle vzorového dokumentu, který je připojen – otevřete dvojklikem:   </w:t>
      </w:r>
      <w:r w:rsidR="00987B4C">
        <w:rPr>
          <w:sz w:val="18"/>
          <w:szCs w:val="18"/>
        </w:rPr>
        <w:t>xxx</w:t>
      </w:r>
      <w:r>
        <w:rPr>
          <w:sz w:val="18"/>
          <w:szCs w:val="18"/>
        </w:rPr>
        <w:t xml:space="preserve">    </w:t>
      </w:r>
    </w:p>
    <w:p w14:paraId="0CF4051F" w14:textId="77777777" w:rsidR="006A6403" w:rsidRDefault="00BB7AA9">
      <w:pPr>
        <w:pStyle w:val="Nadpis1"/>
        <w:numPr>
          <w:ilvl w:val="0"/>
          <w:numId w:val="1"/>
        </w:numPr>
        <w:ind w:left="284" w:hanging="284"/>
        <w:rPr>
          <w:szCs w:val="22"/>
        </w:rPr>
      </w:pPr>
      <w:r>
        <w:rPr>
          <w:szCs w:val="22"/>
        </w:rPr>
        <w:t>Akceptační kritéria</w:t>
      </w:r>
    </w:p>
    <w:p w14:paraId="08752745" w14:textId="77777777" w:rsidR="006A6403" w:rsidRDefault="00BB7AA9">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1702D9A" w14:textId="77777777" w:rsidR="006A6403" w:rsidRDefault="006A6403">
      <w:pPr>
        <w:rPr>
          <w:szCs w:val="22"/>
        </w:rPr>
      </w:pPr>
    </w:p>
    <w:p w14:paraId="179234E1" w14:textId="77777777" w:rsidR="006A6403" w:rsidRDefault="00BB7AA9">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A6403" w14:paraId="42C1C51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035D99" w14:textId="77777777" w:rsidR="006A6403" w:rsidRDefault="00BB7AA9">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F2AA9D3" w14:textId="77777777" w:rsidR="006A6403" w:rsidRDefault="00BB7AA9">
            <w:pPr>
              <w:rPr>
                <w:b/>
                <w:bCs/>
                <w:color w:val="000000"/>
                <w:szCs w:val="22"/>
                <w:lang w:eastAsia="cs-CZ"/>
              </w:rPr>
            </w:pPr>
            <w:r>
              <w:rPr>
                <w:b/>
                <w:bCs/>
                <w:color w:val="000000"/>
                <w:szCs w:val="22"/>
                <w:lang w:eastAsia="cs-CZ"/>
              </w:rPr>
              <w:t>Termín</w:t>
            </w:r>
          </w:p>
        </w:tc>
      </w:tr>
      <w:tr w:rsidR="006A6403" w14:paraId="5CACDCF5" w14:textId="77777777">
        <w:trPr>
          <w:trHeight w:val="284"/>
        </w:trPr>
        <w:tc>
          <w:tcPr>
            <w:tcW w:w="7655" w:type="dxa"/>
            <w:shd w:val="clear" w:color="auto" w:fill="auto"/>
            <w:noWrap/>
            <w:vAlign w:val="center"/>
          </w:tcPr>
          <w:p w14:paraId="1EB1E69C" w14:textId="77777777" w:rsidR="006A6403" w:rsidRDefault="00BB7AA9">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9E8A273" w14:textId="77777777" w:rsidR="006A6403" w:rsidRDefault="00BB7AA9">
            <w:pPr>
              <w:ind w:left="360"/>
              <w:rPr>
                <w:color w:val="000000"/>
                <w:szCs w:val="22"/>
                <w:lang w:eastAsia="cs-CZ"/>
              </w:rPr>
            </w:pPr>
            <w:r>
              <w:rPr>
                <w:color w:val="000000"/>
                <w:szCs w:val="22"/>
                <w:lang w:eastAsia="cs-CZ"/>
              </w:rPr>
              <w:t>po objednání</w:t>
            </w:r>
          </w:p>
        </w:tc>
      </w:tr>
      <w:tr w:rsidR="006A6403" w14:paraId="72C15732" w14:textId="77777777">
        <w:trPr>
          <w:trHeight w:val="284"/>
        </w:trPr>
        <w:tc>
          <w:tcPr>
            <w:tcW w:w="7655" w:type="dxa"/>
            <w:shd w:val="clear" w:color="auto" w:fill="auto"/>
            <w:noWrap/>
            <w:vAlign w:val="center"/>
          </w:tcPr>
          <w:p w14:paraId="6EA59245" w14:textId="77777777" w:rsidR="006A6403" w:rsidRDefault="00BB7AA9">
            <w:pPr>
              <w:rPr>
                <w:color w:val="000000"/>
                <w:szCs w:val="22"/>
                <w:lang w:eastAsia="cs-CZ"/>
              </w:rPr>
            </w:pPr>
            <w:r>
              <w:rPr>
                <w:color w:val="000000"/>
                <w:szCs w:val="22"/>
                <w:lang w:eastAsia="cs-CZ"/>
              </w:rPr>
              <w:t>Nasazení na test</w:t>
            </w:r>
          </w:p>
        </w:tc>
        <w:tc>
          <w:tcPr>
            <w:tcW w:w="2116" w:type="dxa"/>
            <w:shd w:val="clear" w:color="auto" w:fill="auto"/>
            <w:vAlign w:val="center"/>
          </w:tcPr>
          <w:p w14:paraId="60E95727" w14:textId="77777777" w:rsidR="006A6403" w:rsidRDefault="00BB7AA9">
            <w:pPr>
              <w:rPr>
                <w:color w:val="000000"/>
                <w:szCs w:val="22"/>
                <w:lang w:eastAsia="cs-CZ"/>
              </w:rPr>
            </w:pPr>
            <w:r>
              <w:rPr>
                <w:color w:val="000000"/>
                <w:szCs w:val="22"/>
                <w:lang w:eastAsia="cs-CZ"/>
              </w:rPr>
              <w:t>15.8. 2022</w:t>
            </w:r>
          </w:p>
        </w:tc>
      </w:tr>
      <w:tr w:rsidR="006A6403" w14:paraId="6953A808" w14:textId="77777777">
        <w:trPr>
          <w:trHeight w:val="284"/>
        </w:trPr>
        <w:tc>
          <w:tcPr>
            <w:tcW w:w="7655" w:type="dxa"/>
            <w:shd w:val="clear" w:color="auto" w:fill="auto"/>
            <w:noWrap/>
            <w:vAlign w:val="center"/>
          </w:tcPr>
          <w:p w14:paraId="7E3B05CE" w14:textId="77777777" w:rsidR="006A6403" w:rsidRDefault="00BB7AA9">
            <w:pPr>
              <w:rPr>
                <w:color w:val="000000"/>
                <w:szCs w:val="22"/>
                <w:lang w:eastAsia="cs-CZ"/>
              </w:rPr>
            </w:pPr>
            <w:r>
              <w:rPr>
                <w:color w:val="000000"/>
                <w:szCs w:val="22"/>
                <w:lang w:eastAsia="cs-CZ"/>
              </w:rPr>
              <w:t>Nasazení na provoz</w:t>
            </w:r>
          </w:p>
        </w:tc>
        <w:tc>
          <w:tcPr>
            <w:tcW w:w="2116" w:type="dxa"/>
            <w:shd w:val="clear" w:color="auto" w:fill="auto"/>
            <w:vAlign w:val="center"/>
          </w:tcPr>
          <w:p w14:paraId="395ABEBA" w14:textId="77777777" w:rsidR="006A6403" w:rsidRDefault="00BB7AA9">
            <w:pPr>
              <w:rPr>
                <w:color w:val="000000"/>
                <w:szCs w:val="22"/>
                <w:lang w:eastAsia="cs-CZ"/>
              </w:rPr>
            </w:pPr>
            <w:r>
              <w:rPr>
                <w:color w:val="000000"/>
                <w:szCs w:val="22"/>
                <w:lang w:eastAsia="cs-CZ"/>
              </w:rPr>
              <w:t>1. 9. 2022</w:t>
            </w:r>
          </w:p>
        </w:tc>
      </w:tr>
      <w:tr w:rsidR="006A6403" w14:paraId="7CE34162" w14:textId="77777777">
        <w:trPr>
          <w:trHeight w:val="284"/>
        </w:trPr>
        <w:tc>
          <w:tcPr>
            <w:tcW w:w="7655" w:type="dxa"/>
            <w:shd w:val="clear" w:color="auto" w:fill="auto"/>
            <w:noWrap/>
            <w:vAlign w:val="center"/>
          </w:tcPr>
          <w:p w14:paraId="4962192A" w14:textId="77777777" w:rsidR="006A6403" w:rsidRDefault="00BB7AA9">
            <w:pPr>
              <w:rPr>
                <w:color w:val="000000"/>
                <w:szCs w:val="22"/>
                <w:lang w:eastAsia="cs-CZ"/>
              </w:rPr>
            </w:pPr>
            <w:r>
              <w:rPr>
                <w:color w:val="000000"/>
                <w:szCs w:val="22"/>
                <w:lang w:eastAsia="cs-CZ"/>
              </w:rPr>
              <w:t>Akceptace</w:t>
            </w:r>
          </w:p>
        </w:tc>
        <w:tc>
          <w:tcPr>
            <w:tcW w:w="2116" w:type="dxa"/>
            <w:shd w:val="clear" w:color="auto" w:fill="auto"/>
            <w:vAlign w:val="center"/>
          </w:tcPr>
          <w:p w14:paraId="536C4D6D" w14:textId="77777777" w:rsidR="006A6403" w:rsidRDefault="00BB7AA9">
            <w:pPr>
              <w:rPr>
                <w:color w:val="000000"/>
                <w:szCs w:val="22"/>
                <w:lang w:eastAsia="cs-CZ"/>
              </w:rPr>
            </w:pPr>
            <w:r>
              <w:rPr>
                <w:color w:val="000000"/>
                <w:szCs w:val="22"/>
                <w:lang w:eastAsia="cs-CZ"/>
              </w:rPr>
              <w:t>30.9. 2022</w:t>
            </w:r>
          </w:p>
        </w:tc>
      </w:tr>
    </w:tbl>
    <w:p w14:paraId="3550574B" w14:textId="77777777" w:rsidR="006A6403" w:rsidRDefault="006A6403">
      <w:pPr>
        <w:rPr>
          <w:szCs w:val="22"/>
        </w:rPr>
      </w:pPr>
    </w:p>
    <w:p w14:paraId="6631BA7A" w14:textId="77777777" w:rsidR="006A6403" w:rsidRDefault="00BB7AA9">
      <w:pPr>
        <w:pStyle w:val="Nadpis1"/>
        <w:ind w:left="284" w:firstLine="0"/>
        <w:rPr>
          <w:szCs w:val="22"/>
        </w:rPr>
      </w:pPr>
      <w:r>
        <w:rPr>
          <w:szCs w:val="22"/>
        </w:rPr>
        <w:lastRenderedPageBreak/>
        <w:t>8 Přílohy</w:t>
      </w:r>
    </w:p>
    <w:p w14:paraId="1CCBB92F" w14:textId="77777777" w:rsidR="006A6403" w:rsidRDefault="00BB7AA9">
      <w:pPr>
        <w:ind w:left="426"/>
        <w:rPr>
          <w:szCs w:val="22"/>
        </w:rPr>
      </w:pPr>
      <w:r>
        <w:rPr>
          <w:szCs w:val="22"/>
        </w:rPr>
        <w:t>1.</w:t>
      </w:r>
    </w:p>
    <w:p w14:paraId="4E8BF1E7" w14:textId="77777777" w:rsidR="006A6403" w:rsidRDefault="00BB7AA9">
      <w:pPr>
        <w:ind w:left="426"/>
        <w:rPr>
          <w:szCs w:val="22"/>
        </w:rPr>
      </w:pPr>
      <w:r>
        <w:rPr>
          <w:szCs w:val="22"/>
        </w:rPr>
        <w:t>2.</w:t>
      </w:r>
    </w:p>
    <w:p w14:paraId="69CBFCBD" w14:textId="77777777" w:rsidR="006A6403" w:rsidRDefault="006A6403">
      <w:pPr>
        <w:rPr>
          <w:szCs w:val="22"/>
        </w:rPr>
      </w:pPr>
    </w:p>
    <w:p w14:paraId="51ABC5FC" w14:textId="77777777" w:rsidR="006A6403" w:rsidRDefault="00BB7AA9">
      <w:pPr>
        <w:pStyle w:val="Nadpis1"/>
        <w:numPr>
          <w:ilvl w:val="0"/>
          <w:numId w:val="16"/>
        </w:numPr>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6A6403" w14:paraId="5DD8DD9E"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5D740E5" w14:textId="77777777" w:rsidR="006A6403" w:rsidRDefault="00BB7AA9">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6DE15DB1" w14:textId="77777777" w:rsidR="006A6403" w:rsidRDefault="00BB7AA9">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9D43A98" w14:textId="77777777" w:rsidR="006A6403" w:rsidRDefault="00BB7AA9">
            <w:pPr>
              <w:rPr>
                <w:b/>
                <w:bCs/>
                <w:color w:val="000000"/>
                <w:szCs w:val="22"/>
                <w:lang w:eastAsia="cs-CZ"/>
              </w:rPr>
            </w:pPr>
            <w:r>
              <w:rPr>
                <w:b/>
                <w:bCs/>
                <w:color w:val="000000"/>
                <w:szCs w:val="22"/>
                <w:lang w:eastAsia="cs-CZ"/>
              </w:rPr>
              <w:t>Podpis:</w:t>
            </w:r>
          </w:p>
        </w:tc>
      </w:tr>
      <w:tr w:rsidR="006A6403" w14:paraId="77D3B0BC" w14:textId="77777777">
        <w:trPr>
          <w:trHeight w:val="397"/>
        </w:trPr>
        <w:tc>
          <w:tcPr>
            <w:tcW w:w="3255" w:type="dxa"/>
            <w:shd w:val="clear" w:color="auto" w:fill="auto"/>
            <w:noWrap/>
            <w:vAlign w:val="center"/>
            <w:hideMark/>
          </w:tcPr>
          <w:p w14:paraId="63BACEBD" w14:textId="77777777" w:rsidR="006A6403" w:rsidRDefault="00BB7AA9">
            <w:pPr>
              <w:rPr>
                <w:color w:val="000000"/>
                <w:szCs w:val="22"/>
                <w:lang w:eastAsia="cs-CZ"/>
              </w:rPr>
            </w:pPr>
            <w:r>
              <w:rPr>
                <w:color w:val="000000"/>
                <w:szCs w:val="22"/>
                <w:lang w:eastAsia="cs-CZ"/>
              </w:rPr>
              <w:t>Žadatel/věcný garant</w:t>
            </w:r>
          </w:p>
        </w:tc>
        <w:tc>
          <w:tcPr>
            <w:tcW w:w="2977" w:type="dxa"/>
            <w:vAlign w:val="center"/>
          </w:tcPr>
          <w:p w14:paraId="109A086C" w14:textId="77777777" w:rsidR="006A6403" w:rsidRDefault="00BB7AA9">
            <w:pPr>
              <w:rPr>
                <w:color w:val="000000"/>
                <w:szCs w:val="22"/>
                <w:lang w:eastAsia="cs-CZ"/>
              </w:rPr>
            </w:pPr>
            <w:r>
              <w:rPr>
                <w:color w:val="000000"/>
                <w:szCs w:val="22"/>
                <w:lang w:eastAsia="cs-CZ"/>
              </w:rPr>
              <w:t>Kateřina Bělinová</w:t>
            </w:r>
          </w:p>
        </w:tc>
        <w:tc>
          <w:tcPr>
            <w:tcW w:w="2977" w:type="dxa"/>
            <w:shd w:val="clear" w:color="auto" w:fill="auto"/>
            <w:vAlign w:val="center"/>
          </w:tcPr>
          <w:p w14:paraId="0041CFF6" w14:textId="77777777" w:rsidR="006A6403" w:rsidRDefault="006A6403">
            <w:pPr>
              <w:rPr>
                <w:color w:val="000000"/>
                <w:szCs w:val="22"/>
                <w:lang w:eastAsia="cs-CZ"/>
              </w:rPr>
            </w:pPr>
          </w:p>
        </w:tc>
      </w:tr>
      <w:tr w:rsidR="006A6403" w14:paraId="57E267D8" w14:textId="77777777">
        <w:trPr>
          <w:trHeight w:val="397"/>
        </w:trPr>
        <w:tc>
          <w:tcPr>
            <w:tcW w:w="3255" w:type="dxa"/>
            <w:shd w:val="clear" w:color="auto" w:fill="auto"/>
            <w:noWrap/>
            <w:vAlign w:val="center"/>
          </w:tcPr>
          <w:p w14:paraId="0F300820" w14:textId="77777777" w:rsidR="006A6403" w:rsidRDefault="00BB7AA9">
            <w:pPr>
              <w:rPr>
                <w:color w:val="000000"/>
                <w:szCs w:val="22"/>
                <w:lang w:eastAsia="cs-CZ"/>
              </w:rPr>
            </w:pPr>
            <w:r>
              <w:rPr>
                <w:color w:val="000000"/>
                <w:szCs w:val="22"/>
                <w:lang w:eastAsia="cs-CZ"/>
              </w:rPr>
              <w:t>Žadatel/věcný garant</w:t>
            </w:r>
          </w:p>
        </w:tc>
        <w:tc>
          <w:tcPr>
            <w:tcW w:w="2977" w:type="dxa"/>
            <w:vAlign w:val="center"/>
          </w:tcPr>
          <w:p w14:paraId="40B45DCF" w14:textId="77777777" w:rsidR="006A6403" w:rsidRDefault="00BB7AA9">
            <w:pPr>
              <w:rPr>
                <w:color w:val="000000"/>
                <w:szCs w:val="22"/>
                <w:lang w:eastAsia="cs-CZ"/>
              </w:rPr>
            </w:pPr>
            <w:r>
              <w:rPr>
                <w:color w:val="000000"/>
                <w:szCs w:val="22"/>
                <w:lang w:eastAsia="cs-CZ"/>
              </w:rPr>
              <w:t>Lenka Typoltová</w:t>
            </w:r>
          </w:p>
        </w:tc>
        <w:tc>
          <w:tcPr>
            <w:tcW w:w="2977" w:type="dxa"/>
            <w:shd w:val="clear" w:color="auto" w:fill="auto"/>
            <w:vAlign w:val="center"/>
          </w:tcPr>
          <w:p w14:paraId="627FB227" w14:textId="77777777" w:rsidR="006A6403" w:rsidRDefault="006A6403">
            <w:pPr>
              <w:rPr>
                <w:color w:val="000000"/>
                <w:szCs w:val="22"/>
                <w:lang w:eastAsia="cs-CZ"/>
              </w:rPr>
            </w:pPr>
          </w:p>
        </w:tc>
      </w:tr>
      <w:tr w:rsidR="006A6403" w14:paraId="3BAB26A2" w14:textId="77777777">
        <w:trPr>
          <w:trHeight w:val="397"/>
        </w:trPr>
        <w:tc>
          <w:tcPr>
            <w:tcW w:w="3255" w:type="dxa"/>
            <w:shd w:val="clear" w:color="auto" w:fill="auto"/>
            <w:noWrap/>
            <w:vAlign w:val="center"/>
          </w:tcPr>
          <w:p w14:paraId="23B6B5F8" w14:textId="77777777" w:rsidR="006A6403" w:rsidRDefault="00BB7AA9">
            <w:pPr>
              <w:rPr>
                <w:color w:val="000000"/>
                <w:szCs w:val="22"/>
                <w:lang w:eastAsia="cs-CZ"/>
              </w:rPr>
            </w:pPr>
            <w:r>
              <w:rPr>
                <w:color w:val="000000"/>
                <w:szCs w:val="22"/>
                <w:lang w:eastAsia="cs-CZ"/>
              </w:rPr>
              <w:t>Koordinátor změny:</w:t>
            </w:r>
          </w:p>
        </w:tc>
        <w:tc>
          <w:tcPr>
            <w:tcW w:w="2977" w:type="dxa"/>
            <w:vAlign w:val="center"/>
          </w:tcPr>
          <w:p w14:paraId="336F9F2C" w14:textId="77777777" w:rsidR="006A6403" w:rsidRDefault="00BB7AA9">
            <w:pPr>
              <w:rPr>
                <w:color w:val="000000"/>
                <w:szCs w:val="22"/>
                <w:lang w:eastAsia="cs-CZ"/>
              </w:rPr>
            </w:pPr>
            <w:r>
              <w:rPr>
                <w:color w:val="000000"/>
                <w:szCs w:val="22"/>
                <w:lang w:eastAsia="cs-CZ"/>
              </w:rPr>
              <w:t>Jiří Bukovský</w:t>
            </w:r>
          </w:p>
        </w:tc>
        <w:tc>
          <w:tcPr>
            <w:tcW w:w="2977" w:type="dxa"/>
            <w:shd w:val="clear" w:color="auto" w:fill="auto"/>
            <w:vAlign w:val="center"/>
          </w:tcPr>
          <w:p w14:paraId="5C3A17AD" w14:textId="77777777" w:rsidR="006A6403" w:rsidRDefault="006A6403">
            <w:pPr>
              <w:rPr>
                <w:color w:val="000000"/>
                <w:szCs w:val="22"/>
                <w:lang w:eastAsia="cs-CZ"/>
              </w:rPr>
            </w:pPr>
          </w:p>
        </w:tc>
      </w:tr>
    </w:tbl>
    <w:p w14:paraId="2FF5E613" w14:textId="77777777" w:rsidR="006A6403" w:rsidRDefault="006A6403">
      <w:pPr>
        <w:rPr>
          <w:szCs w:val="22"/>
        </w:rPr>
      </w:pPr>
    </w:p>
    <w:p w14:paraId="07883CD9" w14:textId="77777777" w:rsidR="006A6403" w:rsidRDefault="00BB7AA9">
      <w:pPr>
        <w:rPr>
          <w:b/>
          <w:caps/>
          <w:szCs w:val="22"/>
        </w:rPr>
      </w:pPr>
      <w:r>
        <w:rPr>
          <w:b/>
          <w:caps/>
          <w:szCs w:val="22"/>
        </w:rPr>
        <w:br w:type="page"/>
      </w:r>
    </w:p>
    <w:p w14:paraId="1093116C" w14:textId="77777777" w:rsidR="006A6403" w:rsidRDefault="00BB7AA9">
      <w:pPr>
        <w:rPr>
          <w:b/>
          <w:caps/>
          <w:szCs w:val="22"/>
        </w:rPr>
      </w:pPr>
      <w:r>
        <w:rPr>
          <w:b/>
          <w:caps/>
          <w:szCs w:val="22"/>
        </w:rPr>
        <w:lastRenderedPageBreak/>
        <w:t>B – nabídkA řešení k požadavku Z34337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6403" w14:paraId="06B1DCA2" w14:textId="77777777">
        <w:tc>
          <w:tcPr>
            <w:tcW w:w="1701" w:type="dxa"/>
            <w:tcBorders>
              <w:top w:val="single" w:sz="8" w:space="0" w:color="auto"/>
              <w:left w:val="single" w:sz="8" w:space="0" w:color="auto"/>
              <w:bottom w:val="single" w:sz="8" w:space="0" w:color="auto"/>
            </w:tcBorders>
            <w:vAlign w:val="center"/>
          </w:tcPr>
          <w:p w14:paraId="751025BC" w14:textId="77777777" w:rsidR="006A6403" w:rsidRDefault="00BB7AA9">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784A4C5" w14:textId="77777777" w:rsidR="006A6403" w:rsidRDefault="00BB7AA9">
            <w:pPr>
              <w:pStyle w:val="Tabulka"/>
              <w:rPr>
                <w:szCs w:val="22"/>
              </w:rPr>
            </w:pPr>
            <w:r>
              <w:rPr>
                <w:szCs w:val="22"/>
              </w:rPr>
              <w:t>686</w:t>
            </w:r>
          </w:p>
        </w:tc>
      </w:tr>
    </w:tbl>
    <w:p w14:paraId="7069D5C4" w14:textId="77777777" w:rsidR="006A6403" w:rsidRDefault="006A6403">
      <w:pPr>
        <w:rPr>
          <w:caps/>
          <w:szCs w:val="22"/>
        </w:rPr>
      </w:pPr>
    </w:p>
    <w:p w14:paraId="273AB2C5" w14:textId="77777777" w:rsidR="006A6403" w:rsidRDefault="00BB7AA9">
      <w:pPr>
        <w:pStyle w:val="Nadpis1"/>
        <w:numPr>
          <w:ilvl w:val="0"/>
          <w:numId w:val="18"/>
        </w:numPr>
        <w:ind w:left="284" w:hanging="284"/>
        <w:rPr>
          <w:szCs w:val="22"/>
        </w:rPr>
      </w:pPr>
      <w:r>
        <w:rPr>
          <w:szCs w:val="22"/>
        </w:rPr>
        <w:t xml:space="preserve">Návrh konceptu technického řešení  </w:t>
      </w:r>
    </w:p>
    <w:p w14:paraId="11E8FF12" w14:textId="77777777" w:rsidR="006A6403" w:rsidRDefault="00BB7AA9">
      <w:r>
        <w:t>Viz část A tohoto PZ, body 2 a 3.</w:t>
      </w:r>
    </w:p>
    <w:p w14:paraId="328DFE4D" w14:textId="77777777" w:rsidR="006A6403" w:rsidRDefault="00BB7AA9">
      <w:pPr>
        <w:pStyle w:val="Nadpis1"/>
        <w:numPr>
          <w:ilvl w:val="0"/>
          <w:numId w:val="18"/>
        </w:numPr>
        <w:ind w:left="284" w:hanging="284"/>
        <w:rPr>
          <w:szCs w:val="22"/>
        </w:rPr>
      </w:pPr>
      <w:r>
        <w:rPr>
          <w:szCs w:val="22"/>
        </w:rPr>
        <w:t>Uživatelské a licenční zajištění pro Objednatele</w:t>
      </w:r>
    </w:p>
    <w:p w14:paraId="0C61A29F" w14:textId="77777777" w:rsidR="006A6403" w:rsidRDefault="00BB7AA9">
      <w:r>
        <w:t>V souladu s podmínkami smlouvy č. 391-2019-11150</w:t>
      </w:r>
    </w:p>
    <w:p w14:paraId="18A86EA7" w14:textId="77777777" w:rsidR="006A6403" w:rsidRDefault="00BB7AA9">
      <w:pPr>
        <w:pStyle w:val="Nadpis1"/>
        <w:numPr>
          <w:ilvl w:val="0"/>
          <w:numId w:val="18"/>
        </w:numPr>
        <w:ind w:left="284" w:hanging="284"/>
        <w:rPr>
          <w:szCs w:val="22"/>
        </w:rPr>
      </w:pPr>
      <w:r>
        <w:rPr>
          <w:szCs w:val="22"/>
        </w:rPr>
        <w:t>Dopady do systémů MZe</w:t>
      </w:r>
    </w:p>
    <w:p w14:paraId="10A9BBB0" w14:textId="77777777" w:rsidR="006A6403" w:rsidRDefault="00BB7AA9">
      <w:r>
        <w:t>Bez dopadu</w:t>
      </w:r>
    </w:p>
    <w:p w14:paraId="5A91F932" w14:textId="522A0FEA" w:rsidR="006A6403" w:rsidRDefault="00BB7AA9">
      <w:pPr>
        <w:pStyle w:val="Nadpis1"/>
        <w:numPr>
          <w:ilvl w:val="1"/>
          <w:numId w:val="18"/>
        </w:numPr>
        <w:ind w:left="1440" w:hanging="292"/>
        <w:rPr>
          <w:szCs w:val="22"/>
        </w:rPr>
      </w:pPr>
      <w:r>
        <w:rPr>
          <w:szCs w:val="22"/>
        </w:rPr>
        <w:t>Na provoz a infrastrukturu</w:t>
      </w:r>
    </w:p>
    <w:p w14:paraId="2D11DE17" w14:textId="662F61DE" w:rsidR="006A6403" w:rsidRDefault="00BB7AA9">
      <w:pPr>
        <w:rPr>
          <w:sz w:val="18"/>
          <w:szCs w:val="18"/>
        </w:rPr>
      </w:pPr>
      <w:r>
        <w:rPr>
          <w:sz w:val="18"/>
          <w:szCs w:val="18"/>
        </w:rPr>
        <w:t xml:space="preserve">(Pozn.: V případě, že má změna dopady na síťovou infrastrukturu, doplňte tabulku v připojeném souboru - otevřete dvojklikem.)     </w:t>
      </w:r>
      <w:r w:rsidR="00987B4C">
        <w:rPr>
          <w:sz w:val="18"/>
          <w:szCs w:val="18"/>
        </w:rPr>
        <w:t>xxx</w:t>
      </w:r>
    </w:p>
    <w:p w14:paraId="2181D38D" w14:textId="77777777" w:rsidR="006A6403" w:rsidRDefault="00BB7AA9">
      <w:pPr>
        <w:pStyle w:val="Nadpis1"/>
        <w:numPr>
          <w:ilvl w:val="1"/>
          <w:numId w:val="18"/>
        </w:numPr>
        <w:ind w:left="1440" w:hanging="292"/>
        <w:rPr>
          <w:szCs w:val="22"/>
        </w:rPr>
      </w:pPr>
      <w:r>
        <w:rPr>
          <w:szCs w:val="22"/>
        </w:rPr>
        <w:t>Na bezpečnost</w:t>
      </w:r>
    </w:p>
    <w:p w14:paraId="0C9D8EBC" w14:textId="77777777" w:rsidR="006A6403" w:rsidRDefault="00BB7AA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6A6403" w14:paraId="7521008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37972DA" w14:textId="77777777" w:rsidR="006A6403" w:rsidRDefault="00BB7AA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37E3A5" w14:textId="77777777" w:rsidR="006A6403" w:rsidRDefault="00BB7AA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51199" w14:textId="77777777" w:rsidR="006A6403" w:rsidRDefault="00BB7AA9">
            <w:pPr>
              <w:rPr>
                <w:b/>
                <w:bCs/>
                <w:color w:val="000000"/>
                <w:szCs w:val="22"/>
                <w:lang w:eastAsia="cs-CZ"/>
              </w:rPr>
            </w:pPr>
            <w:r>
              <w:rPr>
                <w:b/>
                <w:bCs/>
                <w:color w:val="000000"/>
                <w:szCs w:val="22"/>
                <w:lang w:eastAsia="cs-CZ"/>
              </w:rPr>
              <w:t>Předpokládaný dopad a navrhované opatření/změny</w:t>
            </w:r>
          </w:p>
        </w:tc>
      </w:tr>
      <w:tr w:rsidR="006A6403" w14:paraId="17DB98A6" w14:textId="77777777">
        <w:trPr>
          <w:trHeight w:val="300"/>
        </w:trPr>
        <w:tc>
          <w:tcPr>
            <w:tcW w:w="426" w:type="dxa"/>
            <w:tcBorders>
              <w:top w:val="single" w:sz="8" w:space="0" w:color="auto"/>
              <w:bottom w:val="single" w:sz="4" w:space="0" w:color="auto"/>
            </w:tcBorders>
            <w:vAlign w:val="center"/>
          </w:tcPr>
          <w:p w14:paraId="0E1F4FF5"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24B33F5" w14:textId="77777777" w:rsidR="006A6403" w:rsidRDefault="00BB7AA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A15228E" w14:textId="77777777" w:rsidR="006A6403" w:rsidRDefault="00BB7AA9">
            <w:pPr>
              <w:rPr>
                <w:color w:val="000000"/>
                <w:szCs w:val="22"/>
                <w:lang w:eastAsia="cs-CZ"/>
              </w:rPr>
            </w:pPr>
            <w:r>
              <w:rPr>
                <w:color w:val="000000"/>
                <w:szCs w:val="22"/>
                <w:lang w:eastAsia="cs-CZ"/>
              </w:rPr>
              <w:t>Bez dopadu</w:t>
            </w:r>
          </w:p>
        </w:tc>
      </w:tr>
      <w:tr w:rsidR="006A6403" w14:paraId="61A157CC" w14:textId="77777777">
        <w:trPr>
          <w:trHeight w:val="300"/>
        </w:trPr>
        <w:tc>
          <w:tcPr>
            <w:tcW w:w="426" w:type="dxa"/>
            <w:tcBorders>
              <w:bottom w:val="single" w:sz="4" w:space="0" w:color="auto"/>
            </w:tcBorders>
            <w:vAlign w:val="center"/>
          </w:tcPr>
          <w:p w14:paraId="5E7BE3E8"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1E31FAF" w14:textId="77777777" w:rsidR="006A6403" w:rsidRDefault="00BB7AA9">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114365B4" w14:textId="77777777" w:rsidR="006A6403" w:rsidRDefault="00BB7AA9">
            <w:pPr>
              <w:rPr>
                <w:b/>
                <w:bCs/>
                <w:color w:val="000000"/>
                <w:szCs w:val="22"/>
                <w:lang w:eastAsia="cs-CZ"/>
              </w:rPr>
            </w:pPr>
            <w:r>
              <w:rPr>
                <w:color w:val="000000"/>
                <w:szCs w:val="22"/>
                <w:lang w:eastAsia="cs-CZ"/>
              </w:rPr>
              <w:t>Bez dopadu</w:t>
            </w:r>
          </w:p>
        </w:tc>
      </w:tr>
      <w:tr w:rsidR="006A6403" w14:paraId="23B21E0E" w14:textId="77777777">
        <w:trPr>
          <w:trHeight w:val="300"/>
        </w:trPr>
        <w:tc>
          <w:tcPr>
            <w:tcW w:w="426" w:type="dxa"/>
            <w:tcBorders>
              <w:bottom w:val="single" w:sz="4" w:space="0" w:color="auto"/>
            </w:tcBorders>
            <w:vAlign w:val="center"/>
          </w:tcPr>
          <w:p w14:paraId="05B209CD"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2EA50A" w14:textId="77777777" w:rsidR="006A6403" w:rsidRDefault="00BB7AA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0A7E2084" w14:textId="77777777" w:rsidR="006A6403" w:rsidRDefault="00BB7AA9">
            <w:pPr>
              <w:rPr>
                <w:b/>
                <w:bCs/>
                <w:color w:val="000000"/>
                <w:szCs w:val="22"/>
                <w:lang w:eastAsia="cs-CZ"/>
              </w:rPr>
            </w:pPr>
            <w:r>
              <w:rPr>
                <w:color w:val="000000"/>
                <w:szCs w:val="22"/>
                <w:lang w:eastAsia="cs-CZ"/>
              </w:rPr>
              <w:t>Bez dopadu</w:t>
            </w:r>
          </w:p>
        </w:tc>
      </w:tr>
      <w:tr w:rsidR="006A6403" w14:paraId="4A837E69" w14:textId="77777777">
        <w:trPr>
          <w:trHeight w:val="300"/>
        </w:trPr>
        <w:tc>
          <w:tcPr>
            <w:tcW w:w="426" w:type="dxa"/>
            <w:tcBorders>
              <w:bottom w:val="single" w:sz="4" w:space="0" w:color="auto"/>
            </w:tcBorders>
            <w:vAlign w:val="center"/>
          </w:tcPr>
          <w:p w14:paraId="0337B81C"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B9EC66B" w14:textId="77777777" w:rsidR="006A6403" w:rsidRDefault="00BB7AA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52EABD9" w14:textId="77777777" w:rsidR="006A6403" w:rsidRDefault="00BB7AA9">
            <w:pPr>
              <w:rPr>
                <w:b/>
                <w:bCs/>
                <w:color w:val="000000"/>
                <w:szCs w:val="22"/>
                <w:lang w:eastAsia="cs-CZ"/>
              </w:rPr>
            </w:pPr>
            <w:r>
              <w:rPr>
                <w:color w:val="000000"/>
                <w:szCs w:val="22"/>
                <w:lang w:eastAsia="cs-CZ"/>
              </w:rPr>
              <w:t>Bez dopadu</w:t>
            </w:r>
          </w:p>
        </w:tc>
      </w:tr>
      <w:tr w:rsidR="006A6403" w14:paraId="78F5CCCF" w14:textId="77777777">
        <w:trPr>
          <w:trHeight w:val="300"/>
        </w:trPr>
        <w:tc>
          <w:tcPr>
            <w:tcW w:w="426" w:type="dxa"/>
            <w:tcBorders>
              <w:bottom w:val="single" w:sz="4" w:space="0" w:color="auto"/>
            </w:tcBorders>
            <w:vAlign w:val="center"/>
          </w:tcPr>
          <w:p w14:paraId="319563DA"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B2476A4" w14:textId="77777777" w:rsidR="006A6403" w:rsidRDefault="00BB7AA9">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50E84041" w14:textId="77777777" w:rsidR="006A6403" w:rsidRDefault="00BB7AA9">
            <w:pPr>
              <w:rPr>
                <w:b/>
                <w:bCs/>
                <w:color w:val="000000"/>
                <w:szCs w:val="22"/>
                <w:lang w:eastAsia="cs-CZ"/>
              </w:rPr>
            </w:pPr>
            <w:r>
              <w:rPr>
                <w:color w:val="000000"/>
                <w:szCs w:val="22"/>
                <w:lang w:eastAsia="cs-CZ"/>
              </w:rPr>
              <w:t>Bez dopadu</w:t>
            </w:r>
          </w:p>
        </w:tc>
      </w:tr>
      <w:tr w:rsidR="006A6403" w14:paraId="26016A01" w14:textId="77777777">
        <w:trPr>
          <w:trHeight w:val="300"/>
        </w:trPr>
        <w:tc>
          <w:tcPr>
            <w:tcW w:w="426" w:type="dxa"/>
            <w:tcBorders>
              <w:bottom w:val="single" w:sz="4" w:space="0" w:color="auto"/>
            </w:tcBorders>
            <w:vAlign w:val="center"/>
          </w:tcPr>
          <w:p w14:paraId="08BF212E"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689E7B" w14:textId="77777777" w:rsidR="006A6403" w:rsidRDefault="00BB7AA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73949412" w14:textId="77777777" w:rsidR="006A6403" w:rsidRDefault="00BB7AA9">
            <w:pPr>
              <w:rPr>
                <w:b/>
                <w:bCs/>
                <w:color w:val="000000"/>
                <w:szCs w:val="22"/>
                <w:lang w:eastAsia="cs-CZ"/>
              </w:rPr>
            </w:pPr>
            <w:r>
              <w:rPr>
                <w:color w:val="000000"/>
                <w:szCs w:val="22"/>
                <w:lang w:eastAsia="cs-CZ"/>
              </w:rPr>
              <w:t>Bez dopadu</w:t>
            </w:r>
          </w:p>
        </w:tc>
      </w:tr>
      <w:tr w:rsidR="006A6403" w14:paraId="6189FD49" w14:textId="77777777">
        <w:trPr>
          <w:trHeight w:val="300"/>
        </w:trPr>
        <w:tc>
          <w:tcPr>
            <w:tcW w:w="426" w:type="dxa"/>
            <w:tcBorders>
              <w:bottom w:val="single" w:sz="4" w:space="0" w:color="auto"/>
            </w:tcBorders>
            <w:vAlign w:val="center"/>
          </w:tcPr>
          <w:p w14:paraId="1F4C7EC2"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A79C83" w14:textId="77777777" w:rsidR="006A6403" w:rsidRDefault="00BB7AA9">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3D2C24BB" w14:textId="77777777" w:rsidR="006A6403" w:rsidRDefault="00BB7AA9">
            <w:pPr>
              <w:rPr>
                <w:b/>
                <w:bCs/>
                <w:color w:val="000000"/>
                <w:szCs w:val="22"/>
                <w:lang w:eastAsia="cs-CZ"/>
              </w:rPr>
            </w:pPr>
            <w:r>
              <w:rPr>
                <w:color w:val="000000"/>
                <w:szCs w:val="22"/>
                <w:lang w:eastAsia="cs-CZ"/>
              </w:rPr>
              <w:t>Bez dopadu</w:t>
            </w:r>
          </w:p>
        </w:tc>
      </w:tr>
      <w:tr w:rsidR="006A6403" w14:paraId="7893D535" w14:textId="77777777">
        <w:trPr>
          <w:trHeight w:val="300"/>
        </w:trPr>
        <w:tc>
          <w:tcPr>
            <w:tcW w:w="426" w:type="dxa"/>
            <w:tcBorders>
              <w:bottom w:val="single" w:sz="4" w:space="0" w:color="auto"/>
            </w:tcBorders>
            <w:vAlign w:val="center"/>
          </w:tcPr>
          <w:p w14:paraId="05C6D42E"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C6A973" w14:textId="77777777" w:rsidR="006A6403" w:rsidRDefault="00BB7AA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5B5F7838" w14:textId="77777777" w:rsidR="006A6403" w:rsidRDefault="00BB7AA9">
            <w:pPr>
              <w:rPr>
                <w:b/>
                <w:bCs/>
                <w:color w:val="000000"/>
                <w:szCs w:val="22"/>
                <w:lang w:eastAsia="cs-CZ"/>
              </w:rPr>
            </w:pPr>
            <w:r>
              <w:rPr>
                <w:color w:val="000000"/>
                <w:szCs w:val="22"/>
                <w:lang w:eastAsia="cs-CZ"/>
              </w:rPr>
              <w:t>Bez dopadu</w:t>
            </w:r>
          </w:p>
        </w:tc>
      </w:tr>
      <w:tr w:rsidR="006A6403" w14:paraId="69AE8E29" w14:textId="77777777">
        <w:trPr>
          <w:trHeight w:val="300"/>
        </w:trPr>
        <w:tc>
          <w:tcPr>
            <w:tcW w:w="426" w:type="dxa"/>
            <w:tcBorders>
              <w:bottom w:val="single" w:sz="4" w:space="0" w:color="auto"/>
            </w:tcBorders>
            <w:vAlign w:val="center"/>
          </w:tcPr>
          <w:p w14:paraId="5A673C6D"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860A46" w14:textId="77777777" w:rsidR="006A6403" w:rsidRDefault="00BB7AA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4244EFC1" w14:textId="77777777" w:rsidR="006A6403" w:rsidRDefault="00BB7AA9">
            <w:pPr>
              <w:rPr>
                <w:b/>
                <w:bCs/>
                <w:color w:val="000000"/>
                <w:szCs w:val="22"/>
                <w:lang w:eastAsia="cs-CZ"/>
              </w:rPr>
            </w:pPr>
            <w:r>
              <w:rPr>
                <w:color w:val="000000"/>
                <w:szCs w:val="22"/>
                <w:lang w:eastAsia="cs-CZ"/>
              </w:rPr>
              <w:t>Bez dopadu</w:t>
            </w:r>
          </w:p>
        </w:tc>
      </w:tr>
      <w:tr w:rsidR="006A6403" w14:paraId="657034C3" w14:textId="77777777">
        <w:trPr>
          <w:trHeight w:val="300"/>
        </w:trPr>
        <w:tc>
          <w:tcPr>
            <w:tcW w:w="426" w:type="dxa"/>
            <w:tcBorders>
              <w:bottom w:val="single" w:sz="4" w:space="0" w:color="auto"/>
            </w:tcBorders>
            <w:vAlign w:val="center"/>
          </w:tcPr>
          <w:p w14:paraId="6890ACEF"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1473833" w14:textId="77777777" w:rsidR="006A6403" w:rsidRDefault="00BB7AA9">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7443BB2A" w14:textId="77777777" w:rsidR="006A6403" w:rsidRDefault="00BB7AA9">
            <w:pPr>
              <w:rPr>
                <w:b/>
                <w:bCs/>
                <w:color w:val="000000"/>
                <w:szCs w:val="22"/>
                <w:lang w:eastAsia="cs-CZ"/>
              </w:rPr>
            </w:pPr>
            <w:r>
              <w:rPr>
                <w:color w:val="000000"/>
                <w:szCs w:val="22"/>
                <w:lang w:eastAsia="cs-CZ"/>
              </w:rPr>
              <w:t>Bez dopadu</w:t>
            </w:r>
          </w:p>
        </w:tc>
      </w:tr>
      <w:tr w:rsidR="006A6403" w14:paraId="3DC5E331" w14:textId="77777777">
        <w:trPr>
          <w:trHeight w:val="300"/>
        </w:trPr>
        <w:tc>
          <w:tcPr>
            <w:tcW w:w="426" w:type="dxa"/>
            <w:tcBorders>
              <w:bottom w:val="single" w:sz="4" w:space="0" w:color="auto"/>
            </w:tcBorders>
            <w:vAlign w:val="center"/>
          </w:tcPr>
          <w:p w14:paraId="1CA51C72"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4101B5" w14:textId="77777777" w:rsidR="006A6403" w:rsidRDefault="00BB7AA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29EB2A63" w14:textId="77777777" w:rsidR="006A6403" w:rsidRDefault="00BB7AA9">
            <w:pPr>
              <w:rPr>
                <w:b/>
                <w:bCs/>
                <w:color w:val="000000"/>
                <w:szCs w:val="22"/>
                <w:lang w:eastAsia="cs-CZ"/>
              </w:rPr>
            </w:pPr>
            <w:r>
              <w:rPr>
                <w:color w:val="000000"/>
                <w:szCs w:val="22"/>
                <w:lang w:eastAsia="cs-CZ"/>
              </w:rPr>
              <w:t>Bez dopadu</w:t>
            </w:r>
          </w:p>
        </w:tc>
      </w:tr>
      <w:tr w:rsidR="006A6403" w14:paraId="177A4CAB" w14:textId="77777777">
        <w:trPr>
          <w:trHeight w:val="300"/>
        </w:trPr>
        <w:tc>
          <w:tcPr>
            <w:tcW w:w="426" w:type="dxa"/>
            <w:tcBorders>
              <w:bottom w:val="single" w:sz="4" w:space="0" w:color="auto"/>
            </w:tcBorders>
            <w:vAlign w:val="center"/>
          </w:tcPr>
          <w:p w14:paraId="6BA9B6B9"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D3D4EF" w14:textId="77777777" w:rsidR="006A6403" w:rsidRDefault="00BB7AA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219CCD3C" w14:textId="77777777" w:rsidR="006A6403" w:rsidRDefault="00BB7AA9">
            <w:pPr>
              <w:rPr>
                <w:b/>
                <w:bCs/>
                <w:color w:val="000000"/>
                <w:szCs w:val="22"/>
                <w:lang w:eastAsia="cs-CZ"/>
              </w:rPr>
            </w:pPr>
            <w:r>
              <w:rPr>
                <w:color w:val="000000"/>
                <w:szCs w:val="22"/>
                <w:lang w:eastAsia="cs-CZ"/>
              </w:rPr>
              <w:t>Bez dopadu</w:t>
            </w:r>
          </w:p>
        </w:tc>
      </w:tr>
      <w:tr w:rsidR="006A6403" w14:paraId="50352237" w14:textId="77777777">
        <w:trPr>
          <w:trHeight w:val="300"/>
        </w:trPr>
        <w:tc>
          <w:tcPr>
            <w:tcW w:w="426" w:type="dxa"/>
            <w:tcBorders>
              <w:bottom w:val="single" w:sz="4" w:space="0" w:color="auto"/>
            </w:tcBorders>
            <w:vAlign w:val="center"/>
          </w:tcPr>
          <w:p w14:paraId="49DBF5BE" w14:textId="77777777" w:rsidR="006A6403" w:rsidRDefault="006A6403">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6F47A7" w14:textId="77777777" w:rsidR="006A6403" w:rsidRDefault="00BB7AA9">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461C8C09" w14:textId="77777777" w:rsidR="006A6403" w:rsidRDefault="00BB7AA9">
            <w:pPr>
              <w:rPr>
                <w:b/>
                <w:bCs/>
                <w:color w:val="000000"/>
                <w:szCs w:val="22"/>
                <w:lang w:eastAsia="cs-CZ"/>
              </w:rPr>
            </w:pPr>
            <w:r>
              <w:rPr>
                <w:color w:val="000000"/>
                <w:szCs w:val="22"/>
                <w:lang w:eastAsia="cs-CZ"/>
              </w:rPr>
              <w:t>Bez dopadu</w:t>
            </w:r>
          </w:p>
        </w:tc>
      </w:tr>
    </w:tbl>
    <w:p w14:paraId="216E75DE" w14:textId="77777777" w:rsidR="006A6403" w:rsidRDefault="006A6403"/>
    <w:p w14:paraId="25AC8FFB" w14:textId="77777777" w:rsidR="006A6403" w:rsidRDefault="00BB7AA9">
      <w:pPr>
        <w:pStyle w:val="Nadpis1"/>
        <w:numPr>
          <w:ilvl w:val="1"/>
          <w:numId w:val="18"/>
        </w:numPr>
        <w:ind w:left="1440" w:hanging="292"/>
        <w:rPr>
          <w:szCs w:val="22"/>
        </w:rPr>
      </w:pPr>
      <w:r>
        <w:rPr>
          <w:szCs w:val="22"/>
        </w:rPr>
        <w:t>Na součinnost s dalšími systémy</w:t>
      </w:r>
    </w:p>
    <w:p w14:paraId="681C4ADA" w14:textId="77777777" w:rsidR="006A6403" w:rsidRDefault="00BB7AA9">
      <w:pPr>
        <w:pStyle w:val="Nadpis1"/>
        <w:numPr>
          <w:ilvl w:val="1"/>
          <w:numId w:val="18"/>
        </w:numPr>
        <w:ind w:left="1440" w:hanging="292"/>
        <w:rPr>
          <w:szCs w:val="22"/>
        </w:rPr>
      </w:pPr>
      <w:r>
        <w:rPr>
          <w:szCs w:val="22"/>
        </w:rPr>
        <w:t>Na součinnost AgriBus</w:t>
      </w:r>
    </w:p>
    <w:p w14:paraId="20706FA7" w14:textId="77777777" w:rsidR="006A6403" w:rsidRDefault="00BB7AA9">
      <w:pPr>
        <w:pStyle w:val="Nadpis1"/>
        <w:numPr>
          <w:ilvl w:val="1"/>
          <w:numId w:val="18"/>
        </w:numPr>
        <w:ind w:left="1440" w:hanging="292"/>
        <w:rPr>
          <w:szCs w:val="22"/>
        </w:rPr>
      </w:pPr>
      <w:r>
        <w:rPr>
          <w:szCs w:val="22"/>
        </w:rPr>
        <w:t>Na dohledové nástroje/scénáře</w:t>
      </w:r>
      <w:r>
        <w:rPr>
          <w:rStyle w:val="Odkaznavysvtlivky"/>
          <w:szCs w:val="22"/>
        </w:rPr>
        <w:endnoteReference w:id="16"/>
      </w:r>
    </w:p>
    <w:p w14:paraId="14782712" w14:textId="77777777" w:rsidR="006A6403" w:rsidRDefault="006A6403">
      <w:pPr>
        <w:spacing w:after="120"/>
      </w:pPr>
    </w:p>
    <w:p w14:paraId="607FA95D" w14:textId="77777777" w:rsidR="006A6403" w:rsidRDefault="00BB7AA9">
      <w:pPr>
        <w:pStyle w:val="Nadpis1"/>
        <w:numPr>
          <w:ilvl w:val="1"/>
          <w:numId w:val="18"/>
        </w:numPr>
        <w:ind w:left="1440" w:hanging="292"/>
        <w:rPr>
          <w:szCs w:val="22"/>
        </w:rPr>
      </w:pPr>
      <w:r>
        <w:rPr>
          <w:szCs w:val="22"/>
        </w:rPr>
        <w:t>Ostatní dopady</w:t>
      </w:r>
    </w:p>
    <w:p w14:paraId="1C914E19" w14:textId="77777777" w:rsidR="006A6403" w:rsidRDefault="00BB7AA9">
      <w:pPr>
        <w:spacing w:before="120"/>
        <w:rPr>
          <w:sz w:val="18"/>
          <w:szCs w:val="18"/>
        </w:rPr>
      </w:pPr>
      <w:r>
        <w:rPr>
          <w:sz w:val="18"/>
          <w:szCs w:val="18"/>
        </w:rPr>
        <w:t>(Pozn.: Pokud má požadavek dopady do dalších požadavků MZe, uveďte je také v tomto bodu.)</w:t>
      </w:r>
    </w:p>
    <w:p w14:paraId="0D6DCB7C" w14:textId="77777777" w:rsidR="006A6403" w:rsidRDefault="006A6403">
      <w:pPr>
        <w:rPr>
          <w:szCs w:val="22"/>
        </w:rPr>
      </w:pPr>
    </w:p>
    <w:p w14:paraId="48240294" w14:textId="77777777" w:rsidR="006A6403" w:rsidRDefault="00BB7AA9">
      <w:pPr>
        <w:pStyle w:val="Nadpis1"/>
        <w:numPr>
          <w:ilvl w:val="0"/>
          <w:numId w:val="1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A6403" w14:paraId="068763D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83B9E4" w14:textId="77777777" w:rsidR="006A6403" w:rsidRDefault="00BB7AA9">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F164D" w14:textId="77777777" w:rsidR="006A6403" w:rsidRDefault="00BB7AA9">
            <w:pPr>
              <w:rPr>
                <w:b/>
                <w:bCs/>
                <w:color w:val="000000"/>
                <w:szCs w:val="22"/>
                <w:lang w:eastAsia="cs-CZ"/>
              </w:rPr>
            </w:pPr>
            <w:r>
              <w:rPr>
                <w:b/>
                <w:bCs/>
                <w:color w:val="000000"/>
                <w:szCs w:val="22"/>
                <w:lang w:eastAsia="cs-CZ"/>
              </w:rPr>
              <w:t>Popis požadavku na součinnost</w:t>
            </w:r>
          </w:p>
        </w:tc>
      </w:tr>
      <w:tr w:rsidR="006A6403" w14:paraId="72B91A22" w14:textId="77777777">
        <w:trPr>
          <w:trHeight w:val="284"/>
        </w:trPr>
        <w:tc>
          <w:tcPr>
            <w:tcW w:w="2126" w:type="dxa"/>
            <w:tcBorders>
              <w:right w:val="dotted" w:sz="4" w:space="0" w:color="auto"/>
            </w:tcBorders>
            <w:shd w:val="clear" w:color="auto" w:fill="auto"/>
            <w:noWrap/>
            <w:vAlign w:val="bottom"/>
          </w:tcPr>
          <w:p w14:paraId="130DD6BF" w14:textId="77777777" w:rsidR="006A6403" w:rsidRDefault="00BB7AA9">
            <w:pPr>
              <w:rPr>
                <w:color w:val="000000"/>
                <w:szCs w:val="22"/>
                <w:lang w:eastAsia="cs-CZ"/>
              </w:rPr>
            </w:pPr>
            <w:r>
              <w:rPr>
                <w:color w:val="000000"/>
                <w:szCs w:val="22"/>
                <w:lang w:eastAsia="cs-CZ"/>
              </w:rPr>
              <w:t>MZe /SZIF</w:t>
            </w:r>
          </w:p>
        </w:tc>
        <w:tc>
          <w:tcPr>
            <w:tcW w:w="7654" w:type="dxa"/>
            <w:tcBorders>
              <w:left w:val="dotted" w:sz="4" w:space="0" w:color="auto"/>
              <w:right w:val="dotted" w:sz="4" w:space="0" w:color="auto"/>
            </w:tcBorders>
            <w:shd w:val="clear" w:color="auto" w:fill="auto"/>
            <w:noWrap/>
            <w:vAlign w:val="bottom"/>
          </w:tcPr>
          <w:p w14:paraId="14F4143D" w14:textId="77777777" w:rsidR="006A6403" w:rsidRDefault="00BB7AA9">
            <w:pPr>
              <w:rPr>
                <w:color w:val="000000"/>
                <w:szCs w:val="22"/>
                <w:lang w:eastAsia="cs-CZ"/>
              </w:rPr>
            </w:pPr>
            <w:r>
              <w:rPr>
                <w:color w:val="000000"/>
                <w:szCs w:val="22"/>
                <w:lang w:eastAsia="cs-CZ"/>
              </w:rPr>
              <w:t>Součinnost při testování</w:t>
            </w:r>
          </w:p>
        </w:tc>
      </w:tr>
      <w:tr w:rsidR="006A6403" w14:paraId="5ACA9978" w14:textId="77777777">
        <w:trPr>
          <w:trHeight w:val="284"/>
        </w:trPr>
        <w:tc>
          <w:tcPr>
            <w:tcW w:w="2126" w:type="dxa"/>
            <w:tcBorders>
              <w:right w:val="dotted" w:sz="4" w:space="0" w:color="auto"/>
            </w:tcBorders>
            <w:shd w:val="clear" w:color="auto" w:fill="auto"/>
            <w:noWrap/>
            <w:vAlign w:val="bottom"/>
          </w:tcPr>
          <w:p w14:paraId="422C9079" w14:textId="77777777" w:rsidR="006A6403" w:rsidRDefault="006A6403">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2AF5131" w14:textId="77777777" w:rsidR="006A6403" w:rsidRDefault="006A6403">
            <w:pPr>
              <w:rPr>
                <w:color w:val="000000"/>
                <w:szCs w:val="22"/>
                <w:lang w:eastAsia="cs-CZ"/>
              </w:rPr>
            </w:pPr>
          </w:p>
        </w:tc>
      </w:tr>
    </w:tbl>
    <w:p w14:paraId="296E742D" w14:textId="77777777" w:rsidR="006A6403" w:rsidRDefault="00BB7AA9">
      <w:pPr>
        <w:rPr>
          <w:sz w:val="18"/>
          <w:szCs w:val="18"/>
        </w:rPr>
      </w:pPr>
      <w:r>
        <w:rPr>
          <w:sz w:val="18"/>
          <w:szCs w:val="18"/>
        </w:rPr>
        <w:t>(Pozn.: K popisu požadavku uveďte etapu, kdy bude součinnost vyžadována.)</w:t>
      </w:r>
    </w:p>
    <w:p w14:paraId="0D6BA530" w14:textId="77777777" w:rsidR="006A6403" w:rsidRDefault="006A6403"/>
    <w:p w14:paraId="75ACD6CF" w14:textId="77777777" w:rsidR="006A6403" w:rsidRDefault="006A6403"/>
    <w:p w14:paraId="02B9C222" w14:textId="77777777" w:rsidR="006A6403" w:rsidRDefault="00BB7AA9">
      <w:pPr>
        <w:pStyle w:val="Nadpis1"/>
        <w:numPr>
          <w:ilvl w:val="0"/>
          <w:numId w:val="18"/>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6A6403" w14:paraId="0AD71BF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593A71" w14:textId="77777777" w:rsidR="006A6403" w:rsidRDefault="00BB7AA9">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923BB5A" w14:textId="77777777" w:rsidR="006A6403" w:rsidRDefault="00BB7AA9">
            <w:pPr>
              <w:rPr>
                <w:b/>
                <w:bCs/>
                <w:color w:val="000000"/>
                <w:szCs w:val="22"/>
                <w:lang w:eastAsia="cs-CZ"/>
              </w:rPr>
            </w:pPr>
            <w:r>
              <w:rPr>
                <w:b/>
                <w:bCs/>
                <w:color w:val="000000"/>
                <w:szCs w:val="22"/>
                <w:lang w:eastAsia="cs-CZ"/>
              </w:rPr>
              <w:t>Termín</w:t>
            </w:r>
          </w:p>
        </w:tc>
      </w:tr>
      <w:tr w:rsidR="006A6403" w14:paraId="502DBEE4" w14:textId="77777777">
        <w:trPr>
          <w:trHeight w:val="284"/>
        </w:trPr>
        <w:tc>
          <w:tcPr>
            <w:tcW w:w="7229" w:type="dxa"/>
            <w:tcBorders>
              <w:right w:val="dotted" w:sz="4" w:space="0" w:color="auto"/>
            </w:tcBorders>
            <w:shd w:val="clear" w:color="auto" w:fill="auto"/>
            <w:noWrap/>
            <w:vAlign w:val="bottom"/>
          </w:tcPr>
          <w:p w14:paraId="79581237" w14:textId="77777777" w:rsidR="006A6403" w:rsidRDefault="00BB7AA9">
            <w:pPr>
              <w:rPr>
                <w:color w:val="000000"/>
                <w:szCs w:val="22"/>
                <w:lang w:eastAsia="cs-CZ"/>
              </w:rPr>
            </w:pPr>
            <w:r>
              <w:rPr>
                <w:color w:val="000000"/>
                <w:szCs w:val="22"/>
                <w:lang w:eastAsia="cs-CZ"/>
              </w:rPr>
              <w:t>Dokumentace, akceptace</w:t>
            </w:r>
          </w:p>
        </w:tc>
        <w:tc>
          <w:tcPr>
            <w:tcW w:w="2552" w:type="dxa"/>
            <w:tcBorders>
              <w:left w:val="dotted" w:sz="4" w:space="0" w:color="auto"/>
            </w:tcBorders>
            <w:shd w:val="clear" w:color="auto" w:fill="auto"/>
            <w:vAlign w:val="bottom"/>
          </w:tcPr>
          <w:p w14:paraId="42BFB91F" w14:textId="77777777" w:rsidR="006A6403" w:rsidRDefault="00BB7AA9">
            <w:pPr>
              <w:rPr>
                <w:color w:val="000000"/>
                <w:szCs w:val="22"/>
                <w:lang w:eastAsia="cs-CZ"/>
              </w:rPr>
            </w:pPr>
            <w:r>
              <w:rPr>
                <w:color w:val="000000"/>
                <w:szCs w:val="22"/>
                <w:lang w:eastAsia="cs-CZ"/>
              </w:rPr>
              <w:t>30.9.2022</w:t>
            </w:r>
          </w:p>
        </w:tc>
      </w:tr>
    </w:tbl>
    <w:p w14:paraId="06010880" w14:textId="77777777" w:rsidR="006A6403" w:rsidRDefault="00BB7AA9">
      <w:pPr>
        <w:rPr>
          <w:sz w:val="18"/>
          <w:szCs w:val="18"/>
        </w:rPr>
      </w:pPr>
      <w:r>
        <w:rPr>
          <w:sz w:val="18"/>
          <w:szCs w:val="18"/>
        </w:rPr>
        <w:t>*/ Upozornění: Uvedený harmonogram je platný v případě, že Dodavatel obdrží objednávku do17.06.2022. V případě pozdějšího data objednání si Dodavatel vyhrazuje právo na úpravu harmonogramu v závislosti na aktuálním vytížení kapacit daného realizačního týmu Dodavatele či stanovení priorit ze strany Objednatele.</w:t>
      </w:r>
    </w:p>
    <w:p w14:paraId="70AFB78A" w14:textId="77777777" w:rsidR="006A6403" w:rsidRDefault="006A6403">
      <w:pPr>
        <w:rPr>
          <w:sz w:val="18"/>
          <w:szCs w:val="18"/>
        </w:rPr>
      </w:pPr>
    </w:p>
    <w:p w14:paraId="20212D4F" w14:textId="77777777" w:rsidR="006A6403" w:rsidRDefault="00BB7AA9">
      <w:pPr>
        <w:pStyle w:val="Nadpis1"/>
        <w:numPr>
          <w:ilvl w:val="0"/>
          <w:numId w:val="18"/>
        </w:numPr>
        <w:ind w:left="284" w:hanging="284"/>
        <w:rPr>
          <w:szCs w:val="22"/>
        </w:rPr>
      </w:pPr>
      <w:r>
        <w:rPr>
          <w:szCs w:val="22"/>
        </w:rPr>
        <w:t>Pracnost a cenová nabídka navrhovaného řešení</w:t>
      </w:r>
    </w:p>
    <w:p w14:paraId="33D3F310" w14:textId="77777777" w:rsidR="006A6403" w:rsidRDefault="00BB7AA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A6403" w14:paraId="33ABC842" w14:textId="77777777">
        <w:tc>
          <w:tcPr>
            <w:tcW w:w="1843" w:type="dxa"/>
            <w:tcBorders>
              <w:top w:val="single" w:sz="8" w:space="0" w:color="auto"/>
              <w:left w:val="single" w:sz="8" w:space="0" w:color="auto"/>
              <w:bottom w:val="single" w:sz="8" w:space="0" w:color="auto"/>
              <w:right w:val="single" w:sz="8" w:space="0" w:color="auto"/>
            </w:tcBorders>
          </w:tcPr>
          <w:p w14:paraId="65206B9A" w14:textId="77777777" w:rsidR="006A6403" w:rsidRDefault="00BB7AA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7CCD507" w14:textId="77777777" w:rsidR="006A6403" w:rsidRDefault="00BB7AA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8153E76" w14:textId="77777777" w:rsidR="006A6403" w:rsidRDefault="00BB7AA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20A3BA9" w14:textId="77777777" w:rsidR="006A6403" w:rsidRDefault="00BB7AA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D9FB9E8" w14:textId="77777777" w:rsidR="006A6403" w:rsidRDefault="00BB7AA9">
            <w:pPr>
              <w:pStyle w:val="Tabulka"/>
              <w:rPr>
                <w:b/>
                <w:szCs w:val="22"/>
              </w:rPr>
            </w:pPr>
            <w:r>
              <w:rPr>
                <w:b/>
                <w:szCs w:val="22"/>
              </w:rPr>
              <w:t>v Kč s DPH</w:t>
            </w:r>
          </w:p>
        </w:tc>
      </w:tr>
      <w:tr w:rsidR="006A6403" w14:paraId="6DC469C4" w14:textId="77777777">
        <w:trPr>
          <w:trHeight w:hRule="exact" w:val="20"/>
        </w:trPr>
        <w:tc>
          <w:tcPr>
            <w:tcW w:w="1843" w:type="dxa"/>
            <w:tcBorders>
              <w:top w:val="single" w:sz="8" w:space="0" w:color="auto"/>
              <w:left w:val="dotted" w:sz="4" w:space="0" w:color="auto"/>
            </w:tcBorders>
          </w:tcPr>
          <w:p w14:paraId="602E50AF" w14:textId="77777777" w:rsidR="006A6403" w:rsidRDefault="006A6403">
            <w:pPr>
              <w:pStyle w:val="Tabulka"/>
              <w:rPr>
                <w:szCs w:val="22"/>
              </w:rPr>
            </w:pPr>
          </w:p>
        </w:tc>
        <w:tc>
          <w:tcPr>
            <w:tcW w:w="3544" w:type="dxa"/>
            <w:tcBorders>
              <w:top w:val="single" w:sz="8" w:space="0" w:color="auto"/>
              <w:left w:val="dotted" w:sz="4" w:space="0" w:color="auto"/>
            </w:tcBorders>
          </w:tcPr>
          <w:p w14:paraId="6BDA3911" w14:textId="77777777" w:rsidR="006A6403" w:rsidRDefault="006A6403">
            <w:pPr>
              <w:pStyle w:val="Tabulka"/>
              <w:rPr>
                <w:szCs w:val="22"/>
              </w:rPr>
            </w:pPr>
          </w:p>
        </w:tc>
        <w:tc>
          <w:tcPr>
            <w:tcW w:w="1275" w:type="dxa"/>
            <w:tcBorders>
              <w:top w:val="single" w:sz="8" w:space="0" w:color="auto"/>
            </w:tcBorders>
          </w:tcPr>
          <w:p w14:paraId="2DCC25CE" w14:textId="77777777" w:rsidR="006A6403" w:rsidRDefault="006A6403">
            <w:pPr>
              <w:pStyle w:val="Tabulka"/>
              <w:rPr>
                <w:szCs w:val="22"/>
              </w:rPr>
            </w:pPr>
          </w:p>
        </w:tc>
        <w:tc>
          <w:tcPr>
            <w:tcW w:w="1560" w:type="dxa"/>
            <w:tcBorders>
              <w:top w:val="single" w:sz="8" w:space="0" w:color="auto"/>
            </w:tcBorders>
          </w:tcPr>
          <w:p w14:paraId="0BD32795" w14:textId="77777777" w:rsidR="006A6403" w:rsidRDefault="006A6403">
            <w:pPr>
              <w:pStyle w:val="Tabulka"/>
              <w:rPr>
                <w:szCs w:val="22"/>
              </w:rPr>
            </w:pPr>
          </w:p>
        </w:tc>
        <w:tc>
          <w:tcPr>
            <w:tcW w:w="1557" w:type="dxa"/>
            <w:tcBorders>
              <w:top w:val="single" w:sz="8" w:space="0" w:color="auto"/>
            </w:tcBorders>
          </w:tcPr>
          <w:p w14:paraId="3EA22724" w14:textId="77777777" w:rsidR="006A6403" w:rsidRDefault="006A6403">
            <w:pPr>
              <w:pStyle w:val="Tabulka"/>
              <w:rPr>
                <w:szCs w:val="22"/>
              </w:rPr>
            </w:pPr>
          </w:p>
        </w:tc>
      </w:tr>
      <w:tr w:rsidR="006A6403" w14:paraId="4EFDCFE3" w14:textId="77777777">
        <w:trPr>
          <w:trHeight w:val="397"/>
        </w:trPr>
        <w:tc>
          <w:tcPr>
            <w:tcW w:w="1843" w:type="dxa"/>
            <w:tcBorders>
              <w:top w:val="dotted" w:sz="4" w:space="0" w:color="auto"/>
              <w:left w:val="dotted" w:sz="4" w:space="0" w:color="auto"/>
            </w:tcBorders>
          </w:tcPr>
          <w:p w14:paraId="231A6E4E" w14:textId="77777777" w:rsidR="006A6403" w:rsidRDefault="006A6403">
            <w:pPr>
              <w:pStyle w:val="Tabulka"/>
              <w:rPr>
                <w:szCs w:val="22"/>
              </w:rPr>
            </w:pPr>
          </w:p>
        </w:tc>
        <w:tc>
          <w:tcPr>
            <w:tcW w:w="3544" w:type="dxa"/>
            <w:tcBorders>
              <w:top w:val="dotted" w:sz="4" w:space="0" w:color="auto"/>
              <w:left w:val="dotted" w:sz="4" w:space="0" w:color="auto"/>
            </w:tcBorders>
          </w:tcPr>
          <w:p w14:paraId="4806619B" w14:textId="77777777" w:rsidR="006A6403" w:rsidRDefault="00BB7AA9">
            <w:pPr>
              <w:pStyle w:val="Tabulka"/>
              <w:rPr>
                <w:szCs w:val="22"/>
              </w:rPr>
            </w:pPr>
            <w:r>
              <w:rPr>
                <w:szCs w:val="22"/>
              </w:rPr>
              <w:t>Viz cenová nabídka v příloze č.01</w:t>
            </w:r>
          </w:p>
        </w:tc>
        <w:tc>
          <w:tcPr>
            <w:tcW w:w="1275" w:type="dxa"/>
            <w:tcBorders>
              <w:top w:val="dotted" w:sz="4" w:space="0" w:color="auto"/>
            </w:tcBorders>
          </w:tcPr>
          <w:p w14:paraId="37DB44C9" w14:textId="77777777" w:rsidR="006A6403" w:rsidRDefault="00BB7AA9">
            <w:pPr>
              <w:pStyle w:val="Tabulka"/>
              <w:jc w:val="center"/>
              <w:rPr>
                <w:szCs w:val="22"/>
              </w:rPr>
            </w:pPr>
            <w:r>
              <w:rPr>
                <w:szCs w:val="22"/>
              </w:rPr>
              <w:t>204,500</w:t>
            </w:r>
          </w:p>
        </w:tc>
        <w:tc>
          <w:tcPr>
            <w:tcW w:w="1560" w:type="dxa"/>
            <w:tcBorders>
              <w:top w:val="dotted" w:sz="4" w:space="0" w:color="auto"/>
            </w:tcBorders>
          </w:tcPr>
          <w:p w14:paraId="71EAA5D0" w14:textId="77777777" w:rsidR="006A6403" w:rsidRDefault="00BB7AA9">
            <w:pPr>
              <w:pStyle w:val="Tabulka"/>
              <w:rPr>
                <w:szCs w:val="22"/>
              </w:rPr>
            </w:pPr>
            <w:r>
              <w:t>1 820 050,00</w:t>
            </w:r>
          </w:p>
        </w:tc>
        <w:tc>
          <w:tcPr>
            <w:tcW w:w="1557" w:type="dxa"/>
            <w:tcBorders>
              <w:top w:val="dotted" w:sz="4" w:space="0" w:color="auto"/>
            </w:tcBorders>
          </w:tcPr>
          <w:p w14:paraId="51E811C0" w14:textId="77777777" w:rsidR="006A6403" w:rsidRDefault="00BB7AA9">
            <w:pPr>
              <w:pStyle w:val="Tabulka"/>
              <w:rPr>
                <w:szCs w:val="22"/>
              </w:rPr>
            </w:pPr>
            <w:r>
              <w:t>2 202 260,50</w:t>
            </w:r>
          </w:p>
        </w:tc>
      </w:tr>
      <w:tr w:rsidR="006A6403" w14:paraId="260D2A93" w14:textId="77777777">
        <w:trPr>
          <w:trHeight w:val="397"/>
        </w:trPr>
        <w:tc>
          <w:tcPr>
            <w:tcW w:w="5387" w:type="dxa"/>
            <w:gridSpan w:val="2"/>
            <w:tcBorders>
              <w:left w:val="dotted" w:sz="4" w:space="0" w:color="auto"/>
              <w:bottom w:val="dotted" w:sz="4" w:space="0" w:color="auto"/>
            </w:tcBorders>
          </w:tcPr>
          <w:p w14:paraId="7A1D08D5" w14:textId="77777777" w:rsidR="006A6403" w:rsidRDefault="00BB7AA9">
            <w:pPr>
              <w:pStyle w:val="Tabulka"/>
              <w:rPr>
                <w:b/>
                <w:szCs w:val="22"/>
              </w:rPr>
            </w:pPr>
            <w:r>
              <w:rPr>
                <w:b/>
                <w:szCs w:val="22"/>
              </w:rPr>
              <w:t>Celkem:</w:t>
            </w:r>
          </w:p>
        </w:tc>
        <w:tc>
          <w:tcPr>
            <w:tcW w:w="1275" w:type="dxa"/>
            <w:tcBorders>
              <w:bottom w:val="dotted" w:sz="4" w:space="0" w:color="auto"/>
            </w:tcBorders>
          </w:tcPr>
          <w:p w14:paraId="46E8DD9F" w14:textId="77777777" w:rsidR="006A6403" w:rsidRDefault="00BB7AA9">
            <w:pPr>
              <w:pStyle w:val="Tabulka"/>
              <w:jc w:val="center"/>
              <w:rPr>
                <w:szCs w:val="22"/>
              </w:rPr>
            </w:pPr>
            <w:r>
              <w:rPr>
                <w:szCs w:val="22"/>
              </w:rPr>
              <w:t>204,500</w:t>
            </w:r>
          </w:p>
        </w:tc>
        <w:tc>
          <w:tcPr>
            <w:tcW w:w="1560" w:type="dxa"/>
            <w:tcBorders>
              <w:bottom w:val="dotted" w:sz="4" w:space="0" w:color="auto"/>
            </w:tcBorders>
          </w:tcPr>
          <w:p w14:paraId="6E8AFB8B" w14:textId="77777777" w:rsidR="006A6403" w:rsidRDefault="00BB7AA9">
            <w:pPr>
              <w:pStyle w:val="Tabulka"/>
              <w:rPr>
                <w:szCs w:val="22"/>
              </w:rPr>
            </w:pPr>
            <w:r>
              <w:t>1 820 050,00</w:t>
            </w:r>
          </w:p>
        </w:tc>
        <w:tc>
          <w:tcPr>
            <w:tcW w:w="1557" w:type="dxa"/>
            <w:tcBorders>
              <w:bottom w:val="dotted" w:sz="4" w:space="0" w:color="auto"/>
            </w:tcBorders>
          </w:tcPr>
          <w:p w14:paraId="64E0FB14" w14:textId="77777777" w:rsidR="006A6403" w:rsidRDefault="00BB7AA9">
            <w:pPr>
              <w:pStyle w:val="Tabulka"/>
              <w:rPr>
                <w:szCs w:val="22"/>
              </w:rPr>
            </w:pPr>
            <w:r>
              <w:t>2 202 260,50</w:t>
            </w:r>
          </w:p>
        </w:tc>
      </w:tr>
    </w:tbl>
    <w:p w14:paraId="622709FD" w14:textId="77777777" w:rsidR="006A6403" w:rsidRDefault="006A6403">
      <w:pPr>
        <w:rPr>
          <w:sz w:val="8"/>
          <w:szCs w:val="8"/>
        </w:rPr>
      </w:pPr>
    </w:p>
    <w:p w14:paraId="0EB71EC8" w14:textId="77777777" w:rsidR="006A6403" w:rsidRDefault="00BB7AA9">
      <w:pPr>
        <w:rPr>
          <w:sz w:val="18"/>
          <w:szCs w:val="18"/>
        </w:rPr>
      </w:pPr>
      <w:r>
        <w:rPr>
          <w:sz w:val="18"/>
          <w:szCs w:val="18"/>
        </w:rPr>
        <w:t>(Pozn.: MD – člověkoden, MJ – měrná jednotka, např. počet kusů)</w:t>
      </w:r>
    </w:p>
    <w:p w14:paraId="22249967" w14:textId="77777777" w:rsidR="006A6403" w:rsidRDefault="006A6403"/>
    <w:p w14:paraId="711DC77A" w14:textId="77777777" w:rsidR="006A6403" w:rsidRDefault="006A6403"/>
    <w:p w14:paraId="1E7A82F7" w14:textId="77777777" w:rsidR="006A6403" w:rsidRDefault="00BB7AA9">
      <w:pPr>
        <w:pStyle w:val="Nadpis1"/>
        <w:numPr>
          <w:ilvl w:val="0"/>
          <w:numId w:val="1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A6403" w14:paraId="65405CF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FF0A15" w14:textId="77777777" w:rsidR="006A6403" w:rsidRDefault="00BB7AA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2A4FD" w14:textId="77777777" w:rsidR="006A6403" w:rsidRDefault="00BB7AA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4F06431" w14:textId="77777777" w:rsidR="006A6403" w:rsidRDefault="00BB7AA9">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6A6403" w14:paraId="1723540B" w14:textId="77777777">
        <w:trPr>
          <w:trHeight w:val="284"/>
        </w:trPr>
        <w:tc>
          <w:tcPr>
            <w:tcW w:w="710" w:type="dxa"/>
            <w:tcBorders>
              <w:right w:val="dotted" w:sz="4" w:space="0" w:color="auto"/>
            </w:tcBorders>
            <w:shd w:val="clear" w:color="auto" w:fill="auto"/>
            <w:noWrap/>
            <w:vAlign w:val="bottom"/>
          </w:tcPr>
          <w:p w14:paraId="713ADC79" w14:textId="77777777" w:rsidR="006A6403" w:rsidRDefault="00BB7AA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A28F402" w14:textId="77777777" w:rsidR="006A6403" w:rsidRDefault="00BB7AA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025D9DB" w14:textId="77777777" w:rsidR="006A6403" w:rsidRDefault="00BB7AA9">
            <w:pPr>
              <w:rPr>
                <w:color w:val="000000"/>
                <w:szCs w:val="22"/>
                <w:lang w:eastAsia="cs-CZ"/>
              </w:rPr>
            </w:pPr>
            <w:r>
              <w:rPr>
                <w:color w:val="000000"/>
                <w:szCs w:val="22"/>
                <w:lang w:eastAsia="cs-CZ"/>
              </w:rPr>
              <w:t>Listinná forma</w:t>
            </w:r>
          </w:p>
        </w:tc>
      </w:tr>
      <w:tr w:rsidR="006A6403" w14:paraId="48C72187" w14:textId="77777777">
        <w:trPr>
          <w:trHeight w:val="284"/>
        </w:trPr>
        <w:tc>
          <w:tcPr>
            <w:tcW w:w="710" w:type="dxa"/>
            <w:tcBorders>
              <w:right w:val="dotted" w:sz="4" w:space="0" w:color="auto"/>
            </w:tcBorders>
            <w:shd w:val="clear" w:color="auto" w:fill="auto"/>
            <w:noWrap/>
            <w:vAlign w:val="bottom"/>
          </w:tcPr>
          <w:p w14:paraId="415BE74A" w14:textId="77777777" w:rsidR="006A6403" w:rsidRDefault="00BB7AA9">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DC4CBAF" w14:textId="77777777" w:rsidR="006A6403" w:rsidRDefault="00BB7AA9">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1C6F58F" w14:textId="77777777" w:rsidR="006A6403" w:rsidRDefault="00BB7AA9">
            <w:pPr>
              <w:rPr>
                <w:color w:val="000000"/>
                <w:szCs w:val="22"/>
                <w:lang w:eastAsia="cs-CZ"/>
              </w:rPr>
            </w:pPr>
            <w:r>
              <w:rPr>
                <w:color w:val="000000"/>
                <w:szCs w:val="22"/>
                <w:lang w:eastAsia="cs-CZ"/>
              </w:rPr>
              <w:t>e-mailem</w:t>
            </w:r>
          </w:p>
        </w:tc>
      </w:tr>
    </w:tbl>
    <w:p w14:paraId="1A5E02D4" w14:textId="77777777" w:rsidR="006A6403" w:rsidRDefault="006A6403"/>
    <w:p w14:paraId="239F2DC6" w14:textId="77777777" w:rsidR="006A6403" w:rsidRDefault="006A6403"/>
    <w:p w14:paraId="2CABC598" w14:textId="77777777" w:rsidR="006A6403" w:rsidRDefault="00BB7AA9">
      <w:pPr>
        <w:pStyle w:val="Nadpis1"/>
        <w:numPr>
          <w:ilvl w:val="0"/>
          <w:numId w:val="18"/>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A6403" w14:paraId="3F4BC48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C828B1" w14:textId="77777777" w:rsidR="006A6403" w:rsidRDefault="00BB7AA9">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DCDEB4A" w14:textId="77777777" w:rsidR="006A6403" w:rsidRDefault="00BB7AA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FC83951" w14:textId="77777777" w:rsidR="006A6403" w:rsidRDefault="00BB7AA9">
            <w:pPr>
              <w:rPr>
                <w:b/>
                <w:bCs/>
                <w:color w:val="000000"/>
                <w:szCs w:val="22"/>
                <w:lang w:eastAsia="cs-CZ"/>
              </w:rPr>
            </w:pPr>
            <w:r>
              <w:rPr>
                <w:b/>
                <w:bCs/>
                <w:color w:val="000000"/>
                <w:szCs w:val="22"/>
                <w:lang w:eastAsia="cs-CZ"/>
              </w:rPr>
              <w:t>Podpis</w:t>
            </w:r>
          </w:p>
        </w:tc>
      </w:tr>
      <w:tr w:rsidR="006A6403" w14:paraId="60F3CA73" w14:textId="77777777">
        <w:trPr>
          <w:trHeight w:val="1183"/>
        </w:trPr>
        <w:tc>
          <w:tcPr>
            <w:tcW w:w="3114" w:type="dxa"/>
            <w:shd w:val="clear" w:color="auto" w:fill="auto"/>
            <w:noWrap/>
            <w:vAlign w:val="center"/>
          </w:tcPr>
          <w:p w14:paraId="58C00CE5" w14:textId="77777777" w:rsidR="006A6403" w:rsidRDefault="00BB7AA9">
            <w:pPr>
              <w:rPr>
                <w:color w:val="000000"/>
                <w:szCs w:val="22"/>
                <w:lang w:eastAsia="cs-CZ"/>
              </w:rPr>
            </w:pPr>
            <w:r>
              <w:rPr>
                <w:color w:val="000000"/>
                <w:szCs w:val="22"/>
                <w:lang w:eastAsia="cs-CZ"/>
              </w:rPr>
              <w:t>O2 IT Services s.r.o.</w:t>
            </w:r>
          </w:p>
        </w:tc>
        <w:tc>
          <w:tcPr>
            <w:tcW w:w="3118" w:type="dxa"/>
            <w:vAlign w:val="center"/>
          </w:tcPr>
          <w:p w14:paraId="5ABB8575" w14:textId="6F6BB7D5" w:rsidR="006A6403" w:rsidRDefault="00987B4C">
            <w:pPr>
              <w:rPr>
                <w:color w:val="000000"/>
                <w:szCs w:val="22"/>
                <w:lang w:eastAsia="cs-CZ"/>
              </w:rPr>
            </w:pPr>
            <w:r>
              <w:rPr>
                <w:color w:val="000000"/>
                <w:szCs w:val="22"/>
                <w:lang w:eastAsia="cs-CZ"/>
              </w:rPr>
              <w:t>xxx</w:t>
            </w:r>
          </w:p>
        </w:tc>
        <w:tc>
          <w:tcPr>
            <w:tcW w:w="3544" w:type="dxa"/>
            <w:shd w:val="clear" w:color="auto" w:fill="auto"/>
            <w:vAlign w:val="center"/>
          </w:tcPr>
          <w:p w14:paraId="66FBB24B" w14:textId="77777777" w:rsidR="006A6403" w:rsidRDefault="006A6403">
            <w:pPr>
              <w:ind w:right="72"/>
              <w:rPr>
                <w:color w:val="000000"/>
                <w:szCs w:val="22"/>
                <w:lang w:eastAsia="cs-CZ"/>
              </w:rPr>
            </w:pPr>
          </w:p>
        </w:tc>
      </w:tr>
    </w:tbl>
    <w:p w14:paraId="03AA8A81" w14:textId="77777777" w:rsidR="006A6403" w:rsidRDefault="006A6403">
      <w:pPr>
        <w:rPr>
          <w:szCs w:val="22"/>
        </w:rPr>
      </w:pPr>
    </w:p>
    <w:p w14:paraId="4090197B" w14:textId="77777777" w:rsidR="006A6403" w:rsidRDefault="00BB7AA9">
      <w:pPr>
        <w:rPr>
          <w:b/>
          <w:caps/>
          <w:szCs w:val="22"/>
        </w:rPr>
      </w:pPr>
      <w:r>
        <w:rPr>
          <w:b/>
          <w:caps/>
          <w:szCs w:val="22"/>
        </w:rPr>
        <w:br w:type="page"/>
      </w:r>
    </w:p>
    <w:p w14:paraId="732E5A5F" w14:textId="77777777" w:rsidR="006A6403" w:rsidRDefault="006A6403">
      <w:pPr>
        <w:rPr>
          <w:b/>
          <w:caps/>
          <w:szCs w:val="22"/>
        </w:rPr>
        <w:sectPr w:rsidR="006A6403">
          <w:headerReference w:type="even" r:id="rId13"/>
          <w:headerReference w:type="default" r:id="rId14"/>
          <w:footerReference w:type="even" r:id="rId15"/>
          <w:footerReference w:type="default" r:id="rId16"/>
          <w:headerReference w:type="first" r:id="rId17"/>
          <w:footerReference w:type="first" r:id="rId18"/>
          <w:pgSz w:w="11906" w:h="16838"/>
          <w:pgMar w:top="1560" w:right="1418" w:bottom="1134" w:left="992" w:header="567" w:footer="567" w:gutter="0"/>
          <w:pgNumType w:start="1"/>
          <w:cols w:space="708"/>
          <w:docGrid w:linePitch="360"/>
        </w:sectPr>
      </w:pPr>
    </w:p>
    <w:p w14:paraId="544DF4C8" w14:textId="77777777" w:rsidR="006A6403" w:rsidRDefault="00BB7AA9">
      <w:pPr>
        <w:rPr>
          <w:b/>
          <w:caps/>
          <w:szCs w:val="22"/>
        </w:rPr>
      </w:pPr>
      <w:r>
        <w:rPr>
          <w:b/>
          <w:caps/>
          <w:szCs w:val="22"/>
        </w:rPr>
        <w:lastRenderedPageBreak/>
        <w:t>C – Schválení realizace požadavku Z34337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A6403" w14:paraId="3E2C3D99" w14:textId="77777777">
        <w:tc>
          <w:tcPr>
            <w:tcW w:w="1701" w:type="dxa"/>
            <w:tcBorders>
              <w:top w:val="single" w:sz="8" w:space="0" w:color="auto"/>
              <w:left w:val="single" w:sz="8" w:space="0" w:color="auto"/>
              <w:bottom w:val="single" w:sz="8" w:space="0" w:color="auto"/>
            </w:tcBorders>
            <w:vAlign w:val="center"/>
          </w:tcPr>
          <w:p w14:paraId="4DB489AD" w14:textId="77777777" w:rsidR="006A6403" w:rsidRDefault="00BB7AA9">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21296B4" w14:textId="77777777" w:rsidR="006A6403" w:rsidRDefault="00BB7AA9">
            <w:pPr>
              <w:pStyle w:val="Tabulka"/>
              <w:rPr>
                <w:szCs w:val="22"/>
              </w:rPr>
            </w:pPr>
            <w:r>
              <w:rPr>
                <w:szCs w:val="22"/>
              </w:rPr>
              <w:t>686</w:t>
            </w:r>
          </w:p>
        </w:tc>
      </w:tr>
    </w:tbl>
    <w:p w14:paraId="4243F7FD" w14:textId="77777777" w:rsidR="006A6403" w:rsidRDefault="006A6403">
      <w:pPr>
        <w:rPr>
          <w:szCs w:val="22"/>
        </w:rPr>
      </w:pPr>
    </w:p>
    <w:p w14:paraId="448D83D8" w14:textId="77777777" w:rsidR="006A6403" w:rsidRDefault="00BB7AA9">
      <w:pPr>
        <w:pStyle w:val="Nadpis1"/>
        <w:numPr>
          <w:ilvl w:val="0"/>
          <w:numId w:val="17"/>
        </w:numPr>
        <w:ind w:left="284" w:hanging="284"/>
        <w:rPr>
          <w:szCs w:val="22"/>
        </w:rPr>
      </w:pPr>
      <w:r>
        <w:rPr>
          <w:szCs w:val="22"/>
        </w:rPr>
        <w:t>Specifikace plnění</w:t>
      </w:r>
    </w:p>
    <w:p w14:paraId="0407D4A2" w14:textId="77777777" w:rsidR="006A6403" w:rsidRDefault="00BB7AA9">
      <w:pPr>
        <w:spacing w:after="120"/>
      </w:pPr>
      <w:r>
        <w:t xml:space="preserve">Požadované plnění je specifikováno v části A a B tohoto RfC. </w:t>
      </w:r>
    </w:p>
    <w:p w14:paraId="3B74F231" w14:textId="77777777" w:rsidR="006A6403" w:rsidRDefault="00BB7AA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A6403" w14:paraId="391E51A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07C0324" w14:textId="77777777" w:rsidR="006A6403" w:rsidRDefault="00BB7AA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913E8B" w14:textId="77777777" w:rsidR="006A6403" w:rsidRDefault="00BB7AA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F191264" w14:textId="77777777" w:rsidR="006A6403" w:rsidRDefault="00BB7AA9">
            <w:pPr>
              <w:rPr>
                <w:rFonts w:ascii="Arial Narrow" w:hAnsi="Arial Narrow"/>
                <w:b/>
                <w:bCs/>
                <w:color w:val="000000"/>
                <w:szCs w:val="22"/>
                <w:lang w:eastAsia="cs-CZ"/>
              </w:rPr>
            </w:pPr>
            <w:r>
              <w:rPr>
                <w:rFonts w:ascii="Arial Narrow" w:hAnsi="Arial Narrow"/>
                <w:b/>
                <w:bCs/>
                <w:color w:val="000000"/>
                <w:szCs w:val="22"/>
                <w:lang w:eastAsia="cs-CZ"/>
              </w:rPr>
              <w:t>Realizovat</w:t>
            </w:r>
          </w:p>
          <w:p w14:paraId="5FE37380" w14:textId="77777777" w:rsidR="006A6403" w:rsidRDefault="00BB7AA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3D2CD64" w14:textId="77777777" w:rsidR="006A6403" w:rsidRDefault="00BB7AA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A6403" w14:paraId="0FF773BB"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B2ED206"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E3C1B07" w14:textId="77777777" w:rsidR="006A6403" w:rsidRDefault="00BB7AA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2E5B621"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18900FB" w14:textId="77777777" w:rsidR="006A6403" w:rsidRDefault="00BB7AA9">
            <w:pPr>
              <w:rPr>
                <w:color w:val="000000"/>
                <w:szCs w:val="22"/>
                <w:lang w:eastAsia="cs-CZ"/>
              </w:rPr>
            </w:pPr>
            <w:r>
              <w:rPr>
                <w:color w:val="000000"/>
                <w:szCs w:val="22"/>
                <w:lang w:eastAsia="cs-CZ"/>
              </w:rPr>
              <w:t>Bez dopadu</w:t>
            </w:r>
          </w:p>
        </w:tc>
      </w:tr>
      <w:tr w:rsidR="006A6403" w14:paraId="5B5E0DA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F788B"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9603B66" w14:textId="77777777" w:rsidR="006A6403" w:rsidRDefault="00BB7AA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D375CC"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A5AE05D" w14:textId="77777777" w:rsidR="006A6403" w:rsidRDefault="00BB7AA9">
            <w:pPr>
              <w:rPr>
                <w:color w:val="000000"/>
                <w:szCs w:val="22"/>
                <w:lang w:eastAsia="cs-CZ"/>
              </w:rPr>
            </w:pPr>
            <w:r>
              <w:rPr>
                <w:color w:val="000000"/>
                <w:szCs w:val="22"/>
                <w:lang w:eastAsia="cs-CZ"/>
              </w:rPr>
              <w:t>Bez dopadu</w:t>
            </w:r>
          </w:p>
        </w:tc>
      </w:tr>
      <w:tr w:rsidR="006A6403" w14:paraId="07DA82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3F8109"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461249" w14:textId="77777777" w:rsidR="006A6403" w:rsidRDefault="00BB7AA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0383018"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99DDAF" w14:textId="77777777" w:rsidR="006A6403" w:rsidRDefault="00BB7AA9">
            <w:pPr>
              <w:rPr>
                <w:color w:val="000000"/>
                <w:szCs w:val="22"/>
                <w:lang w:eastAsia="cs-CZ"/>
              </w:rPr>
            </w:pPr>
            <w:r>
              <w:rPr>
                <w:color w:val="000000"/>
                <w:szCs w:val="22"/>
                <w:lang w:eastAsia="cs-CZ"/>
              </w:rPr>
              <w:t>Bez dopadu</w:t>
            </w:r>
          </w:p>
        </w:tc>
      </w:tr>
      <w:tr w:rsidR="006A6403" w14:paraId="379845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BB1F55"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DE315" w14:textId="77777777" w:rsidR="006A6403" w:rsidRDefault="00BB7AA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EED895A"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BB0AC1" w14:textId="77777777" w:rsidR="006A6403" w:rsidRDefault="00BB7AA9">
            <w:pPr>
              <w:rPr>
                <w:color w:val="000000"/>
                <w:szCs w:val="22"/>
                <w:lang w:eastAsia="cs-CZ"/>
              </w:rPr>
            </w:pPr>
            <w:r>
              <w:rPr>
                <w:color w:val="000000"/>
                <w:szCs w:val="22"/>
                <w:lang w:eastAsia="cs-CZ"/>
              </w:rPr>
              <w:t>Bez dopadu</w:t>
            </w:r>
          </w:p>
        </w:tc>
      </w:tr>
      <w:tr w:rsidR="006A6403" w14:paraId="7D7CE6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ABA8EE"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7C9FDB" w14:textId="77777777" w:rsidR="006A6403" w:rsidRDefault="00BB7AA9">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0D75E4"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7083CB" w14:textId="77777777" w:rsidR="006A6403" w:rsidRDefault="00BB7AA9">
            <w:pPr>
              <w:rPr>
                <w:color w:val="000000"/>
                <w:szCs w:val="22"/>
                <w:lang w:eastAsia="cs-CZ"/>
              </w:rPr>
            </w:pPr>
            <w:r>
              <w:rPr>
                <w:color w:val="000000"/>
                <w:szCs w:val="22"/>
                <w:lang w:eastAsia="cs-CZ"/>
              </w:rPr>
              <w:t>Bez dopadu</w:t>
            </w:r>
          </w:p>
        </w:tc>
      </w:tr>
      <w:tr w:rsidR="006A6403" w14:paraId="623B42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9167DF"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4A9ADF" w14:textId="77777777" w:rsidR="006A6403" w:rsidRDefault="00BB7AA9">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D243414"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EEBFA8" w14:textId="77777777" w:rsidR="006A6403" w:rsidRDefault="00BB7AA9">
            <w:pPr>
              <w:rPr>
                <w:color w:val="000000"/>
                <w:szCs w:val="22"/>
                <w:lang w:eastAsia="cs-CZ"/>
              </w:rPr>
            </w:pPr>
            <w:r>
              <w:rPr>
                <w:color w:val="000000"/>
                <w:szCs w:val="22"/>
                <w:lang w:eastAsia="cs-CZ"/>
              </w:rPr>
              <w:t>Bez dopadu</w:t>
            </w:r>
          </w:p>
        </w:tc>
      </w:tr>
      <w:tr w:rsidR="006A6403" w14:paraId="5133A3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63065C"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7B77C" w14:textId="77777777" w:rsidR="006A6403" w:rsidRDefault="00BB7AA9">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D46F581"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45073D" w14:textId="77777777" w:rsidR="006A6403" w:rsidRDefault="00BB7AA9">
            <w:pPr>
              <w:rPr>
                <w:color w:val="000000"/>
                <w:szCs w:val="22"/>
                <w:lang w:eastAsia="cs-CZ"/>
              </w:rPr>
            </w:pPr>
            <w:r>
              <w:rPr>
                <w:color w:val="000000"/>
                <w:szCs w:val="22"/>
                <w:lang w:eastAsia="cs-CZ"/>
              </w:rPr>
              <w:t>Bez dopadu</w:t>
            </w:r>
          </w:p>
        </w:tc>
      </w:tr>
      <w:tr w:rsidR="006A6403" w14:paraId="155A2C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238865"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345C5C" w14:textId="77777777" w:rsidR="006A6403" w:rsidRDefault="00BB7AA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8352D"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ACCDA6" w14:textId="77777777" w:rsidR="006A6403" w:rsidRDefault="00BB7AA9">
            <w:pPr>
              <w:rPr>
                <w:color w:val="000000"/>
                <w:szCs w:val="22"/>
                <w:lang w:eastAsia="cs-CZ"/>
              </w:rPr>
            </w:pPr>
            <w:r>
              <w:rPr>
                <w:color w:val="000000"/>
                <w:szCs w:val="22"/>
                <w:lang w:eastAsia="cs-CZ"/>
              </w:rPr>
              <w:t>Bez dopadu</w:t>
            </w:r>
          </w:p>
        </w:tc>
      </w:tr>
      <w:tr w:rsidR="006A6403" w14:paraId="299FA6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57D066"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E2BA50" w14:textId="77777777" w:rsidR="006A6403" w:rsidRDefault="00BB7AA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312600F"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2FC06D9" w14:textId="77777777" w:rsidR="006A6403" w:rsidRDefault="00BB7AA9">
            <w:pPr>
              <w:rPr>
                <w:color w:val="000000"/>
                <w:szCs w:val="22"/>
                <w:lang w:eastAsia="cs-CZ"/>
              </w:rPr>
            </w:pPr>
            <w:r>
              <w:rPr>
                <w:color w:val="000000"/>
                <w:szCs w:val="22"/>
                <w:lang w:eastAsia="cs-CZ"/>
              </w:rPr>
              <w:t>Bez dopadu</w:t>
            </w:r>
          </w:p>
        </w:tc>
      </w:tr>
      <w:tr w:rsidR="006A6403" w14:paraId="705EC6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B5C82F"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CD9EC0" w14:textId="77777777" w:rsidR="006A6403" w:rsidRDefault="00BB7AA9">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4FDFFA"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6504473" w14:textId="77777777" w:rsidR="006A6403" w:rsidRDefault="00BB7AA9">
            <w:pPr>
              <w:rPr>
                <w:color w:val="000000"/>
                <w:szCs w:val="22"/>
                <w:lang w:eastAsia="cs-CZ"/>
              </w:rPr>
            </w:pPr>
            <w:r>
              <w:rPr>
                <w:color w:val="000000"/>
                <w:szCs w:val="22"/>
                <w:lang w:eastAsia="cs-CZ"/>
              </w:rPr>
              <w:t>Bez dopadu</w:t>
            </w:r>
          </w:p>
        </w:tc>
      </w:tr>
      <w:tr w:rsidR="006A6403" w14:paraId="2BDC2E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EB09C2"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24CE4" w14:textId="77777777" w:rsidR="006A6403" w:rsidRDefault="00BB7AA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9AC9295"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802A1C" w14:textId="77777777" w:rsidR="006A6403" w:rsidRDefault="00BB7AA9">
            <w:pPr>
              <w:rPr>
                <w:color w:val="000000"/>
                <w:szCs w:val="22"/>
                <w:lang w:eastAsia="cs-CZ"/>
              </w:rPr>
            </w:pPr>
            <w:r>
              <w:rPr>
                <w:color w:val="000000"/>
                <w:szCs w:val="22"/>
                <w:lang w:eastAsia="cs-CZ"/>
              </w:rPr>
              <w:t>Bez dopadu</w:t>
            </w:r>
          </w:p>
        </w:tc>
      </w:tr>
      <w:tr w:rsidR="006A6403" w14:paraId="53AB22E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F810D2"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AA1DEF" w14:textId="77777777" w:rsidR="006A6403" w:rsidRDefault="00BB7AA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C4B24E7"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9D38BE8" w14:textId="77777777" w:rsidR="006A6403" w:rsidRDefault="00BB7AA9">
            <w:pPr>
              <w:rPr>
                <w:color w:val="000000"/>
                <w:szCs w:val="22"/>
                <w:lang w:eastAsia="cs-CZ"/>
              </w:rPr>
            </w:pPr>
            <w:r>
              <w:rPr>
                <w:color w:val="000000"/>
                <w:szCs w:val="22"/>
                <w:lang w:eastAsia="cs-CZ"/>
              </w:rPr>
              <w:t>Bez dopadu</w:t>
            </w:r>
          </w:p>
        </w:tc>
      </w:tr>
      <w:tr w:rsidR="006A6403" w14:paraId="6CFCCE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6655F9" w14:textId="77777777" w:rsidR="006A6403" w:rsidRDefault="006A6403">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FD26CB" w14:textId="77777777" w:rsidR="006A6403" w:rsidRDefault="00BB7AA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9C624D2" w14:textId="77777777" w:rsidR="006A6403" w:rsidRDefault="00BB7AA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7F556B" w14:textId="77777777" w:rsidR="006A6403" w:rsidRDefault="00BB7AA9">
            <w:pPr>
              <w:rPr>
                <w:color w:val="000000"/>
                <w:szCs w:val="22"/>
                <w:lang w:eastAsia="cs-CZ"/>
              </w:rPr>
            </w:pPr>
            <w:r>
              <w:rPr>
                <w:color w:val="000000"/>
                <w:szCs w:val="22"/>
                <w:lang w:eastAsia="cs-CZ"/>
              </w:rPr>
              <w:t>Bez dopadu</w:t>
            </w:r>
          </w:p>
        </w:tc>
      </w:tr>
    </w:tbl>
    <w:p w14:paraId="398ADC2B" w14:textId="77777777" w:rsidR="006A6403" w:rsidRDefault="006A6403"/>
    <w:p w14:paraId="1F2D252E" w14:textId="77777777" w:rsidR="006A6403" w:rsidRDefault="00BB7AA9">
      <w:pPr>
        <w:pStyle w:val="Nadpis1"/>
        <w:numPr>
          <w:ilvl w:val="0"/>
          <w:numId w:val="17"/>
        </w:numPr>
        <w:ind w:left="284" w:hanging="284"/>
        <w:rPr>
          <w:szCs w:val="22"/>
        </w:rPr>
      </w:pPr>
      <w:r>
        <w:rPr>
          <w:szCs w:val="22"/>
        </w:rPr>
        <w:t>Uživatelské a licenční zajištění pro Objednatele (je-li relevantní):</w:t>
      </w:r>
    </w:p>
    <w:p w14:paraId="21F81B19" w14:textId="77777777" w:rsidR="006A6403" w:rsidRDefault="006A6403"/>
    <w:p w14:paraId="46344933" w14:textId="77777777" w:rsidR="006A6403" w:rsidRDefault="00BB7AA9">
      <w:pPr>
        <w:pStyle w:val="Nadpis1"/>
        <w:numPr>
          <w:ilvl w:val="0"/>
          <w:numId w:val="1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A6403" w14:paraId="7CD42D1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E90F6E" w14:textId="77777777" w:rsidR="006A6403" w:rsidRDefault="00BB7AA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01CA00" w14:textId="77777777" w:rsidR="006A6403" w:rsidRDefault="00BB7AA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5AF3014" w14:textId="77777777" w:rsidR="006A6403" w:rsidRDefault="00BB7AA9">
            <w:pPr>
              <w:rPr>
                <w:b/>
                <w:bCs/>
                <w:color w:val="000000"/>
                <w:szCs w:val="22"/>
                <w:lang w:eastAsia="cs-CZ"/>
              </w:rPr>
            </w:pPr>
            <w:r>
              <w:rPr>
                <w:b/>
                <w:bCs/>
                <w:color w:val="000000"/>
                <w:szCs w:val="22"/>
                <w:lang w:eastAsia="cs-CZ"/>
              </w:rPr>
              <w:t>Odpovědná osoba</w:t>
            </w:r>
          </w:p>
        </w:tc>
      </w:tr>
      <w:tr w:rsidR="006A6403" w14:paraId="7CF6169B" w14:textId="77777777">
        <w:trPr>
          <w:trHeight w:val="284"/>
        </w:trPr>
        <w:tc>
          <w:tcPr>
            <w:tcW w:w="1843" w:type="dxa"/>
            <w:tcBorders>
              <w:right w:val="dotted" w:sz="4" w:space="0" w:color="auto"/>
            </w:tcBorders>
            <w:shd w:val="clear" w:color="auto" w:fill="auto"/>
            <w:noWrap/>
            <w:vAlign w:val="bottom"/>
          </w:tcPr>
          <w:p w14:paraId="72D252D8" w14:textId="77777777" w:rsidR="006A6403" w:rsidRDefault="00BB7AA9">
            <w:pPr>
              <w:rPr>
                <w:color w:val="000000"/>
                <w:szCs w:val="22"/>
                <w:lang w:eastAsia="cs-CZ"/>
              </w:rPr>
            </w:pPr>
            <w:r>
              <w:rPr>
                <w:color w:val="000000"/>
                <w:szCs w:val="22"/>
                <w:lang w:eastAsia="cs-CZ"/>
              </w:rPr>
              <w:t>MZe /SZIF</w:t>
            </w:r>
          </w:p>
        </w:tc>
        <w:tc>
          <w:tcPr>
            <w:tcW w:w="5670" w:type="dxa"/>
            <w:tcBorders>
              <w:left w:val="dotted" w:sz="4" w:space="0" w:color="auto"/>
              <w:right w:val="dotted" w:sz="4" w:space="0" w:color="auto"/>
            </w:tcBorders>
            <w:shd w:val="clear" w:color="auto" w:fill="auto"/>
            <w:noWrap/>
            <w:vAlign w:val="bottom"/>
          </w:tcPr>
          <w:p w14:paraId="09C12EF8" w14:textId="77777777" w:rsidR="006A6403" w:rsidRDefault="00BB7AA9">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5333955E" w14:textId="77777777" w:rsidR="006A6403" w:rsidRDefault="00BB7AA9">
            <w:pPr>
              <w:rPr>
                <w:color w:val="000000"/>
                <w:szCs w:val="22"/>
                <w:lang w:eastAsia="cs-CZ"/>
              </w:rPr>
            </w:pPr>
            <w:r>
              <w:rPr>
                <w:color w:val="000000"/>
                <w:szCs w:val="22"/>
                <w:lang w:eastAsia="cs-CZ"/>
              </w:rPr>
              <w:t>Jiří Bukovský</w:t>
            </w:r>
          </w:p>
        </w:tc>
      </w:tr>
      <w:tr w:rsidR="006A6403" w14:paraId="5B937AD0" w14:textId="77777777">
        <w:trPr>
          <w:trHeight w:val="284"/>
        </w:trPr>
        <w:tc>
          <w:tcPr>
            <w:tcW w:w="1843" w:type="dxa"/>
            <w:tcBorders>
              <w:right w:val="dotted" w:sz="4" w:space="0" w:color="auto"/>
            </w:tcBorders>
            <w:shd w:val="clear" w:color="auto" w:fill="auto"/>
            <w:noWrap/>
            <w:vAlign w:val="bottom"/>
          </w:tcPr>
          <w:p w14:paraId="07CE21E3" w14:textId="77777777" w:rsidR="006A6403" w:rsidRDefault="006A6403">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9F6B266" w14:textId="77777777" w:rsidR="006A6403" w:rsidRDefault="006A6403">
            <w:pPr>
              <w:rPr>
                <w:color w:val="000000"/>
                <w:szCs w:val="22"/>
                <w:lang w:eastAsia="cs-CZ"/>
              </w:rPr>
            </w:pPr>
          </w:p>
        </w:tc>
        <w:tc>
          <w:tcPr>
            <w:tcW w:w="2268" w:type="dxa"/>
            <w:tcBorders>
              <w:left w:val="dotted" w:sz="4" w:space="0" w:color="auto"/>
            </w:tcBorders>
            <w:shd w:val="clear" w:color="auto" w:fill="auto"/>
            <w:vAlign w:val="bottom"/>
          </w:tcPr>
          <w:p w14:paraId="5826979E" w14:textId="77777777" w:rsidR="006A6403" w:rsidRDefault="006A6403">
            <w:pPr>
              <w:rPr>
                <w:color w:val="000000"/>
                <w:szCs w:val="22"/>
                <w:lang w:eastAsia="cs-CZ"/>
              </w:rPr>
            </w:pPr>
          </w:p>
        </w:tc>
      </w:tr>
    </w:tbl>
    <w:p w14:paraId="43DB656A" w14:textId="77777777" w:rsidR="006A6403" w:rsidRDefault="00BB7AA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2CE63E8" w14:textId="77777777" w:rsidR="006A6403" w:rsidRDefault="006A6403"/>
    <w:p w14:paraId="52DB914C" w14:textId="77777777" w:rsidR="006A6403" w:rsidRDefault="00BB7AA9">
      <w:pPr>
        <w:pStyle w:val="Nadpis1"/>
        <w:numPr>
          <w:ilvl w:val="0"/>
          <w:numId w:val="1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6A6403" w14:paraId="355062D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61FE87" w14:textId="77777777" w:rsidR="006A6403" w:rsidRDefault="00BB7AA9">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6E6CCA" w14:textId="77777777" w:rsidR="006A6403" w:rsidRDefault="00BB7AA9">
            <w:pPr>
              <w:rPr>
                <w:b/>
                <w:bCs/>
                <w:color w:val="000000"/>
                <w:szCs w:val="22"/>
                <w:lang w:eastAsia="cs-CZ"/>
              </w:rPr>
            </w:pPr>
            <w:r>
              <w:rPr>
                <w:b/>
                <w:bCs/>
                <w:color w:val="000000"/>
                <w:szCs w:val="22"/>
                <w:lang w:eastAsia="cs-CZ"/>
              </w:rPr>
              <w:t>Termín</w:t>
            </w:r>
          </w:p>
        </w:tc>
      </w:tr>
      <w:tr w:rsidR="006A6403" w14:paraId="54668065" w14:textId="77777777">
        <w:trPr>
          <w:trHeight w:val="284"/>
        </w:trPr>
        <w:tc>
          <w:tcPr>
            <w:tcW w:w="7513" w:type="dxa"/>
            <w:tcBorders>
              <w:top w:val="single" w:sz="8" w:space="0" w:color="auto"/>
              <w:right w:val="dotted" w:sz="4" w:space="0" w:color="auto"/>
            </w:tcBorders>
            <w:shd w:val="clear" w:color="auto" w:fill="auto"/>
            <w:noWrap/>
            <w:vAlign w:val="center"/>
          </w:tcPr>
          <w:p w14:paraId="67ED9E2F" w14:textId="77777777" w:rsidR="006A6403" w:rsidRDefault="00BB7AA9">
            <w:pPr>
              <w:rPr>
                <w:color w:val="000000"/>
                <w:szCs w:val="22"/>
                <w:lang w:eastAsia="cs-CZ"/>
              </w:rPr>
            </w:pPr>
            <w:r>
              <w:rPr>
                <w:color w:val="000000"/>
                <w:szCs w:val="22"/>
                <w:lang w:eastAsia="cs-CZ"/>
              </w:rPr>
              <w:t xml:space="preserve">Zahájení prací </w:t>
            </w:r>
          </w:p>
        </w:tc>
        <w:tc>
          <w:tcPr>
            <w:tcW w:w="2268" w:type="dxa"/>
            <w:tcBorders>
              <w:top w:val="single" w:sz="8" w:space="0" w:color="auto"/>
              <w:left w:val="dotted" w:sz="4" w:space="0" w:color="auto"/>
            </w:tcBorders>
            <w:shd w:val="clear" w:color="auto" w:fill="auto"/>
            <w:vAlign w:val="center"/>
          </w:tcPr>
          <w:p w14:paraId="21DA727A" w14:textId="77777777" w:rsidR="006A6403" w:rsidRDefault="00BB7AA9">
            <w:pPr>
              <w:rPr>
                <w:color w:val="000000"/>
                <w:szCs w:val="22"/>
                <w:lang w:eastAsia="cs-CZ"/>
              </w:rPr>
            </w:pPr>
            <w:r>
              <w:rPr>
                <w:color w:val="000000"/>
                <w:szCs w:val="22"/>
                <w:lang w:eastAsia="cs-CZ"/>
              </w:rPr>
              <w:t>po objednání</w:t>
            </w:r>
          </w:p>
        </w:tc>
      </w:tr>
      <w:tr w:rsidR="006A6403" w14:paraId="05ABD092" w14:textId="77777777">
        <w:trPr>
          <w:trHeight w:val="284"/>
        </w:trPr>
        <w:tc>
          <w:tcPr>
            <w:tcW w:w="7513" w:type="dxa"/>
            <w:tcBorders>
              <w:right w:val="dotted" w:sz="4" w:space="0" w:color="auto"/>
            </w:tcBorders>
            <w:shd w:val="clear" w:color="auto" w:fill="auto"/>
            <w:noWrap/>
            <w:vAlign w:val="center"/>
          </w:tcPr>
          <w:p w14:paraId="7B5886DE" w14:textId="77777777" w:rsidR="006A6403" w:rsidRDefault="00BB7AA9">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center"/>
          </w:tcPr>
          <w:p w14:paraId="0E3AED3C" w14:textId="77777777" w:rsidR="006A6403" w:rsidRDefault="00BB7AA9">
            <w:pPr>
              <w:rPr>
                <w:color w:val="000000"/>
                <w:szCs w:val="22"/>
                <w:lang w:eastAsia="cs-CZ"/>
              </w:rPr>
            </w:pPr>
            <w:r>
              <w:rPr>
                <w:color w:val="000000"/>
                <w:szCs w:val="22"/>
                <w:lang w:eastAsia="cs-CZ"/>
              </w:rPr>
              <w:t>15.8. 2022</w:t>
            </w:r>
          </w:p>
        </w:tc>
      </w:tr>
      <w:tr w:rsidR="006A6403" w14:paraId="3D4B3000" w14:textId="77777777">
        <w:trPr>
          <w:trHeight w:val="284"/>
        </w:trPr>
        <w:tc>
          <w:tcPr>
            <w:tcW w:w="7513" w:type="dxa"/>
            <w:tcBorders>
              <w:right w:val="dotted" w:sz="4" w:space="0" w:color="auto"/>
            </w:tcBorders>
            <w:shd w:val="clear" w:color="auto" w:fill="auto"/>
            <w:noWrap/>
            <w:vAlign w:val="center"/>
          </w:tcPr>
          <w:p w14:paraId="2B6D263D" w14:textId="77777777" w:rsidR="006A6403" w:rsidRDefault="00BB7AA9">
            <w:pPr>
              <w:rPr>
                <w:color w:val="000000"/>
                <w:szCs w:val="22"/>
                <w:lang w:eastAsia="cs-CZ"/>
              </w:rPr>
            </w:pPr>
            <w:r>
              <w:rPr>
                <w:color w:val="000000"/>
                <w:szCs w:val="22"/>
                <w:lang w:eastAsia="cs-CZ"/>
              </w:rPr>
              <w:t>Nasazení na provoz</w:t>
            </w:r>
          </w:p>
        </w:tc>
        <w:tc>
          <w:tcPr>
            <w:tcW w:w="2268" w:type="dxa"/>
            <w:tcBorders>
              <w:left w:val="dotted" w:sz="4" w:space="0" w:color="auto"/>
            </w:tcBorders>
            <w:shd w:val="clear" w:color="auto" w:fill="auto"/>
            <w:vAlign w:val="center"/>
          </w:tcPr>
          <w:p w14:paraId="1560CAA7" w14:textId="77777777" w:rsidR="006A6403" w:rsidRDefault="00BB7AA9">
            <w:pPr>
              <w:rPr>
                <w:color w:val="000000"/>
                <w:szCs w:val="22"/>
                <w:lang w:eastAsia="cs-CZ"/>
              </w:rPr>
            </w:pPr>
            <w:r>
              <w:rPr>
                <w:color w:val="000000"/>
                <w:szCs w:val="22"/>
                <w:lang w:eastAsia="cs-CZ"/>
              </w:rPr>
              <w:t>1. 9. 2022</w:t>
            </w:r>
          </w:p>
        </w:tc>
      </w:tr>
      <w:tr w:rsidR="006A6403" w14:paraId="0F1FB60F" w14:textId="77777777">
        <w:trPr>
          <w:trHeight w:val="437"/>
        </w:trPr>
        <w:tc>
          <w:tcPr>
            <w:tcW w:w="7513" w:type="dxa"/>
            <w:tcBorders>
              <w:right w:val="dotted" w:sz="4" w:space="0" w:color="auto"/>
            </w:tcBorders>
            <w:shd w:val="clear" w:color="auto" w:fill="auto"/>
            <w:noWrap/>
            <w:vAlign w:val="center"/>
          </w:tcPr>
          <w:p w14:paraId="087D46D8" w14:textId="77777777" w:rsidR="006A6403" w:rsidRDefault="00BB7AA9">
            <w:pPr>
              <w:rPr>
                <w:color w:val="000000"/>
                <w:szCs w:val="22"/>
                <w:lang w:eastAsia="cs-CZ"/>
              </w:rPr>
            </w:pPr>
            <w:r>
              <w:rPr>
                <w:color w:val="000000"/>
                <w:szCs w:val="22"/>
                <w:lang w:eastAsia="cs-CZ"/>
              </w:rPr>
              <w:t>Akceptace</w:t>
            </w:r>
          </w:p>
        </w:tc>
        <w:tc>
          <w:tcPr>
            <w:tcW w:w="2268" w:type="dxa"/>
            <w:tcBorders>
              <w:left w:val="dotted" w:sz="4" w:space="0" w:color="auto"/>
            </w:tcBorders>
            <w:shd w:val="clear" w:color="auto" w:fill="auto"/>
            <w:vAlign w:val="center"/>
          </w:tcPr>
          <w:p w14:paraId="491393F3" w14:textId="77777777" w:rsidR="006A6403" w:rsidRDefault="00BB7AA9">
            <w:pPr>
              <w:rPr>
                <w:color w:val="000000"/>
                <w:szCs w:val="22"/>
                <w:lang w:eastAsia="cs-CZ"/>
              </w:rPr>
            </w:pPr>
            <w:r>
              <w:rPr>
                <w:color w:val="000000"/>
                <w:szCs w:val="22"/>
                <w:lang w:eastAsia="cs-CZ"/>
              </w:rPr>
              <w:t>30.9. 2022</w:t>
            </w:r>
          </w:p>
        </w:tc>
      </w:tr>
    </w:tbl>
    <w:p w14:paraId="4E981CB0" w14:textId="77777777" w:rsidR="006A6403" w:rsidRDefault="00BB7AA9">
      <w:pPr>
        <w:pStyle w:val="Nadpis1"/>
        <w:numPr>
          <w:ilvl w:val="0"/>
          <w:numId w:val="17"/>
        </w:numPr>
        <w:ind w:left="284" w:hanging="284"/>
        <w:rPr>
          <w:szCs w:val="22"/>
        </w:rPr>
      </w:pPr>
      <w:bookmarkStart w:id="0" w:name="_Ref31623420"/>
      <w:r>
        <w:rPr>
          <w:szCs w:val="22"/>
        </w:rPr>
        <w:lastRenderedPageBreak/>
        <w:t>Pracnost a cenová nabídka navrhovaného řešení</w:t>
      </w:r>
      <w:bookmarkEnd w:id="0"/>
    </w:p>
    <w:p w14:paraId="3C917177" w14:textId="77777777" w:rsidR="006A6403" w:rsidRDefault="00BB7AA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A6403" w14:paraId="2DBFC0C7" w14:textId="77777777">
        <w:tc>
          <w:tcPr>
            <w:tcW w:w="1843" w:type="dxa"/>
            <w:tcBorders>
              <w:top w:val="single" w:sz="8" w:space="0" w:color="auto"/>
              <w:left w:val="single" w:sz="8" w:space="0" w:color="auto"/>
              <w:bottom w:val="single" w:sz="8" w:space="0" w:color="auto"/>
              <w:right w:val="single" w:sz="8" w:space="0" w:color="auto"/>
            </w:tcBorders>
          </w:tcPr>
          <w:p w14:paraId="32BAC0CB" w14:textId="77777777" w:rsidR="006A6403" w:rsidRDefault="00BB7AA9">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182E810" w14:textId="77777777" w:rsidR="006A6403" w:rsidRDefault="00BB7AA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60D901E" w14:textId="77777777" w:rsidR="006A6403" w:rsidRDefault="00BB7AA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15EB4B9" w14:textId="77777777" w:rsidR="006A6403" w:rsidRDefault="00BB7AA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94817A5" w14:textId="77777777" w:rsidR="006A6403" w:rsidRDefault="00BB7AA9">
            <w:pPr>
              <w:pStyle w:val="Tabulka"/>
              <w:rPr>
                <w:b/>
                <w:szCs w:val="22"/>
              </w:rPr>
            </w:pPr>
            <w:r>
              <w:rPr>
                <w:b/>
                <w:szCs w:val="22"/>
              </w:rPr>
              <w:t>v Kč s DPH</w:t>
            </w:r>
          </w:p>
        </w:tc>
      </w:tr>
      <w:tr w:rsidR="006A6403" w14:paraId="4FB9DACF" w14:textId="77777777">
        <w:trPr>
          <w:trHeight w:hRule="exact" w:val="20"/>
        </w:trPr>
        <w:tc>
          <w:tcPr>
            <w:tcW w:w="1843" w:type="dxa"/>
            <w:tcBorders>
              <w:top w:val="single" w:sz="8" w:space="0" w:color="auto"/>
              <w:left w:val="dotted" w:sz="4" w:space="0" w:color="auto"/>
            </w:tcBorders>
          </w:tcPr>
          <w:p w14:paraId="30534FBC" w14:textId="77777777" w:rsidR="006A6403" w:rsidRDefault="006A6403">
            <w:pPr>
              <w:pStyle w:val="Tabulka"/>
              <w:rPr>
                <w:szCs w:val="22"/>
              </w:rPr>
            </w:pPr>
          </w:p>
        </w:tc>
        <w:tc>
          <w:tcPr>
            <w:tcW w:w="3544" w:type="dxa"/>
            <w:tcBorders>
              <w:top w:val="single" w:sz="8" w:space="0" w:color="auto"/>
              <w:left w:val="dotted" w:sz="4" w:space="0" w:color="auto"/>
            </w:tcBorders>
          </w:tcPr>
          <w:p w14:paraId="0726B70B" w14:textId="77777777" w:rsidR="006A6403" w:rsidRDefault="006A6403">
            <w:pPr>
              <w:pStyle w:val="Tabulka"/>
              <w:rPr>
                <w:szCs w:val="22"/>
              </w:rPr>
            </w:pPr>
          </w:p>
        </w:tc>
        <w:tc>
          <w:tcPr>
            <w:tcW w:w="1275" w:type="dxa"/>
            <w:tcBorders>
              <w:top w:val="single" w:sz="8" w:space="0" w:color="auto"/>
            </w:tcBorders>
          </w:tcPr>
          <w:p w14:paraId="7348C901" w14:textId="77777777" w:rsidR="006A6403" w:rsidRDefault="006A6403">
            <w:pPr>
              <w:pStyle w:val="Tabulka"/>
              <w:rPr>
                <w:szCs w:val="22"/>
              </w:rPr>
            </w:pPr>
          </w:p>
        </w:tc>
        <w:tc>
          <w:tcPr>
            <w:tcW w:w="1560" w:type="dxa"/>
            <w:tcBorders>
              <w:top w:val="single" w:sz="8" w:space="0" w:color="auto"/>
            </w:tcBorders>
          </w:tcPr>
          <w:p w14:paraId="4A542B6A" w14:textId="77777777" w:rsidR="006A6403" w:rsidRDefault="006A6403">
            <w:pPr>
              <w:pStyle w:val="Tabulka"/>
              <w:rPr>
                <w:szCs w:val="22"/>
              </w:rPr>
            </w:pPr>
          </w:p>
        </w:tc>
        <w:tc>
          <w:tcPr>
            <w:tcW w:w="1557" w:type="dxa"/>
            <w:tcBorders>
              <w:top w:val="single" w:sz="8" w:space="0" w:color="auto"/>
            </w:tcBorders>
          </w:tcPr>
          <w:p w14:paraId="1A126BAF" w14:textId="77777777" w:rsidR="006A6403" w:rsidRDefault="006A6403">
            <w:pPr>
              <w:pStyle w:val="Tabulka"/>
              <w:rPr>
                <w:szCs w:val="22"/>
              </w:rPr>
            </w:pPr>
          </w:p>
        </w:tc>
      </w:tr>
      <w:tr w:rsidR="006A6403" w14:paraId="6EC1CDD5" w14:textId="77777777">
        <w:trPr>
          <w:trHeight w:val="397"/>
        </w:trPr>
        <w:tc>
          <w:tcPr>
            <w:tcW w:w="1843" w:type="dxa"/>
            <w:tcBorders>
              <w:top w:val="dotted" w:sz="4" w:space="0" w:color="auto"/>
              <w:left w:val="dotted" w:sz="4" w:space="0" w:color="auto"/>
            </w:tcBorders>
          </w:tcPr>
          <w:p w14:paraId="280C26EB" w14:textId="77777777" w:rsidR="006A6403" w:rsidRDefault="006A6403">
            <w:pPr>
              <w:pStyle w:val="Tabulka"/>
              <w:rPr>
                <w:szCs w:val="22"/>
              </w:rPr>
            </w:pPr>
          </w:p>
        </w:tc>
        <w:tc>
          <w:tcPr>
            <w:tcW w:w="3544" w:type="dxa"/>
            <w:tcBorders>
              <w:top w:val="dotted" w:sz="4" w:space="0" w:color="auto"/>
              <w:left w:val="dotted" w:sz="4" w:space="0" w:color="auto"/>
            </w:tcBorders>
          </w:tcPr>
          <w:p w14:paraId="753DD88A" w14:textId="77777777" w:rsidR="006A6403" w:rsidRDefault="00BB7AA9">
            <w:pPr>
              <w:pStyle w:val="Tabulka"/>
              <w:rPr>
                <w:szCs w:val="22"/>
              </w:rPr>
            </w:pPr>
            <w:r>
              <w:rPr>
                <w:szCs w:val="22"/>
              </w:rPr>
              <w:t>Viz cenová nabídka v příloze č.01</w:t>
            </w:r>
          </w:p>
        </w:tc>
        <w:tc>
          <w:tcPr>
            <w:tcW w:w="1275" w:type="dxa"/>
            <w:tcBorders>
              <w:top w:val="dotted" w:sz="4" w:space="0" w:color="auto"/>
            </w:tcBorders>
          </w:tcPr>
          <w:p w14:paraId="60A917CC" w14:textId="77777777" w:rsidR="006A6403" w:rsidRDefault="00BB7AA9">
            <w:pPr>
              <w:pStyle w:val="Tabulka"/>
              <w:jc w:val="center"/>
              <w:rPr>
                <w:szCs w:val="22"/>
              </w:rPr>
            </w:pPr>
            <w:r>
              <w:rPr>
                <w:szCs w:val="22"/>
              </w:rPr>
              <w:t>204,500</w:t>
            </w:r>
          </w:p>
        </w:tc>
        <w:tc>
          <w:tcPr>
            <w:tcW w:w="1560" w:type="dxa"/>
            <w:tcBorders>
              <w:top w:val="dotted" w:sz="4" w:space="0" w:color="auto"/>
            </w:tcBorders>
          </w:tcPr>
          <w:p w14:paraId="5202DC14" w14:textId="77777777" w:rsidR="006A6403" w:rsidRDefault="00BB7AA9">
            <w:pPr>
              <w:pStyle w:val="Tabulka"/>
              <w:rPr>
                <w:szCs w:val="22"/>
              </w:rPr>
            </w:pPr>
            <w:r>
              <w:t>1 820 050,00</w:t>
            </w:r>
          </w:p>
        </w:tc>
        <w:tc>
          <w:tcPr>
            <w:tcW w:w="1557" w:type="dxa"/>
            <w:tcBorders>
              <w:top w:val="dotted" w:sz="4" w:space="0" w:color="auto"/>
            </w:tcBorders>
          </w:tcPr>
          <w:p w14:paraId="52C1C57A" w14:textId="77777777" w:rsidR="006A6403" w:rsidRDefault="00BB7AA9">
            <w:pPr>
              <w:pStyle w:val="Tabulka"/>
              <w:rPr>
                <w:szCs w:val="22"/>
              </w:rPr>
            </w:pPr>
            <w:r>
              <w:t>2 202 260,50</w:t>
            </w:r>
          </w:p>
        </w:tc>
      </w:tr>
      <w:tr w:rsidR="006A6403" w14:paraId="09EC9911" w14:textId="77777777">
        <w:trPr>
          <w:trHeight w:val="397"/>
        </w:trPr>
        <w:tc>
          <w:tcPr>
            <w:tcW w:w="5387" w:type="dxa"/>
            <w:gridSpan w:val="2"/>
            <w:tcBorders>
              <w:left w:val="dotted" w:sz="4" w:space="0" w:color="auto"/>
              <w:bottom w:val="dotted" w:sz="4" w:space="0" w:color="auto"/>
            </w:tcBorders>
          </w:tcPr>
          <w:p w14:paraId="1C024F87" w14:textId="77777777" w:rsidR="006A6403" w:rsidRDefault="00BB7AA9">
            <w:pPr>
              <w:pStyle w:val="Tabulka"/>
              <w:rPr>
                <w:b/>
                <w:szCs w:val="22"/>
              </w:rPr>
            </w:pPr>
            <w:r>
              <w:rPr>
                <w:b/>
                <w:szCs w:val="22"/>
              </w:rPr>
              <w:t>Celkem:</w:t>
            </w:r>
          </w:p>
        </w:tc>
        <w:tc>
          <w:tcPr>
            <w:tcW w:w="1275" w:type="dxa"/>
            <w:tcBorders>
              <w:bottom w:val="dotted" w:sz="4" w:space="0" w:color="auto"/>
            </w:tcBorders>
          </w:tcPr>
          <w:p w14:paraId="1FB1BE4B" w14:textId="77777777" w:rsidR="006A6403" w:rsidRDefault="00BB7AA9">
            <w:pPr>
              <w:pStyle w:val="Tabulka"/>
              <w:jc w:val="center"/>
              <w:rPr>
                <w:szCs w:val="22"/>
              </w:rPr>
            </w:pPr>
            <w:r>
              <w:rPr>
                <w:szCs w:val="22"/>
              </w:rPr>
              <w:t>204,500</w:t>
            </w:r>
          </w:p>
        </w:tc>
        <w:tc>
          <w:tcPr>
            <w:tcW w:w="1560" w:type="dxa"/>
            <w:tcBorders>
              <w:bottom w:val="dotted" w:sz="4" w:space="0" w:color="auto"/>
            </w:tcBorders>
          </w:tcPr>
          <w:p w14:paraId="00DE0B55" w14:textId="77777777" w:rsidR="006A6403" w:rsidRDefault="00BB7AA9">
            <w:pPr>
              <w:pStyle w:val="Tabulka"/>
              <w:rPr>
                <w:szCs w:val="22"/>
              </w:rPr>
            </w:pPr>
            <w:r>
              <w:t>1 820 050,00</w:t>
            </w:r>
          </w:p>
        </w:tc>
        <w:tc>
          <w:tcPr>
            <w:tcW w:w="1557" w:type="dxa"/>
            <w:tcBorders>
              <w:bottom w:val="dotted" w:sz="4" w:space="0" w:color="auto"/>
            </w:tcBorders>
          </w:tcPr>
          <w:p w14:paraId="61656550" w14:textId="77777777" w:rsidR="006A6403" w:rsidRDefault="00BB7AA9">
            <w:pPr>
              <w:pStyle w:val="Tabulka"/>
              <w:rPr>
                <w:szCs w:val="22"/>
              </w:rPr>
            </w:pPr>
            <w:r>
              <w:t>2 202 260,50</w:t>
            </w:r>
          </w:p>
        </w:tc>
      </w:tr>
    </w:tbl>
    <w:p w14:paraId="54B8C870" w14:textId="77777777" w:rsidR="006A6403" w:rsidRDefault="006A6403">
      <w:pPr>
        <w:pStyle w:val="RLTextlnkuslovan"/>
      </w:pPr>
    </w:p>
    <w:p w14:paraId="4FEE516B" w14:textId="77777777" w:rsidR="006A6403" w:rsidRDefault="006A6403">
      <w:pPr>
        <w:rPr>
          <w:sz w:val="8"/>
          <w:szCs w:val="8"/>
        </w:rPr>
      </w:pPr>
    </w:p>
    <w:p w14:paraId="04B662D2" w14:textId="77777777" w:rsidR="006A6403" w:rsidRDefault="00BB7AA9">
      <w:pPr>
        <w:rPr>
          <w:sz w:val="16"/>
          <w:szCs w:val="16"/>
        </w:rPr>
      </w:pPr>
      <w:r>
        <w:rPr>
          <w:sz w:val="16"/>
          <w:szCs w:val="16"/>
        </w:rPr>
        <w:t>(Pozn.: MD – člověkoden, MJ – měrná jednotka, např. počet kusů)</w:t>
      </w:r>
    </w:p>
    <w:p w14:paraId="63F9C9CF" w14:textId="77777777" w:rsidR="006A6403" w:rsidRDefault="006A6403">
      <w:pPr>
        <w:rPr>
          <w:szCs w:val="22"/>
        </w:rPr>
      </w:pPr>
    </w:p>
    <w:p w14:paraId="00BFFAE5" w14:textId="77777777" w:rsidR="006A6403" w:rsidRDefault="006A6403">
      <w:pPr>
        <w:rPr>
          <w:szCs w:val="22"/>
        </w:rPr>
      </w:pPr>
    </w:p>
    <w:p w14:paraId="6008DDDC" w14:textId="77777777" w:rsidR="006A6403" w:rsidRDefault="006A6403"/>
    <w:p w14:paraId="4F342361" w14:textId="77777777" w:rsidR="006A6403" w:rsidRDefault="006A6403"/>
    <w:p w14:paraId="1E3E191B" w14:textId="77777777" w:rsidR="006A6403" w:rsidRDefault="00BB7AA9">
      <w:pPr>
        <w:pStyle w:val="Nadpis1"/>
        <w:numPr>
          <w:ilvl w:val="0"/>
          <w:numId w:val="17"/>
        </w:numPr>
        <w:ind w:left="284" w:hanging="284"/>
        <w:rPr>
          <w:szCs w:val="22"/>
        </w:rPr>
      </w:pPr>
      <w:r>
        <w:rPr>
          <w:szCs w:val="22"/>
        </w:rPr>
        <w:t>Posouzení</w:t>
      </w:r>
    </w:p>
    <w:p w14:paraId="4F55E49E" w14:textId="77777777" w:rsidR="006A6403" w:rsidRDefault="00BB7AA9">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6A6403" w14:paraId="186763BD" w14:textId="77777777">
        <w:trPr>
          <w:trHeight w:val="374"/>
        </w:trPr>
        <w:tc>
          <w:tcPr>
            <w:tcW w:w="3256" w:type="dxa"/>
            <w:vAlign w:val="center"/>
          </w:tcPr>
          <w:p w14:paraId="2D306A00" w14:textId="77777777" w:rsidR="006A6403" w:rsidRDefault="00BB7AA9">
            <w:pPr>
              <w:rPr>
                <w:b/>
              </w:rPr>
            </w:pPr>
            <w:r>
              <w:rPr>
                <w:b/>
              </w:rPr>
              <w:t>Role</w:t>
            </w:r>
          </w:p>
        </w:tc>
        <w:tc>
          <w:tcPr>
            <w:tcW w:w="2976" w:type="dxa"/>
            <w:vAlign w:val="center"/>
          </w:tcPr>
          <w:p w14:paraId="355F4B5B" w14:textId="77777777" w:rsidR="006A6403" w:rsidRDefault="00BB7AA9">
            <w:pPr>
              <w:rPr>
                <w:b/>
              </w:rPr>
            </w:pPr>
            <w:r>
              <w:rPr>
                <w:b/>
              </w:rPr>
              <w:t>Jméno</w:t>
            </w:r>
          </w:p>
        </w:tc>
        <w:tc>
          <w:tcPr>
            <w:tcW w:w="2977" w:type="dxa"/>
            <w:vAlign w:val="center"/>
          </w:tcPr>
          <w:p w14:paraId="23DAB53B" w14:textId="77777777" w:rsidR="006A6403" w:rsidRDefault="00BB7AA9">
            <w:pPr>
              <w:rPr>
                <w:b/>
              </w:rPr>
            </w:pPr>
            <w:r>
              <w:rPr>
                <w:b/>
              </w:rPr>
              <w:t>Podpis/Mail</w:t>
            </w:r>
            <w:r>
              <w:rPr>
                <w:rStyle w:val="Odkaznavysvtlivky"/>
                <w:b/>
              </w:rPr>
              <w:endnoteReference w:id="23"/>
            </w:r>
          </w:p>
        </w:tc>
      </w:tr>
      <w:tr w:rsidR="006A6403" w14:paraId="219F8E6A" w14:textId="77777777">
        <w:trPr>
          <w:trHeight w:val="510"/>
        </w:trPr>
        <w:tc>
          <w:tcPr>
            <w:tcW w:w="3256" w:type="dxa"/>
            <w:vAlign w:val="center"/>
          </w:tcPr>
          <w:p w14:paraId="516A1231" w14:textId="77777777" w:rsidR="006A6403" w:rsidRDefault="00BB7AA9">
            <w:r>
              <w:t>Bezpečnostní garant</w:t>
            </w:r>
          </w:p>
        </w:tc>
        <w:tc>
          <w:tcPr>
            <w:tcW w:w="2976" w:type="dxa"/>
            <w:vAlign w:val="center"/>
          </w:tcPr>
          <w:p w14:paraId="6D48B50B" w14:textId="77777777" w:rsidR="006A6403" w:rsidRDefault="00BB7AA9">
            <w:r>
              <w:t>Karel Štefl</w:t>
            </w:r>
          </w:p>
        </w:tc>
        <w:tc>
          <w:tcPr>
            <w:tcW w:w="2977" w:type="dxa"/>
            <w:vAlign w:val="center"/>
          </w:tcPr>
          <w:p w14:paraId="19565FA2" w14:textId="77777777" w:rsidR="006A6403" w:rsidRDefault="006A6403"/>
        </w:tc>
      </w:tr>
      <w:tr w:rsidR="006A6403" w14:paraId="5AB647DF" w14:textId="77777777">
        <w:trPr>
          <w:trHeight w:val="510"/>
        </w:trPr>
        <w:tc>
          <w:tcPr>
            <w:tcW w:w="3256" w:type="dxa"/>
            <w:vAlign w:val="center"/>
          </w:tcPr>
          <w:p w14:paraId="012733B5" w14:textId="77777777" w:rsidR="006A6403" w:rsidRDefault="00BB7AA9">
            <w:r>
              <w:t>Provozní garant</w:t>
            </w:r>
          </w:p>
        </w:tc>
        <w:tc>
          <w:tcPr>
            <w:tcW w:w="2976" w:type="dxa"/>
            <w:vAlign w:val="center"/>
          </w:tcPr>
          <w:p w14:paraId="57F746E6" w14:textId="77777777" w:rsidR="006A6403" w:rsidRDefault="00BB7AA9">
            <w:r>
              <w:t>Ivo Jančík</w:t>
            </w:r>
          </w:p>
        </w:tc>
        <w:tc>
          <w:tcPr>
            <w:tcW w:w="2977" w:type="dxa"/>
            <w:vAlign w:val="center"/>
          </w:tcPr>
          <w:p w14:paraId="4467BC79" w14:textId="77777777" w:rsidR="006A6403" w:rsidRDefault="006A6403"/>
        </w:tc>
      </w:tr>
      <w:tr w:rsidR="006A6403" w14:paraId="0C28D79E" w14:textId="77777777">
        <w:trPr>
          <w:trHeight w:val="510"/>
        </w:trPr>
        <w:tc>
          <w:tcPr>
            <w:tcW w:w="3256" w:type="dxa"/>
            <w:vAlign w:val="center"/>
          </w:tcPr>
          <w:p w14:paraId="1DF00EA7" w14:textId="77777777" w:rsidR="006A6403" w:rsidRDefault="00BB7AA9">
            <w:r>
              <w:t>Architekt</w:t>
            </w:r>
          </w:p>
        </w:tc>
        <w:tc>
          <w:tcPr>
            <w:tcW w:w="2976" w:type="dxa"/>
            <w:vAlign w:val="center"/>
          </w:tcPr>
          <w:p w14:paraId="1D6EF1F0" w14:textId="77777777" w:rsidR="006A6403" w:rsidRDefault="006A6403"/>
        </w:tc>
        <w:tc>
          <w:tcPr>
            <w:tcW w:w="2977" w:type="dxa"/>
            <w:vAlign w:val="center"/>
          </w:tcPr>
          <w:p w14:paraId="444452CA" w14:textId="77777777" w:rsidR="006A6403" w:rsidRDefault="006A6403"/>
        </w:tc>
      </w:tr>
    </w:tbl>
    <w:p w14:paraId="15E47FC6" w14:textId="77777777" w:rsidR="006A6403" w:rsidRDefault="00BB7AA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A068B52" w14:textId="77777777" w:rsidR="006A6403" w:rsidRDefault="006A6403"/>
    <w:p w14:paraId="681BB210" w14:textId="77777777" w:rsidR="006A6403" w:rsidRDefault="006A6403">
      <w:pPr>
        <w:rPr>
          <w:szCs w:val="22"/>
        </w:rPr>
      </w:pPr>
    </w:p>
    <w:p w14:paraId="098AF199" w14:textId="77777777" w:rsidR="006A6403" w:rsidRDefault="00BB7AA9">
      <w:pPr>
        <w:pStyle w:val="Nadpis1"/>
        <w:numPr>
          <w:ilvl w:val="0"/>
          <w:numId w:val="17"/>
        </w:numPr>
        <w:ind w:left="284" w:hanging="284"/>
        <w:rPr>
          <w:szCs w:val="22"/>
        </w:rPr>
      </w:pPr>
      <w:r>
        <w:rPr>
          <w:szCs w:val="22"/>
        </w:rPr>
        <w:t>Schválení</w:t>
      </w:r>
    </w:p>
    <w:p w14:paraId="32632FA2" w14:textId="77777777" w:rsidR="006A6403" w:rsidRDefault="00BB7AA9">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6A6403" w14:paraId="67669CB1" w14:textId="77777777">
        <w:trPr>
          <w:trHeight w:val="374"/>
        </w:trPr>
        <w:tc>
          <w:tcPr>
            <w:tcW w:w="3256" w:type="dxa"/>
            <w:vAlign w:val="center"/>
          </w:tcPr>
          <w:p w14:paraId="22272468" w14:textId="77777777" w:rsidR="006A6403" w:rsidRDefault="00BB7AA9">
            <w:pPr>
              <w:rPr>
                <w:b/>
              </w:rPr>
            </w:pPr>
            <w:r>
              <w:rPr>
                <w:b/>
              </w:rPr>
              <w:t>Role</w:t>
            </w:r>
          </w:p>
        </w:tc>
        <w:tc>
          <w:tcPr>
            <w:tcW w:w="2976" w:type="dxa"/>
            <w:vAlign w:val="center"/>
          </w:tcPr>
          <w:p w14:paraId="52AC795B" w14:textId="77777777" w:rsidR="006A6403" w:rsidRDefault="00BB7AA9">
            <w:pPr>
              <w:rPr>
                <w:b/>
              </w:rPr>
            </w:pPr>
            <w:r>
              <w:rPr>
                <w:b/>
              </w:rPr>
              <w:t>Jméno</w:t>
            </w:r>
          </w:p>
        </w:tc>
        <w:tc>
          <w:tcPr>
            <w:tcW w:w="2977" w:type="dxa"/>
            <w:vAlign w:val="center"/>
          </w:tcPr>
          <w:p w14:paraId="3DB86E27" w14:textId="77777777" w:rsidR="006A6403" w:rsidRDefault="00BB7AA9">
            <w:pPr>
              <w:rPr>
                <w:b/>
              </w:rPr>
            </w:pPr>
            <w:r>
              <w:rPr>
                <w:b/>
              </w:rPr>
              <w:t>Podpis</w:t>
            </w:r>
          </w:p>
        </w:tc>
      </w:tr>
      <w:tr w:rsidR="006A6403" w14:paraId="211D3D9D" w14:textId="77777777">
        <w:trPr>
          <w:trHeight w:val="510"/>
        </w:trPr>
        <w:tc>
          <w:tcPr>
            <w:tcW w:w="3256" w:type="dxa"/>
            <w:vAlign w:val="center"/>
          </w:tcPr>
          <w:p w14:paraId="669619ED" w14:textId="77777777" w:rsidR="006A6403" w:rsidRDefault="00BB7AA9">
            <w:r>
              <w:t>Žadatel/věcný garant</w:t>
            </w:r>
          </w:p>
        </w:tc>
        <w:tc>
          <w:tcPr>
            <w:tcW w:w="2976" w:type="dxa"/>
            <w:vAlign w:val="center"/>
          </w:tcPr>
          <w:p w14:paraId="276D7AF5" w14:textId="77777777" w:rsidR="006A6403" w:rsidRDefault="00BB7AA9">
            <w:r>
              <w:t>Kateřina Bělinová</w:t>
            </w:r>
          </w:p>
        </w:tc>
        <w:tc>
          <w:tcPr>
            <w:tcW w:w="2977" w:type="dxa"/>
            <w:vAlign w:val="center"/>
          </w:tcPr>
          <w:p w14:paraId="2E12C506" w14:textId="77777777" w:rsidR="006A6403" w:rsidRDefault="006A6403"/>
        </w:tc>
      </w:tr>
      <w:tr w:rsidR="006A6403" w14:paraId="5B485206" w14:textId="77777777">
        <w:trPr>
          <w:trHeight w:val="510"/>
        </w:trPr>
        <w:tc>
          <w:tcPr>
            <w:tcW w:w="3256" w:type="dxa"/>
            <w:vAlign w:val="center"/>
          </w:tcPr>
          <w:p w14:paraId="79D17FFB" w14:textId="77777777" w:rsidR="006A6403" w:rsidRDefault="00BB7AA9">
            <w:r>
              <w:t>Žadatel/věcný garant</w:t>
            </w:r>
          </w:p>
        </w:tc>
        <w:tc>
          <w:tcPr>
            <w:tcW w:w="2976" w:type="dxa"/>
            <w:vAlign w:val="center"/>
          </w:tcPr>
          <w:p w14:paraId="7527B91D" w14:textId="77777777" w:rsidR="006A6403" w:rsidRDefault="00BB7AA9">
            <w:r>
              <w:t>Lenka Typoltová</w:t>
            </w:r>
          </w:p>
        </w:tc>
        <w:tc>
          <w:tcPr>
            <w:tcW w:w="2977" w:type="dxa"/>
            <w:vAlign w:val="center"/>
          </w:tcPr>
          <w:p w14:paraId="0FF59456" w14:textId="77777777" w:rsidR="006A6403" w:rsidRDefault="006A6403"/>
        </w:tc>
      </w:tr>
      <w:tr w:rsidR="006A6403" w14:paraId="3504DB94" w14:textId="77777777">
        <w:trPr>
          <w:trHeight w:val="510"/>
        </w:trPr>
        <w:tc>
          <w:tcPr>
            <w:tcW w:w="3256" w:type="dxa"/>
            <w:vAlign w:val="center"/>
          </w:tcPr>
          <w:p w14:paraId="007FA586" w14:textId="77777777" w:rsidR="006A6403" w:rsidRDefault="00BB7AA9">
            <w:r>
              <w:t>Koordinátor změny</w:t>
            </w:r>
          </w:p>
        </w:tc>
        <w:tc>
          <w:tcPr>
            <w:tcW w:w="2976" w:type="dxa"/>
            <w:vAlign w:val="center"/>
          </w:tcPr>
          <w:p w14:paraId="3BFDA407" w14:textId="77777777" w:rsidR="006A6403" w:rsidRDefault="00BB7AA9">
            <w:r>
              <w:t>Jiří Bukovský</w:t>
            </w:r>
          </w:p>
        </w:tc>
        <w:tc>
          <w:tcPr>
            <w:tcW w:w="2977" w:type="dxa"/>
            <w:vAlign w:val="center"/>
          </w:tcPr>
          <w:p w14:paraId="0C8A69AD" w14:textId="77777777" w:rsidR="006A6403" w:rsidRDefault="006A6403"/>
        </w:tc>
      </w:tr>
      <w:tr w:rsidR="006A6403" w14:paraId="2117A90E" w14:textId="77777777">
        <w:trPr>
          <w:trHeight w:val="510"/>
        </w:trPr>
        <w:tc>
          <w:tcPr>
            <w:tcW w:w="3256" w:type="dxa"/>
            <w:vAlign w:val="center"/>
          </w:tcPr>
          <w:p w14:paraId="16688C6B" w14:textId="77777777" w:rsidR="006A6403" w:rsidRDefault="00BB7AA9">
            <w:r>
              <w:t>Oprávněná osoba dle smlouvy</w:t>
            </w:r>
          </w:p>
        </w:tc>
        <w:tc>
          <w:tcPr>
            <w:tcW w:w="2976" w:type="dxa"/>
            <w:vAlign w:val="center"/>
          </w:tcPr>
          <w:p w14:paraId="43DF9B92" w14:textId="77777777" w:rsidR="006A6403" w:rsidRDefault="00BB7AA9">
            <w:r>
              <w:t>Vladimír Velas</w:t>
            </w:r>
          </w:p>
        </w:tc>
        <w:tc>
          <w:tcPr>
            <w:tcW w:w="2977" w:type="dxa"/>
            <w:vAlign w:val="center"/>
          </w:tcPr>
          <w:p w14:paraId="745FFA71" w14:textId="77777777" w:rsidR="006A6403" w:rsidRDefault="006A6403"/>
        </w:tc>
      </w:tr>
    </w:tbl>
    <w:p w14:paraId="23BD360F" w14:textId="77777777" w:rsidR="006A6403" w:rsidRDefault="00BB7AA9">
      <w:pPr>
        <w:spacing w:before="60"/>
        <w:rPr>
          <w:sz w:val="16"/>
          <w:szCs w:val="16"/>
        </w:rPr>
      </w:pPr>
      <w:r>
        <w:rPr>
          <w:sz w:val="16"/>
          <w:szCs w:val="16"/>
        </w:rPr>
        <w:t>(Pozn.: Oprávněná osoba se uvede v případě, že je uvedena ve smlouvě.)</w:t>
      </w:r>
    </w:p>
    <w:p w14:paraId="2CCFAB3A" w14:textId="77777777" w:rsidR="006A6403" w:rsidRDefault="006A6403">
      <w:pPr>
        <w:spacing w:before="60"/>
        <w:rPr>
          <w:sz w:val="16"/>
          <w:szCs w:val="16"/>
        </w:rPr>
      </w:pPr>
    </w:p>
    <w:p w14:paraId="35E89861" w14:textId="77777777" w:rsidR="006A6403" w:rsidRDefault="006A6403">
      <w:pPr>
        <w:spacing w:before="60"/>
        <w:rPr>
          <w:sz w:val="16"/>
          <w:szCs w:val="16"/>
        </w:rPr>
      </w:pPr>
    </w:p>
    <w:p w14:paraId="372A7F94" w14:textId="77777777" w:rsidR="006A6403" w:rsidRDefault="006A6403">
      <w:pPr>
        <w:spacing w:before="60"/>
        <w:rPr>
          <w:szCs w:val="22"/>
        </w:rPr>
        <w:sectPr w:rsidR="006A6403">
          <w:footerReference w:type="default" r:id="rId19"/>
          <w:pgSz w:w="11906" w:h="16838"/>
          <w:pgMar w:top="1560" w:right="1418" w:bottom="1134" w:left="992" w:header="567" w:footer="567" w:gutter="0"/>
          <w:pgNumType w:start="1"/>
          <w:cols w:space="708"/>
          <w:docGrid w:linePitch="360"/>
        </w:sectPr>
      </w:pPr>
    </w:p>
    <w:p w14:paraId="746D2F66" w14:textId="77777777" w:rsidR="006A6403" w:rsidRDefault="006A6403"/>
    <w:p w14:paraId="1BC045B5" w14:textId="77777777" w:rsidR="006A6403" w:rsidRDefault="00BB7AA9">
      <w:pPr>
        <w:pStyle w:val="Nadpis1"/>
        <w:ind w:left="142" w:firstLine="0"/>
      </w:pPr>
      <w:r>
        <w:t>Vysvětlivky</w:t>
      </w:r>
    </w:p>
    <w:p w14:paraId="3A3EE8BA" w14:textId="77777777" w:rsidR="006A6403" w:rsidRDefault="006A6403">
      <w:pPr>
        <w:pStyle w:val="Nadpis2"/>
      </w:pPr>
    </w:p>
    <w:sectPr w:rsidR="006A6403">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14B20" w14:textId="77777777" w:rsidR="00987B4C" w:rsidRDefault="00987B4C">
      <w:r>
        <w:separator/>
      </w:r>
    </w:p>
  </w:endnote>
  <w:endnote w:type="continuationSeparator" w:id="0">
    <w:p w14:paraId="420859DF" w14:textId="77777777" w:rsidR="00987B4C" w:rsidRDefault="00987B4C">
      <w:r>
        <w:continuationSeparator/>
      </w:r>
    </w:p>
  </w:endnote>
  <w:endnote w:id="1">
    <w:p w14:paraId="233A1671" w14:textId="77777777" w:rsidR="00987B4C" w:rsidRDefault="00987B4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67BBBCE"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3E07DA4" w14:textId="77777777" w:rsidR="00987B4C" w:rsidRDefault="00987B4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640D212"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FC7E00B"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1EAE83B"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BDBD7ED" w14:textId="77777777" w:rsidR="00987B4C" w:rsidRDefault="00987B4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BF79DA7" w14:textId="77777777" w:rsidR="00987B4C" w:rsidRDefault="00987B4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567E191" w14:textId="77777777" w:rsidR="00987B4C" w:rsidRDefault="00987B4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D453F9C" w14:textId="77777777" w:rsidR="00987B4C" w:rsidRDefault="00987B4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04A6058A" w14:textId="77777777" w:rsidR="00987B4C" w:rsidRDefault="00987B4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02F25A5" w14:textId="77777777" w:rsidR="00987B4C" w:rsidRDefault="00987B4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BC412B7" w14:textId="77777777" w:rsidR="00987B4C" w:rsidRDefault="00987B4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C0EE65A"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2A7C571" w14:textId="77777777" w:rsidR="00987B4C" w:rsidRDefault="00987B4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94E431C" w14:textId="77777777" w:rsidR="00987B4C" w:rsidRDefault="00987B4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A7178D0"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E34B620"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73BDF7C"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EF98D9C"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6BA735C"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9E87A85" w14:textId="77777777" w:rsidR="00987B4C" w:rsidRDefault="00987B4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6B121F2" w14:textId="77777777" w:rsidR="00987B4C" w:rsidRDefault="00987B4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50A3" w14:textId="77777777" w:rsidR="00987B4C" w:rsidRDefault="00987B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9EA49" w14:textId="64919F67" w:rsidR="00987B4C" w:rsidRDefault="00987B4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D6B5E">
      <w:rPr>
        <w:noProof/>
        <w:sz w:val="16"/>
        <w:szCs w:val="16"/>
      </w:rPr>
      <w:t>8</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AF3E" w14:textId="77777777" w:rsidR="00987B4C" w:rsidRDefault="00987B4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FF3E" w14:textId="41E62666" w:rsidR="00987B4C" w:rsidRDefault="00987B4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D6B5E">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D0A80" w14:textId="77777777" w:rsidR="00987B4C" w:rsidRDefault="00987B4C">
    <w:pPr>
      <w:pStyle w:val="Zpat"/>
    </w:pPr>
    <w:fldSimple w:instr=" DOCVARIABLE  dms_cj  \* MERGEFORMAT ">
      <w:r>
        <w:rPr>
          <w:bCs/>
        </w:rPr>
        <w:t>MZE-42265/2022-12122</w:t>
      </w:r>
    </w:fldSimple>
    <w:r>
      <w:tab/>
    </w:r>
    <w:r>
      <w:fldChar w:fldCharType="begin"/>
    </w:r>
    <w:r>
      <w:instrText>PAGE   \* MERGEFORMAT</w:instrText>
    </w:r>
    <w:r>
      <w:fldChar w:fldCharType="separate"/>
    </w:r>
    <w:r>
      <w:t>2</w:t>
    </w:r>
    <w:r>
      <w:fldChar w:fldCharType="end"/>
    </w:r>
  </w:p>
  <w:p w14:paraId="33D8B6B4" w14:textId="77777777" w:rsidR="00987B4C" w:rsidRDefault="0098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FB9CA" w14:textId="77777777" w:rsidR="00987B4C" w:rsidRDefault="00987B4C">
      <w:r>
        <w:separator/>
      </w:r>
    </w:p>
  </w:footnote>
  <w:footnote w:type="continuationSeparator" w:id="0">
    <w:p w14:paraId="57511A7C" w14:textId="77777777" w:rsidR="00987B4C" w:rsidRDefault="00987B4C">
      <w:r>
        <w:continuationSeparator/>
      </w:r>
    </w:p>
  </w:footnote>
  <w:footnote w:id="1">
    <w:p w14:paraId="5FE1B86A" w14:textId="77777777" w:rsidR="00987B4C" w:rsidRDefault="00987B4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16C9505" w14:textId="77777777" w:rsidR="00987B4C" w:rsidRDefault="00987B4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D9DCAD6" w14:textId="77777777" w:rsidR="00987B4C" w:rsidRDefault="00987B4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97B74D8" w14:textId="77777777" w:rsidR="00987B4C" w:rsidRDefault="00987B4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47B9" w14:textId="77777777" w:rsidR="00987B4C" w:rsidRDefault="00987B4C">
    <w:pPr>
      <w:pStyle w:val="Zhlav"/>
    </w:pPr>
    <w:r>
      <w:pict w14:anchorId="0214A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8f89e8b-d4b0-4346-9b98-30a27bb23ae0"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9A97" w14:textId="77777777" w:rsidR="00987B4C" w:rsidRDefault="00987B4C">
    <w:pPr>
      <w:pStyle w:val="Zhlav"/>
    </w:pPr>
    <w:r>
      <w:pict w14:anchorId="6DF53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08f50b-7e10-4ec6-a09d-195f4bde8e86"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E7C7" w14:textId="77777777" w:rsidR="00987B4C" w:rsidRDefault="00987B4C">
    <w:pPr>
      <w:pStyle w:val="Zhlav"/>
    </w:pPr>
    <w:r>
      <w:pict w14:anchorId="72E17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a4ddd9-e07f-4859-aaa9-c5e739537f6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31DE" w14:textId="77777777" w:rsidR="00987B4C" w:rsidRDefault="00987B4C">
    <w:r>
      <w:pict w14:anchorId="4E268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514cef2-766c-42ca-b0c8-ce6018f7de25"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B46B" w14:textId="77777777" w:rsidR="00987B4C" w:rsidRDefault="00987B4C">
    <w:r>
      <w:pict w14:anchorId="36276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10abd85-93ba-4a28-afec-b08afdcd300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C624" w14:textId="77777777" w:rsidR="00987B4C" w:rsidRDefault="00987B4C">
    <w:r>
      <w:pict w14:anchorId="2165F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eca0db9-0b29-474b-b491-4064ee73f465"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57D"/>
    <w:multiLevelType w:val="multilevel"/>
    <w:tmpl w:val="049AD73E"/>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D7291D"/>
    <w:multiLevelType w:val="multilevel"/>
    <w:tmpl w:val="238AE5A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6269F"/>
    <w:multiLevelType w:val="multilevel"/>
    <w:tmpl w:val="DB2E171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E9B2EE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41583C6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6890D2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224E8F"/>
    <w:multiLevelType w:val="multilevel"/>
    <w:tmpl w:val="17407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540B79"/>
    <w:multiLevelType w:val="multilevel"/>
    <w:tmpl w:val="773E0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8D0092"/>
    <w:multiLevelType w:val="multilevel"/>
    <w:tmpl w:val="0C94D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521209"/>
    <w:multiLevelType w:val="multilevel"/>
    <w:tmpl w:val="68B2F7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1968F2A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lvlOverride w:ilvl="0">
      <w:startOverride w:val="2"/>
    </w:lvlOverride>
    <w:lvlOverride w:ilvl="1">
      <w:startOverride w:val="2"/>
    </w:lvlOverride>
  </w:num>
  <w:num w:numId="13">
    <w:abstractNumId w:val="0"/>
    <w:lvlOverride w:ilvl="0">
      <w:startOverride w:val="3"/>
    </w:lvlOverride>
    <w:lvlOverride w:ilvl="1">
      <w:startOverride w:val="2"/>
    </w:lvlOverride>
  </w:num>
  <w:num w:numId="14">
    <w:abstractNumId w:val="0"/>
    <w:lvlOverride w:ilvl="0">
      <w:startOverride w:val="3"/>
    </w:lvlOverride>
    <w:lvlOverride w:ilvl="1">
      <w:startOverride w:val="6"/>
    </w:lvlOverride>
    <w:lvlOverride w:ilvl="2">
      <w:startOverride w:val="2"/>
    </w:lvlOverride>
  </w:num>
  <w:num w:numId="15">
    <w:abstractNumId w:val="0"/>
    <w:lvlOverride w:ilvl="0">
      <w:startOverride w:val="4"/>
    </w:lvlOverride>
    <w:lvlOverride w:ilvl="1">
      <w:startOverride w:val="2"/>
    </w:lvlOverride>
  </w:num>
  <w:num w:numId="16">
    <w:abstractNumId w:val="0"/>
    <w:lvlOverride w:ilvl="0">
      <w:startOverride w:val="9"/>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3605048"/>
    <w:docVar w:name="dms_carovy_kod_cj" w:val="MZE-42265/2022-12122"/>
    <w:docVar w:name="dms_cj" w:val="MZE-42265/2022-12122"/>
    <w:docVar w:name="dms_cj_skn" w:val=" "/>
    <w:docVar w:name="dms_datum" w:val="1. 7. 2022"/>
    <w:docVar w:name="dms_datum_textem" w:val="1. července 2022"/>
    <w:docVar w:name="dms_datum_vzniku" w:val="1. 7. 2022 14:48: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337-RFC-PRAISII-HR-001-PZ686-LPIS-Implementace vrstvy erozní ohroženosti půd pro 2024 (SZP 23/3a)"/>
    <w:docVar w:name="dms_VNVSpravce" w:val=" "/>
    <w:docVar w:name="dms_zpracoval_jmeno" w:val="David Neužil"/>
    <w:docVar w:name="dms_zpracoval_mail" w:val="David.Neuzil@mze.cz"/>
    <w:docVar w:name="dms_zpracoval_telefon" w:val="221812012"/>
  </w:docVars>
  <w:rsids>
    <w:rsidRoot w:val="006A6403"/>
    <w:rsid w:val="005D6B5E"/>
    <w:rsid w:val="006A6403"/>
    <w:rsid w:val="00987B4C"/>
    <w:rsid w:val="00BB7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688DF93"/>
  <w15:docId w15:val="{E5FDBAA1-E566-4801-9955-4822FA77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2491</Words>
  <Characters>14699</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2</cp:revision>
  <dcterms:created xsi:type="dcterms:W3CDTF">2022-08-04T06:08:00Z</dcterms:created>
  <dcterms:modified xsi:type="dcterms:W3CDTF">2022-08-04T06:08:00Z</dcterms:modified>
</cp:coreProperties>
</file>