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2277" w:right="230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7211100223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LARM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ind w:left="102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Krajským</w:t>
      </w:r>
      <w:r>
        <w:rPr>
          <w:spacing w:val="-3"/>
        </w:rPr>
        <w:t> </w:t>
      </w:r>
      <w:r>
        <w:rPr/>
        <w:t>soudem</w:t>
      </w:r>
    </w:p>
    <w:p>
      <w:pPr>
        <w:pStyle w:val="BodyText"/>
        <w:spacing w:line="265" w:lineRule="exact"/>
        <w:ind w:left="102"/>
      </w:pPr>
      <w:r>
        <w:rPr/>
        <w:t>v</w:t>
      </w:r>
      <w:r>
        <w:rPr>
          <w:spacing w:val="-2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Budějovicích,</w:t>
      </w:r>
      <w:r>
        <w:rPr>
          <w:spacing w:val="-3"/>
        </w:rPr>
        <w:t> </w:t>
      </w:r>
      <w:r>
        <w:rPr/>
        <w:t>oddíl</w:t>
      </w:r>
      <w:r>
        <w:rPr>
          <w:spacing w:val="-1"/>
        </w:rPr>
        <w:t> </w:t>
      </w:r>
      <w:r>
        <w:rPr/>
        <w:t>B,</w:t>
      </w:r>
      <w:r>
        <w:rPr>
          <w:spacing w:val="-2"/>
        </w:rPr>
        <w:t> </w:t>
      </w:r>
      <w:r>
        <w:rPr/>
        <w:t>vložka</w:t>
      </w:r>
      <w:r>
        <w:rPr>
          <w:spacing w:val="-2"/>
        </w:rPr>
        <w:t> </w:t>
      </w:r>
      <w:r>
        <w:rPr/>
        <w:t>498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Triumf</w:t>
      </w:r>
      <w:r>
        <w:rPr>
          <w:spacing w:val="-1"/>
        </w:rPr>
        <w:t> </w:t>
      </w:r>
      <w:r>
        <w:rPr/>
        <w:t>413,</w:t>
      </w:r>
      <w:r>
        <w:rPr>
          <w:spacing w:val="-3"/>
        </w:rPr>
        <w:t> </w:t>
      </w:r>
      <w:r>
        <w:rPr/>
        <w:t>384 11</w:t>
      </w:r>
      <w:r>
        <w:rPr>
          <w:spacing w:val="-2"/>
        </w:rPr>
        <w:t> </w:t>
      </w:r>
      <w:r>
        <w:rPr/>
        <w:t>Netolice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46678166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společností</w:t>
      </w:r>
      <w:r>
        <w:rPr>
          <w:spacing w:val="59"/>
        </w:rPr>
        <w:t> </w:t>
      </w:r>
      <w:r>
        <w:rPr/>
        <w:t>Erste</w:t>
      </w:r>
      <w:r>
        <w:rPr>
          <w:spacing w:val="57"/>
        </w:rPr>
        <w:t> </w:t>
      </w:r>
      <w:r>
        <w:rPr/>
        <w:t>Grantika</w:t>
      </w:r>
      <w:r>
        <w:rPr>
          <w:spacing w:val="61"/>
        </w:rPr>
        <w:t> </w:t>
      </w:r>
      <w:r>
        <w:rPr/>
        <w:t>Advisory,</w:t>
      </w:r>
      <w:r>
        <w:rPr>
          <w:spacing w:val="58"/>
        </w:rPr>
        <w:t> </w:t>
      </w:r>
      <w:r>
        <w:rPr/>
        <w:t>a.s.,</w:t>
      </w:r>
      <w:r>
        <w:rPr>
          <w:spacing w:val="58"/>
        </w:rPr>
        <w:t> </w:t>
      </w:r>
      <w:r>
        <w:rPr/>
        <w:t>IČO:</w:t>
      </w:r>
      <w:r>
        <w:rPr>
          <w:spacing w:val="60"/>
        </w:rPr>
        <w:t> </w:t>
      </w:r>
      <w:r>
        <w:rPr/>
        <w:t>25597001,</w:t>
      </w:r>
      <w:r>
        <w:rPr>
          <w:spacing w:val="59"/>
        </w:rPr>
        <w:t> </w:t>
      </w:r>
      <w:r>
        <w:rPr/>
        <w:t>zastoupenou</w:t>
      </w:r>
    </w:p>
    <w:p>
      <w:pPr>
        <w:pStyle w:val="BodyText"/>
        <w:spacing w:before="1"/>
        <w:ind w:left="2982"/>
      </w:pPr>
      <w:r>
        <w:rPr>
          <w:spacing w:val="-1"/>
        </w:rPr>
        <w:t>Markem</w:t>
      </w:r>
      <w:r>
        <w:rPr>
          <w:spacing w:val="-11"/>
        </w:rPr>
        <w:t> </w:t>
      </w:r>
      <w:r>
        <w:rPr>
          <w:spacing w:val="-1"/>
        </w:rPr>
        <w:t>Šťastným,</w:t>
      </w:r>
      <w:r>
        <w:rPr>
          <w:spacing w:val="-11"/>
        </w:rPr>
        <w:t> </w:t>
      </w:r>
      <w:r>
        <w:rPr>
          <w:spacing w:val="-1"/>
        </w:rPr>
        <w:t>členem</w:t>
      </w:r>
      <w:r>
        <w:rPr>
          <w:spacing w:val="-11"/>
        </w:rPr>
        <w:t> </w:t>
      </w:r>
      <w:r>
        <w:rPr>
          <w:spacing w:val="-1"/>
        </w:rPr>
        <w:t>představenstva,</w:t>
      </w:r>
      <w:r>
        <w:rPr>
          <w:spacing w:val="-9"/>
        </w:rPr>
        <w:t> </w:t>
      </w:r>
      <w:r>
        <w:rPr/>
        <w:t>dle</w:t>
      </w:r>
      <w:r>
        <w:rPr>
          <w:spacing w:val="-12"/>
        </w:rPr>
        <w:t> </w:t>
      </w:r>
      <w:r>
        <w:rPr/>
        <w:t>plné</w:t>
      </w:r>
      <w:r>
        <w:rPr>
          <w:spacing w:val="-13"/>
        </w:rPr>
        <w:t> </w:t>
      </w:r>
      <w:r>
        <w:rPr/>
        <w:t>moci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dne</w:t>
      </w:r>
      <w:r>
        <w:rPr>
          <w:spacing w:val="-10"/>
        </w:rPr>
        <w:t> </w:t>
      </w:r>
      <w:r>
        <w:rPr/>
        <w:t>18.</w:t>
      </w:r>
      <w:r>
        <w:rPr>
          <w:spacing w:val="-11"/>
        </w:rPr>
        <w:t> </w:t>
      </w:r>
      <w:r>
        <w:rPr/>
        <w:t>7.</w:t>
      </w:r>
      <w:r>
        <w:rPr>
          <w:spacing w:val="-12"/>
        </w:rPr>
        <w:t> </w:t>
      </w:r>
      <w:r>
        <w:rPr/>
        <w:t>2022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1812035203/0300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spacing w:before="1"/>
        <w:ind w:left="2277" w:right="2306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31"/>
        <w:jc w:val="both"/>
      </w:pPr>
      <w:r>
        <w:rPr/>
        <w:t>„Smlouva“) se uzavírá na základě Rozhodnutí ministra životního prostředí č. 7211100223 o poskytnutí</w:t>
      </w:r>
      <w:r>
        <w:rPr>
          <w:spacing w:val="1"/>
        </w:rPr>
        <w:t> </w:t>
      </w:r>
      <w:r>
        <w:rPr/>
        <w:t>finančních prostředků ze Státního fondu životního prostředí ČR ze dne 8. 6 .2022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1"/>
        <w:ind w:left="102"/>
        <w:jc w:val="left"/>
      </w:pPr>
      <w:r>
        <w:rPr/>
        <w:t>„FVE</w:t>
      </w:r>
      <w:r>
        <w:rPr>
          <w:spacing w:val="-1"/>
        </w:rPr>
        <w:t> </w:t>
      </w:r>
      <w:r>
        <w:rPr/>
        <w:t>LARM</w:t>
      </w:r>
      <w:r>
        <w:rPr>
          <w:spacing w:val="-4"/>
        </w:rPr>
        <w:t> </w:t>
      </w:r>
      <w:r>
        <w:rPr/>
        <w:t>a.s.“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609" w:space="333"/>
            <w:col w:w="5698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6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693"/>
      </w:pPr>
      <w:r>
        <w:rPr/>
        <w:t>II.</w:t>
      </w:r>
    </w:p>
    <w:p>
      <w:pPr>
        <w:pStyle w:val="Heading2"/>
        <w:spacing w:line="265" w:lineRule="exact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819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459,20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jeden</w:t>
      </w:r>
      <w:r>
        <w:rPr>
          <w:spacing w:val="-3"/>
        </w:rPr>
        <w:t> </w:t>
      </w:r>
      <w:r>
        <w:rPr/>
        <w:t>milion</w:t>
      </w:r>
      <w:r>
        <w:rPr>
          <w:spacing w:val="-2"/>
        </w:rPr>
        <w:t> </w:t>
      </w:r>
      <w:r>
        <w:rPr/>
        <w:t>osm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devatenáct</w:t>
      </w:r>
      <w:r>
        <w:rPr>
          <w:spacing w:val="-4"/>
        </w:rPr>
        <w:t> </w:t>
      </w:r>
      <w:r>
        <w:rPr/>
        <w:t>tisíc</w:t>
      </w:r>
      <w:r>
        <w:rPr>
          <w:spacing w:val="-1"/>
        </w:rPr>
        <w:t> </w:t>
      </w: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padesát</w:t>
      </w:r>
      <w:r>
        <w:rPr>
          <w:spacing w:val="-2"/>
        </w:rPr>
        <w:t> </w:t>
      </w:r>
      <w:r>
        <w:rPr/>
        <w:t>devět</w:t>
      </w:r>
      <w:r>
        <w:rPr>
          <w:spacing w:val="5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3"/>
        </w:rPr>
        <w:t> </w:t>
      </w:r>
      <w:r>
        <w:rPr/>
        <w:t>dvacet</w:t>
      </w:r>
      <w:r>
        <w:rPr>
          <w:spacing w:val="-4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 6 147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10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1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7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2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8"/>
          <w:sz w:val="20"/>
        </w:rPr>
        <w:t> </w:t>
      </w:r>
      <w:r>
        <w:rPr>
          <w:sz w:val="20"/>
        </w:rPr>
        <w:t>požadované</w:t>
      </w:r>
      <w:r>
        <w:rPr>
          <w:spacing w:val="32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5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3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3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2"/>
          <w:sz w:val="20"/>
        </w:rPr>
        <w:t> </w:t>
      </w:r>
      <w:r>
        <w:rPr>
          <w:sz w:val="20"/>
        </w:rPr>
        <w:t>rozpočtem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4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9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8"/>
          <w:sz w:val="20"/>
        </w:rPr>
        <w:t> </w:t>
      </w:r>
      <w:r>
        <w:rPr>
          <w:sz w:val="20"/>
        </w:rPr>
        <w:t>obsahovat</w:t>
      </w:r>
      <w:r>
        <w:rPr>
          <w:spacing w:val="9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8"/>
          <w:sz w:val="20"/>
        </w:rPr>
        <w:t> </w:t>
      </w:r>
      <w:r>
        <w:rPr>
          <w:sz w:val="20"/>
        </w:rPr>
        <w:t>Výzvou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Rozhodnutím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1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9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4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37" w:lineRule="auto" w:before="123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4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8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0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„FVE</w:t>
      </w:r>
      <w:r>
        <w:rPr>
          <w:spacing w:val="-2"/>
          <w:sz w:val="20"/>
        </w:rPr>
        <w:t> </w:t>
      </w:r>
      <w:r>
        <w:rPr>
          <w:sz w:val="20"/>
        </w:rPr>
        <w:t>LARM</w:t>
      </w:r>
      <w:r>
        <w:rPr>
          <w:spacing w:val="-1"/>
          <w:sz w:val="20"/>
        </w:rPr>
        <w:t> </w:t>
      </w:r>
      <w:r>
        <w:rPr>
          <w:sz w:val="20"/>
        </w:rPr>
        <w:t>a.s.“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 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  <w:tab w:pos="1771" w:val="left" w:leader="none"/>
          <w:tab w:pos="2833" w:val="left" w:leader="none"/>
          <w:tab w:pos="3663" w:val="left" w:leader="none"/>
          <w:tab w:pos="4909" w:val="left" w:leader="none"/>
          <w:tab w:pos="5667" w:val="left" w:leader="none"/>
          <w:tab w:pos="7130" w:val="left" w:leader="none"/>
          <w:tab w:pos="8329" w:val="left" w:leader="none"/>
          <w:tab w:pos="8737" w:val="left" w:leader="none"/>
        </w:tabs>
        <w:spacing w:line="240" w:lineRule="auto" w:before="1" w:after="0"/>
        <w:ind w:left="745" w:right="135" w:hanging="360"/>
        <w:jc w:val="left"/>
        <w:rPr>
          <w:sz w:val="20"/>
        </w:rPr>
      </w:pPr>
      <w:r>
        <w:rPr>
          <w:sz w:val="20"/>
        </w:rPr>
        <w:t>realizací</w:t>
        <w:tab/>
        <w:t>projektu</w:t>
        <w:tab/>
        <w:t>dojde</w:t>
        <w:tab/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  <w:tab/>
        <w:t>nové</w:t>
        <w:tab/>
        <w:t>fotovoltaické</w:t>
        <w:tab/>
        <w:t>elektrárny</w:t>
        <w:tab/>
        <w:t>s</w:t>
        <w:tab/>
      </w:r>
      <w:r>
        <w:rPr>
          <w:spacing w:val="-1"/>
          <w:sz w:val="20"/>
        </w:rPr>
        <w:t>pozemní</w:t>
      </w:r>
      <w:r>
        <w:rPr>
          <w:spacing w:val="-52"/>
          <w:sz w:val="20"/>
        </w:rPr>
        <w:t> </w:t>
      </w:r>
      <w:r>
        <w:rPr>
          <w:sz w:val="20"/>
        </w:rPr>
        <w:t>instalací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předpokládaným</w:t>
      </w:r>
      <w:r>
        <w:rPr>
          <w:spacing w:val="3"/>
          <w:sz w:val="20"/>
        </w:rPr>
        <w:t> </w:t>
      </w:r>
      <w:r>
        <w:rPr>
          <w:sz w:val="20"/>
        </w:rPr>
        <w:t>výkonem 248 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1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0.24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244.95</w:t>
            </w:r>
          </w:p>
        </w:tc>
      </w:tr>
      <w:tr>
        <w:trPr>
          <w:trHeight w:val="530" w:hRule="atLeast"/>
        </w:trPr>
        <w:tc>
          <w:tcPr>
            <w:tcW w:w="3965" w:type="dxa"/>
          </w:tcPr>
          <w:p>
            <w:pPr>
              <w:pStyle w:val="TableParagraph"/>
              <w:spacing w:line="264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2266.44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242.14</w:t>
            </w:r>
          </w:p>
        </w:tc>
      </w:tr>
    </w:tbl>
    <w:p>
      <w:pPr>
        <w:pStyle w:val="BodyText"/>
        <w:spacing w:before="13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7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6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1" w:after="0"/>
        <w:ind w:left="745" w:right="134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8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1"/>
          <w:sz w:val="20"/>
        </w:rPr>
        <w:t> </w:t>
      </w:r>
      <w:r>
        <w:rPr>
          <w:sz w:val="20"/>
        </w:rPr>
        <w:t>řádu</w:t>
      </w:r>
      <w:r>
        <w:rPr>
          <w:spacing w:val="9"/>
          <w:sz w:val="20"/>
        </w:rPr>
        <w:t> </w:t>
      </w:r>
      <w:r>
        <w:rPr>
          <w:sz w:val="20"/>
        </w:rPr>
        <w:t>(stavební</w:t>
      </w:r>
      <w:r>
        <w:rPr>
          <w:spacing w:val="12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9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1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datum 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7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současně</w:t>
      </w:r>
      <w:r>
        <w:rPr>
          <w:spacing w:val="1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platbu,</w:t>
      </w:r>
      <w:r>
        <w:rPr>
          <w:spacing w:val="19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3</w:t>
      </w:r>
      <w:r>
        <w:rPr>
          <w:spacing w:val="16"/>
          <w:sz w:val="20"/>
        </w:rPr>
        <w:t> </w:t>
      </w:r>
      <w:r>
        <w:rPr>
          <w:sz w:val="20"/>
        </w:rPr>
        <w:t>měsíců</w:t>
      </w:r>
      <w:r>
        <w:rPr>
          <w:spacing w:val="18"/>
          <w:sz w:val="20"/>
        </w:rPr>
        <w:t> </w:t>
      </w:r>
      <w:r>
        <w:rPr>
          <w:sz w:val="20"/>
        </w:rPr>
        <w:t>od</w:t>
      </w:r>
      <w:r>
        <w:rPr>
          <w:spacing w:val="20"/>
          <w:sz w:val="20"/>
        </w:rPr>
        <w:t> </w:t>
      </w:r>
      <w:r>
        <w:rPr>
          <w:sz w:val="20"/>
        </w:rPr>
        <w:t>termínu</w:t>
      </w:r>
      <w:r>
        <w:rPr>
          <w:spacing w:val="20"/>
          <w:sz w:val="20"/>
        </w:rPr>
        <w:t> </w:t>
      </w:r>
      <w:r>
        <w:rPr>
          <w:sz w:val="20"/>
        </w:rPr>
        <w:t>stanoveného</w:t>
      </w:r>
      <w:r>
        <w:rPr>
          <w:spacing w:val="19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745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1"/>
        </w:rPr>
        <w:t> </w:t>
      </w:r>
      <w:r>
        <w:rPr/>
        <w:t>14.2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9237" w:val="left" w:leader="none"/>
        </w:tabs>
        <w:spacing w:line="240" w:lineRule="auto" w:before="9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provozu (podle písmene e)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Kolaudačního</w:t>
      </w:r>
      <w:r>
        <w:rPr>
          <w:spacing w:val="35"/>
          <w:sz w:val="20"/>
        </w:rPr>
        <w:t> </w:t>
      </w:r>
      <w:r>
        <w:rPr>
          <w:sz w:val="20"/>
        </w:rPr>
        <w:t>souhlasu,</w:t>
      </w:r>
      <w:r>
        <w:rPr>
          <w:spacing w:val="36"/>
          <w:sz w:val="20"/>
        </w:rPr>
        <w:t> </w:t>
      </w:r>
      <w:r>
        <w:rPr>
          <w:sz w:val="20"/>
        </w:rPr>
        <w:t>doložení</w:t>
      </w:r>
      <w:r>
        <w:rPr>
          <w:spacing w:val="36"/>
          <w:sz w:val="20"/>
        </w:rPr>
        <w:t> </w:t>
      </w:r>
      <w:r>
        <w:rPr>
          <w:sz w:val="20"/>
        </w:rPr>
        <w:t>oslovení</w:t>
      </w:r>
      <w:r>
        <w:rPr>
          <w:spacing w:val="41"/>
          <w:sz w:val="20"/>
        </w:rPr>
        <w:t> </w:t>
      </w:r>
      <w:r>
        <w:rPr>
          <w:sz w:val="20"/>
        </w:rPr>
        <w:t>stavebního</w:t>
      </w:r>
      <w:r>
        <w:rPr>
          <w:spacing w:val="37"/>
          <w:sz w:val="20"/>
        </w:rPr>
        <w:t> </w:t>
      </w:r>
      <w:r>
        <w:rPr>
          <w:sz w:val="20"/>
        </w:rPr>
        <w:t>úřadu</w:t>
      </w:r>
      <w:r>
        <w:rPr>
          <w:spacing w:val="36"/>
          <w:sz w:val="20"/>
        </w:rPr>
        <w:t> </w:t>
      </w:r>
      <w:r>
        <w:rPr>
          <w:sz w:val="20"/>
        </w:rPr>
        <w:t>nebo</w:t>
      </w:r>
      <w:r>
        <w:rPr>
          <w:spacing w:val="37"/>
          <w:sz w:val="20"/>
        </w:rPr>
        <w:t> </w:t>
      </w:r>
      <w:r>
        <w:rPr>
          <w:sz w:val="20"/>
        </w:rPr>
        <w:t>souhlasu</w:t>
      </w:r>
      <w:r>
        <w:rPr>
          <w:spacing w:val="35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užíváním).</w:t>
      </w:r>
      <w:r>
        <w:rPr>
          <w:spacing w:val="-52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  <w:tab/>
      </w:r>
      <w:r>
        <w:rPr>
          <w:spacing w:val="-2"/>
          <w:sz w:val="20"/>
        </w:rPr>
        <w:t>tak</w:t>
      </w:r>
    </w:p>
    <w:p>
      <w:pPr>
        <w:pStyle w:val="BodyText"/>
        <w:spacing w:line="265" w:lineRule="exact"/>
        <w:ind w:left="745"/>
        <w:jc w:val="both"/>
      </w:pPr>
      <w:r>
        <w:rPr/>
        <w:t>o</w:t>
      </w:r>
      <w:r>
        <w:rPr>
          <w:spacing w:val="21"/>
        </w:rPr>
        <w:t> </w:t>
      </w:r>
      <w:r>
        <w:rPr/>
        <w:t>případném</w:t>
      </w:r>
      <w:r>
        <w:rPr>
          <w:spacing w:val="24"/>
        </w:rPr>
        <w:t> </w:t>
      </w:r>
      <w:r>
        <w:rPr/>
        <w:t>stavění</w:t>
      </w:r>
      <w:r>
        <w:rPr>
          <w:spacing w:val="23"/>
        </w:rPr>
        <w:t> </w:t>
      </w:r>
      <w:r>
        <w:rPr/>
        <w:t>uvedené</w:t>
      </w:r>
      <w:r>
        <w:rPr>
          <w:spacing w:val="22"/>
        </w:rPr>
        <w:t> </w:t>
      </w:r>
      <w:r>
        <w:rPr/>
        <w:t>lhůty.</w:t>
      </w:r>
      <w:r>
        <w:rPr>
          <w:spacing w:val="21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"/>
        </w:rPr>
        <w:t> </w:t>
      </w:r>
      <w:r>
        <w:rPr/>
        <w:t>takovém</w:t>
      </w:r>
      <w:r>
        <w:rPr>
          <w:spacing w:val="22"/>
        </w:rPr>
        <w:t> </w:t>
      </w:r>
      <w:r>
        <w:rPr/>
        <w:t>případě</w:t>
      </w:r>
      <w:r>
        <w:rPr>
          <w:spacing w:val="21"/>
        </w:rPr>
        <w:t> </w:t>
      </w:r>
      <w:r>
        <w:rPr/>
        <w:t>povinen</w:t>
      </w:r>
      <w:r>
        <w:rPr>
          <w:spacing w:val="20"/>
        </w:rPr>
        <w:t> </w:t>
      </w:r>
      <w:r>
        <w:rPr/>
        <w:t>zajistit,</w:t>
      </w:r>
      <w:r>
        <w:rPr>
          <w:spacing w:val="20"/>
        </w:rPr>
        <w:t> </w:t>
      </w:r>
      <w:r>
        <w:rPr/>
        <w:t>aby</w:t>
      </w:r>
    </w:p>
    <w:p>
      <w:pPr>
        <w:pStyle w:val="BodyText"/>
        <w:spacing w:line="265" w:lineRule="exact"/>
        <w:ind w:left="745"/>
        <w:jc w:val="both"/>
      </w:pPr>
      <w:r>
        <w:rPr/>
        <w:t>v</w:t>
      </w:r>
      <w:r>
        <w:rPr>
          <w:spacing w:val="-1"/>
        </w:rPr>
        <w:t> </w:t>
      </w:r>
      <w:r>
        <w:rPr/>
        <w:t>době</w:t>
      </w:r>
      <w:r>
        <w:rPr>
          <w:spacing w:val="-3"/>
        </w:rPr>
        <w:t> </w:t>
      </w:r>
      <w:r>
        <w:rPr/>
        <w:t>stavění</w:t>
      </w:r>
      <w:r>
        <w:rPr>
          <w:spacing w:val="-3"/>
        </w:rPr>
        <w:t> </w:t>
      </w:r>
      <w:r>
        <w:rPr/>
        <w:t>běhu</w:t>
      </w:r>
      <w:r>
        <w:rPr>
          <w:spacing w:val="-2"/>
        </w:rPr>
        <w:t> </w:t>
      </w:r>
      <w:r>
        <w:rPr/>
        <w:t>lhůty</w:t>
      </w:r>
      <w:r>
        <w:rPr>
          <w:spacing w:val="-3"/>
        </w:rPr>
        <w:t> </w:t>
      </w:r>
      <w:r>
        <w:rPr/>
        <w:t>došlo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nápravě</w:t>
      </w:r>
      <w:r>
        <w:rPr>
          <w:spacing w:val="-3"/>
        </w:rPr>
        <w:t> </w:t>
      </w:r>
      <w:r>
        <w:rPr/>
        <w:t>vzniklého</w:t>
      </w:r>
      <w:r>
        <w:rPr>
          <w:spacing w:val="-1"/>
        </w:rPr>
        <w:t> </w:t>
      </w:r>
      <w:r>
        <w:rPr/>
        <w:t>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2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80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</w:p>
    <w:p>
      <w:pPr>
        <w:pStyle w:val="BodyText"/>
        <w:ind w:left="745" w:right="132"/>
        <w:jc w:val="both"/>
      </w:pPr>
      <w:r>
        <w:rPr/>
        <w:t>o účetnictví, v platném znění, zákon č. 586/1992 Sb., o daních z příjmů, v platném znění). Příjemce</w:t>
      </w:r>
      <w:r>
        <w:rPr>
          <w:spacing w:val="1"/>
        </w:rPr>
        <w:t> </w:t>
      </w:r>
      <w:r>
        <w:rPr>
          <w:w w:val="95"/>
        </w:rPr>
        <w:t>podpory se zavazuje všechny transakce související s akcí odděleně identifikovat od ostatních účetních</w:t>
      </w:r>
      <w:r>
        <w:rPr>
          <w:spacing w:val="1"/>
          <w:w w:val="95"/>
        </w:rPr>
        <w:t> </w:t>
      </w:r>
      <w:r>
        <w:rPr/>
        <w:t>transakcí,</w:t>
      </w:r>
      <w:r>
        <w:rPr>
          <w:spacing w:val="-6"/>
        </w:rPr>
        <w:t> </w:t>
      </w:r>
      <w:r>
        <w:rPr/>
        <w:t>které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akcí</w:t>
      </w:r>
      <w:r>
        <w:rPr>
          <w:spacing w:val="-3"/>
        </w:rPr>
        <w:t> </w:t>
      </w:r>
      <w:r>
        <w:rPr/>
        <w:t>nesouvisejí,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zavazuje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vést</w:t>
      </w:r>
      <w:r>
        <w:rPr>
          <w:spacing w:val="-4"/>
        </w:rPr>
        <w:t> </w:t>
      </w:r>
      <w:r>
        <w:rPr/>
        <w:t>analytickou</w:t>
      </w:r>
      <w:r>
        <w:rPr>
          <w:spacing w:val="-2"/>
        </w:rPr>
        <w:t> </w:t>
      </w:r>
      <w:r>
        <w:rPr/>
        <w:t>evidenci</w:t>
      </w:r>
      <w:r>
        <w:rPr>
          <w:spacing w:val="-4"/>
        </w:rPr>
        <w:t> </w:t>
      </w:r>
      <w:r>
        <w:rPr/>
        <w:t>s</w:t>
      </w:r>
      <w:r>
        <w:rPr>
          <w:spacing w:val="3"/>
        </w:rPr>
        <w:t> </w:t>
      </w:r>
      <w:r>
        <w:rPr/>
        <w:t>vazbou</w:t>
      </w:r>
      <w:r>
        <w:rPr>
          <w:spacing w:val="-5"/>
        </w:rPr>
        <w:t> </w:t>
      </w:r>
      <w:r>
        <w:rPr/>
        <w:t>ke</w:t>
      </w:r>
      <w:r>
        <w:rPr>
          <w:spacing w:val="-5"/>
        </w:rPr>
        <w:t> </w:t>
      </w:r>
      <w:r>
        <w:rPr/>
        <w:t>konkrétní</w:t>
      </w:r>
      <w:r>
        <w:rPr>
          <w:spacing w:val="-6"/>
        </w:rPr>
        <w:t> </w:t>
      </w:r>
      <w:r>
        <w:rPr/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5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6"/>
          <w:sz w:val="20"/>
        </w:rPr>
        <w:t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2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0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1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2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9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8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</w:t>
      </w:r>
      <w:r>
        <w:rPr>
          <w:spacing w:val="16"/>
          <w:sz w:val="20"/>
        </w:rPr>
        <w:t> </w:t>
      </w:r>
      <w:r>
        <w:rPr>
          <w:sz w:val="20"/>
        </w:rPr>
        <w:t>nezkreslené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úplné.</w:t>
      </w:r>
      <w:r>
        <w:rPr>
          <w:spacing w:val="16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přitom</w:t>
      </w:r>
      <w:r>
        <w:rPr>
          <w:spacing w:val="18"/>
          <w:sz w:val="20"/>
        </w:rPr>
        <w:t> </w:t>
      </w:r>
      <w:r>
        <w:rPr>
          <w:sz w:val="20"/>
        </w:rPr>
        <w:t>bere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kterékoliv</w:t>
      </w:r>
      <w:r>
        <w:rPr>
          <w:spacing w:val="17"/>
          <w:sz w:val="20"/>
        </w:rPr>
        <w:t> </w:t>
      </w:r>
      <w:r>
        <w:rPr>
          <w:sz w:val="20"/>
        </w:rPr>
        <w:t>jeho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vnitřním</w:t>
      </w:r>
      <w:r>
        <w:rPr>
          <w:spacing w:val="-11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7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18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47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5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3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44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6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spacing w:line="265" w:lineRule="exact"/>
        <w:ind w:left="385"/>
        <w:jc w:val="both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spacing w:after="0" w:line="265" w:lineRule="exact"/>
        <w:jc w:val="both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left="385"/>
      </w:pPr>
      <w:r>
        <w:rPr/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4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-1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2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7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4" w:val="left" w:leader="none"/>
        </w:tabs>
        <w:spacing w:line="261" w:lineRule="auto" w:before="1"/>
        <w:ind w:left="102"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2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ohledem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1"/>
          <w:sz w:val="20"/>
        </w:rPr>
        <w:t> </w:t>
      </w:r>
      <w:r>
        <w:rPr>
          <w:sz w:val="20"/>
        </w:rPr>
        <w:t>míry</w:t>
      </w:r>
      <w:r>
        <w:rPr>
          <w:spacing w:val="81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1"/>
          <w:sz w:val="20"/>
        </w:rPr>
        <w:t> </w:t>
      </w:r>
      <w:r>
        <w:rPr>
          <w:sz w:val="20"/>
        </w:rPr>
        <w:t>efektivity</w:t>
      </w:r>
      <w:r>
        <w:rPr>
          <w:spacing w:val="81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2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63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9584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2022-08-01T12:12:54Z</dcterms:created>
  <dcterms:modified xsi:type="dcterms:W3CDTF">2022-08-01T12:12:54Z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2022-08-01T00:00:00Z</vt:filetime>
  </property>
</Properties>
</file>