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3079750</wp:posOffset>
            </wp:positionH>
            <wp:positionV relativeFrom="margin">
              <wp:posOffset>1270</wp:posOffset>
            </wp:positionV>
            <wp:extent cx="1487170" cy="8413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7170" cy="841375"/>
                    </a:xfrm>
                    <a:prstGeom prst="rect"/>
                  </pic:spPr>
                </pic:pic>
              </a:graphicData>
            </a:graphic>
          </wp:anchor>
        </w:drawing>
      </w:r>
    </w:p>
    <w:p>
      <w:pPr>
        <w:widowControl w:val="0"/>
        <w:spacing w:line="360" w:lineRule="exact"/>
      </w:pPr>
    </w:p>
    <w:p>
      <w:pPr>
        <w:widowControl w:val="0"/>
        <w:spacing w:after="604" w:line="1" w:lineRule="exact"/>
      </w:pPr>
    </w:p>
    <w:p>
      <w:pPr>
        <w:widowControl w:val="0"/>
        <w:spacing w:line="1" w:lineRule="exact"/>
        <w:sectPr>
          <w:footerReference w:type="default" r:id="rId7"/>
          <w:footnotePr>
            <w:pos w:val="pageBottom"/>
            <w:numFmt w:val="decimal"/>
            <w:numRestart w:val="continuous"/>
          </w:footnotePr>
          <w:pgSz w:w="11900" w:h="16840"/>
          <w:pgMar w:top="706" w:left="1090" w:right="1090" w:bottom="1024" w:header="278" w:footer="3" w:gutter="0"/>
          <w:pgNumType w:start="1"/>
          <w:cols w:space="720"/>
          <w:noEndnote/>
          <w:rtlGutter w:val="0"/>
          <w:docGrid w:linePitch="360"/>
        </w:sectPr>
      </w:pPr>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11900" w:h="16840"/>
          <w:pgMar w:top="709" w:left="0" w:right="0" w:bottom="1512" w:header="0" w:footer="3" w:gutter="0"/>
          <w:cols w:space="720"/>
          <w:noEndnote/>
          <w:rtlGutter w:val="0"/>
          <w:docGrid w:linePitch="360"/>
        </w:sectPr>
      </w:pPr>
    </w:p>
    <w:tbl>
      <w:tblPr>
        <w:tblOverlap w:val="never"/>
        <w:jc w:val="center"/>
        <w:tblLayout w:type="fixed"/>
      </w:tblPr>
      <w:tblGrid>
        <w:gridCol w:w="2582"/>
        <w:gridCol w:w="7114"/>
      </w:tblGrid>
      <w:tr>
        <w:trPr>
          <w:trHeight w:val="27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1260" w:right="0" w:firstLine="0"/>
              <w:jc w:val="left"/>
              <w:rPr>
                <w:sz w:val="28"/>
                <w:szCs w:val="28"/>
              </w:rPr>
            </w:pPr>
            <w:r>
              <w:rPr>
                <w:b/>
                <w:bCs/>
                <w:color w:val="000000"/>
                <w:spacing w:val="0"/>
                <w:w w:val="100"/>
                <w:position w:val="0"/>
                <w:sz w:val="28"/>
                <w:szCs w:val="28"/>
                <w:shd w:val="clear" w:color="auto" w:fill="auto"/>
                <w:lang w:val="cs-CZ" w:eastAsia="cs-CZ" w:bidi="cs-CZ"/>
              </w:rPr>
              <w:t>Smlouva o dílo</w:t>
            </w:r>
          </w:p>
        </w:tc>
      </w:tr>
    </w:tbl>
    <w:p>
      <w:pPr>
        <w:widowControl w:val="0"/>
        <w:spacing w:after="259" w:line="1" w:lineRule="exact"/>
      </w:pPr>
    </w:p>
    <w:p>
      <w:pPr>
        <w:pStyle w:val="Style9"/>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cs-CZ" w:eastAsia="cs-CZ" w:bidi="cs-CZ"/>
        </w:rPr>
        <w:t>uzavřená podle § 2586 Občanského zákoníku a jeho následných ustanovení. Smluvní povinnost</w:t>
        <w:br/>
        <w:t>vyplývá ze zákona č. 20/1987 Sb. o státní památkové péči ve znění pozdějších předpisů.</w:t>
      </w:r>
    </w:p>
    <w:p>
      <w:pPr>
        <w:widowControl w:val="0"/>
        <w:spacing w:line="1" w:lineRule="exact"/>
      </w:pPr>
      <w:r>
        <mc:AlternateContent>
          <mc:Choice Requires="wps">
            <w:drawing>
              <wp:anchor distT="304800" distB="960120" distL="0" distR="0" simplePos="0" relativeHeight="125829378" behindDoc="0" locked="0" layoutInCell="1" allowOverlap="1">
                <wp:simplePos x="0" y="0"/>
                <wp:positionH relativeFrom="page">
                  <wp:posOffset>739140</wp:posOffset>
                </wp:positionH>
                <wp:positionV relativeFrom="paragraph">
                  <wp:posOffset>304800</wp:posOffset>
                </wp:positionV>
                <wp:extent cx="6156960" cy="1551305"/>
                <wp:wrapTopAndBottom/>
                <wp:docPr id="5" name="Shape 5"/>
                <a:graphic xmlns:a="http://schemas.openxmlformats.org/drawingml/2006/main">
                  <a:graphicData uri="http://schemas.microsoft.com/office/word/2010/wordprocessingShape">
                    <wps:wsp>
                      <wps:cNvSpPr txBox="1"/>
                      <wps:spPr>
                        <a:xfrm>
                          <a:ext cx="6156960" cy="1551305"/>
                        </a:xfrm>
                        <a:prstGeom prst="rect"/>
                        <a:noFill/>
                      </wps:spPr>
                      <wps:txbx>
                        <w:txbxContent>
                          <w:tbl>
                            <w:tblPr>
                              <w:tblOverlap w:val="never"/>
                              <w:jc w:val="left"/>
                              <w:tblLayout w:type="fixed"/>
                            </w:tblPr>
                            <w:tblGrid>
                              <w:gridCol w:w="2582"/>
                              <w:gridCol w:w="7114"/>
                            </w:tblGrid>
                            <w:tr>
                              <w:trPr>
                                <w:tblHeader/>
                                <w:trHeight w:val="1147" w:hRule="exact"/>
                              </w:trPr>
                              <w:tc>
                                <w:tcPr>
                                  <w:tcBorders/>
                                  <w:shd w:val="clear" w:color="auto" w:fill="FFFFFF"/>
                                  <w:vAlign w:val="top"/>
                                </w:tcPr>
                                <w:p>
                                  <w:pPr>
                                    <w:pStyle w:val="Style6"/>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a</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Muzeum Vysočiny Havlíčkův Brod, příspěvková organizace,</w:t>
                                  </w:r>
                                </w:p>
                                <w:p>
                                  <w:pPr>
                                    <w:pStyle w:val="Style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Havlíčkovo nám. 19, 580 01 Havlíčkův Brod</w:t>
                                  </w:r>
                                </w:p>
                              </w:tc>
                            </w:tr>
                            <w:tr>
                              <w:trPr>
                                <w:trHeight w:val="50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Mgr. Evou Fikarovou,</w:t>
                                  </w:r>
                                </w:p>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ředitelkou Muzea Vysočiny Havlíčkův Brod, p. o.</w:t>
                                  </w:r>
                                </w:p>
                              </w:tc>
                            </w:tr>
                            <w:tr>
                              <w:trPr>
                                <w:trHeight w:val="26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Nadřízený orgán:</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Kraj Vysočina, Žižkova 57, 586 01 Jihlava</w:t>
                                  </w:r>
                                </w:p>
                              </w:tc>
                            </w:tr>
                            <w:tr>
                              <w:trPr>
                                <w:trHeight w:val="24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00083607</w:t>
                                  </w:r>
                                </w:p>
                              </w:tc>
                            </w:tr>
                            <w:tr>
                              <w:trPr>
                                <w:trHeight w:val="283"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Peněžní ústav:</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Komerční banka a. s., pobočka Havlíčkův Brod</w:t>
                                  </w:r>
                                </w:p>
                              </w:tc>
                            </w:tr>
                          </w:tbl>
                          <w:p>
                            <w:pPr>
                              <w:widowControl w:val="0"/>
                              <w:spacing w:line="1" w:lineRule="exact"/>
                            </w:pPr>
                          </w:p>
                        </w:txbxContent>
                      </wps:txbx>
                      <wps:bodyPr lIns="0" tIns="0" rIns="0" bIns="0">
                        <a:noAutoFit/>
                      </wps:bodyPr>
                    </wps:wsp>
                  </a:graphicData>
                </a:graphic>
              </wp:anchor>
            </w:drawing>
          </mc:Choice>
          <mc:Fallback>
            <w:pict>
              <v:shape id="_x0000_s1031" type="#_x0000_t202" style="position:absolute;margin-left:58.200000000000003pt;margin-top:24.pt;width:484.80000000000001pt;height:122.15000000000001pt;z-index:-125829375;mso-wrap-distance-left:0;mso-wrap-distance-top:24.pt;mso-wrap-distance-right:0;mso-wrap-distance-bottom:75.599999999999994pt;mso-position-horizontal-relative:page" filled="f" stroked="f">
                <v:textbox inset="0,0,0,0">
                  <w:txbxContent>
                    <w:tbl>
                      <w:tblPr>
                        <w:tblOverlap w:val="never"/>
                        <w:jc w:val="left"/>
                        <w:tblLayout w:type="fixed"/>
                      </w:tblPr>
                      <w:tblGrid>
                        <w:gridCol w:w="2582"/>
                        <w:gridCol w:w="7114"/>
                      </w:tblGrid>
                      <w:tr>
                        <w:trPr>
                          <w:tblHeader/>
                          <w:trHeight w:val="1147" w:hRule="exact"/>
                        </w:trPr>
                        <w:tc>
                          <w:tcPr>
                            <w:tcBorders/>
                            <w:shd w:val="clear" w:color="auto" w:fill="FFFFFF"/>
                            <w:vAlign w:val="top"/>
                          </w:tcPr>
                          <w:p>
                            <w:pPr>
                              <w:pStyle w:val="Style6"/>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a</w: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Muzeum Vysočiny Havlíčkův Brod, příspěvková organizace,</w:t>
                            </w:r>
                          </w:p>
                          <w:p>
                            <w:pPr>
                              <w:pStyle w:val="Style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Havlíčkovo nám. 19, 580 01 Havlíčkův Brod</w:t>
                            </w:r>
                          </w:p>
                        </w:tc>
                      </w:tr>
                      <w:tr>
                        <w:trPr>
                          <w:trHeight w:val="50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Mgr. Evou Fikarovou,</w:t>
                            </w:r>
                          </w:p>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ředitelkou Muzea Vysočiny Havlíčkův Brod, p. o.</w:t>
                            </w:r>
                          </w:p>
                        </w:tc>
                      </w:tr>
                      <w:tr>
                        <w:trPr>
                          <w:trHeight w:val="26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Nadřízený orgán:</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Kraj Vysočina, Žižkova 57, 586 01 Jihlava</w:t>
                            </w:r>
                          </w:p>
                        </w:tc>
                      </w:tr>
                      <w:tr>
                        <w:trPr>
                          <w:trHeight w:val="24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00083607</w:t>
                            </w:r>
                          </w:p>
                        </w:tc>
                      </w:tr>
                      <w:tr>
                        <w:trPr>
                          <w:trHeight w:val="283"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Peněžní ústav:</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Komerční banka a. s., pobočka Havlíčkův Brod</w:t>
                            </w:r>
                          </w:p>
                        </w:tc>
                      </w:tr>
                    </w:tbl>
                    <w:p>
                      <w:pPr>
                        <w:widowControl w:val="0"/>
                        <w:spacing w:line="1" w:lineRule="exact"/>
                      </w:pPr>
                    </w:p>
                  </w:txbxContent>
                </v:textbox>
                <w10:wrap type="topAndBottom" anchorx="page"/>
              </v:shape>
            </w:pict>
          </mc:Fallback>
        </mc:AlternateContent>
      </w:r>
      <w:r>
        <mc:AlternateContent>
          <mc:Choice Requires="wps">
            <w:drawing>
              <wp:anchor distT="1822450" distB="0" distL="0" distR="0" simplePos="0" relativeHeight="125829380" behindDoc="0" locked="0" layoutInCell="1" allowOverlap="1">
                <wp:simplePos x="0" y="0"/>
                <wp:positionH relativeFrom="page">
                  <wp:posOffset>739140</wp:posOffset>
                </wp:positionH>
                <wp:positionV relativeFrom="paragraph">
                  <wp:posOffset>1822450</wp:posOffset>
                </wp:positionV>
                <wp:extent cx="6153785" cy="993775"/>
                <wp:wrapTopAndBottom/>
                <wp:docPr id="7" name="Shape 7"/>
                <a:graphic xmlns:a="http://schemas.openxmlformats.org/drawingml/2006/main">
                  <a:graphicData uri="http://schemas.microsoft.com/office/word/2010/wordprocessingShape">
                    <wps:wsp>
                      <wps:cNvSpPr txBox="1"/>
                      <wps:spPr>
                        <a:xfrm>
                          <a:ext cx="6153785" cy="9937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Organizace je zapsána v OR vedeného Krajským soudem v Hradci Králové, oddíl Pr., vložka č.732 V technických věcech je oprávněn jednat:</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txbxContent>
                      </wps:txbx>
                      <wps:bodyPr lIns="0" tIns="0" rIns="0" bIns="0">
                        <a:noAutoFit/>
                      </wps:bodyPr>
                    </wps:wsp>
                  </a:graphicData>
                </a:graphic>
              </wp:anchor>
            </w:drawing>
          </mc:Choice>
          <mc:Fallback>
            <w:pict>
              <v:shape id="_x0000_s1033" type="#_x0000_t202" style="position:absolute;margin-left:58.200000000000003pt;margin-top:143.5pt;width:484.55000000000001pt;height:78.25pt;z-index:-125829373;mso-wrap-distance-left:0;mso-wrap-distance-top:143.5pt;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Organizace je zapsána v OR vedeného Krajským soudem v Hradci Králové, oddíl Pr., vložka č.732 V technických věcech je oprávněn jednat:</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txbxContent>
                </v:textbox>
                <w10:wrap type="topAndBottom" anchorx="page"/>
              </v:shape>
            </w:pict>
          </mc:Fallback>
        </mc:AlternateContent>
      </w:r>
    </w:p>
    <w:tbl>
      <w:tblPr>
        <w:tblOverlap w:val="never"/>
        <w:jc w:val="center"/>
        <w:tblLayout w:type="fixed"/>
      </w:tblPr>
      <w:tblGrid>
        <w:gridCol w:w="2582"/>
        <w:gridCol w:w="7118"/>
      </w:tblGrid>
      <w:tr>
        <w:trPr>
          <w:trHeight w:val="37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6"/>
              <w:keepNext w:val="0"/>
              <w:keepLines w:val="0"/>
              <w:widowControl w:val="0"/>
              <w:shd w:val="clear" w:color="auto" w:fill="auto"/>
              <w:bidi w:val="0"/>
              <w:spacing w:before="0" w:after="0" w:line="240" w:lineRule="auto"/>
              <w:ind w:left="1460" w:right="0" w:firstLine="0"/>
              <w:jc w:val="left"/>
            </w:pPr>
            <w:r>
              <w:rPr>
                <w:b/>
                <w:bCs/>
                <w:color w:val="000000"/>
                <w:spacing w:val="0"/>
                <w:w w:val="100"/>
                <w:position w:val="0"/>
                <w:shd w:val="clear" w:color="auto" w:fill="auto"/>
                <w:lang w:val="cs-CZ" w:eastAsia="cs-CZ" w:bidi="cs-CZ"/>
              </w:rPr>
              <w:t>1. Smluvní strany</w:t>
            </w:r>
          </w:p>
        </w:tc>
      </w:tr>
      <w:tr>
        <w:trPr>
          <w:trHeight w:val="389"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3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Kosovská 1122/16, 586 01 Jihlava</w:t>
            </w:r>
          </w:p>
        </w:tc>
      </w:tr>
      <w:tr>
        <w:trPr>
          <w:trHeight w:val="26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Ing. Radovanem Necidem, ředitelem organizace</w:t>
            </w:r>
          </w:p>
        </w:tc>
      </w:tr>
      <w:tr>
        <w:trPr>
          <w:trHeight w:val="1013"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ve věcech technických:</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240" w:right="0" w:firstLine="1860"/>
              <w:jc w:val="left"/>
            </w:pPr>
            <w:r>
              <w:rPr>
                <w:color w:val="000000"/>
                <w:spacing w:val="0"/>
                <w:w w:val="100"/>
                <w:position w:val="0"/>
                <w:shd w:val="clear" w:color="auto" w:fill="auto"/>
                <w:lang w:val="cs-CZ" w:eastAsia="cs-CZ" w:bidi="cs-CZ"/>
              </w:rPr>
              <w:t>referent přípravy a realizace staveb, pracoviště Havlíčkův Brod, tel. mob:</w:t>
            </w:r>
          </w:p>
          <w:p>
            <w:pPr>
              <w:pStyle w:val="Style6"/>
              <w:keepNext w:val="0"/>
              <w:keepLines w:val="0"/>
              <w:widowControl w:val="0"/>
              <w:shd w:val="clear" w:color="auto" w:fill="auto"/>
              <w:tabs>
                <w:tab w:pos="1675" w:val="left"/>
              </w:tabs>
              <w:bidi w:val="0"/>
              <w:spacing w:before="0" w:after="0" w:line="240" w:lineRule="auto"/>
              <w:ind w:left="0" w:right="0" w:firstLine="240"/>
              <w:jc w:val="left"/>
            </w:pPr>
            <w:r>
              <w:rPr>
                <w:color w:val="000000"/>
                <w:spacing w:val="0"/>
                <w:w w:val="100"/>
                <w:position w:val="0"/>
                <w:shd w:val="clear" w:color="auto" w:fill="auto"/>
                <w:lang w:val="cs-CZ" w:eastAsia="cs-CZ" w:bidi="cs-CZ"/>
              </w:rPr>
              <w:t>email:</w:t>
              <w:tab/>
            </w:r>
            <w:r>
              <w:rPr>
                <w:color w:val="0000FF"/>
                <w:spacing w:val="0"/>
                <w:w w:val="100"/>
                <w:position w:val="0"/>
                <w:shd w:val="clear" w:color="auto" w:fill="auto"/>
                <w:lang w:val="cs-CZ" w:eastAsia="cs-CZ" w:bidi="cs-CZ"/>
              </w:rPr>
              <w:t>@</w:t>
            </w:r>
            <w:r>
              <w:rPr>
                <w:color w:val="0000FF"/>
                <w:spacing w:val="0"/>
                <w:w w:val="100"/>
                <w:position w:val="0"/>
                <w:shd w:val="clear" w:color="auto" w:fill="auto"/>
                <w:lang w:val="cs-CZ" w:eastAsia="cs-CZ" w:bidi="cs-CZ"/>
              </w:rPr>
              <w:t>ksusv.cz</w:t>
            </w:r>
          </w:p>
        </w:tc>
      </w:tr>
      <w:tr>
        <w:trPr>
          <w:trHeight w:val="49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 spojení:</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top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Komerční banka, a.s.</w:t>
            </w:r>
          </w:p>
        </w:tc>
      </w:tr>
      <w:tr>
        <w:trPr>
          <w:trHeight w:val="25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000 90 450</w:t>
            </w:r>
          </w:p>
        </w:tc>
      </w:tr>
      <w:tr>
        <w:trPr>
          <w:trHeight w:val="283"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CZ00090450</w:t>
            </w:r>
          </w:p>
        </w:tc>
      </w:tr>
    </w:tbl>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val="0"/>
          <w:bCs w:val="0"/>
          <w:color w:val="000000"/>
          <w:spacing w:val="0"/>
          <w:w w:val="100"/>
          <w:position w:val="0"/>
          <w:sz w:val="22"/>
          <w:szCs w:val="22"/>
          <w:shd w:val="clear" w:color="auto" w:fill="auto"/>
          <w:lang w:val="cs-CZ" w:eastAsia="cs-CZ" w:bidi="cs-CZ"/>
        </w:rPr>
        <w:t>Telefon:</w:t>
      </w:r>
    </w:p>
    <w:p>
      <w:pPr>
        <w:widowControl w:val="0"/>
        <w:spacing w:line="1" w:lineRule="exact"/>
      </w:pPr>
    </w:p>
    <w:tbl>
      <w:tblPr>
        <w:tblOverlap w:val="never"/>
        <w:jc w:val="center"/>
        <w:tblLayout w:type="fixed"/>
      </w:tblPr>
      <w:tblGrid>
        <w:gridCol w:w="2582"/>
        <w:gridCol w:w="7114"/>
      </w:tblGrid>
      <w:tr>
        <w:trPr>
          <w:trHeight w:val="298"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pPr>
            <w:r>
              <w:fldChar w:fldCharType="begin"/>
            </w:r>
            <w:r>
              <w:rPr/>
              <w:instrText> HYPERLINK "mailto:ksusv@ksusv.cz" </w:instrText>
            </w:r>
            <w:r>
              <w:fldChar w:fldCharType="separate"/>
            </w:r>
            <w:r>
              <w:rPr>
                <w:color w:val="0000FF"/>
                <w:spacing w:val="0"/>
                <w:w w:val="100"/>
                <w:position w:val="0"/>
                <w:shd w:val="clear" w:color="auto" w:fill="auto"/>
                <w:lang w:val="en-US" w:eastAsia="en-US" w:bidi="en-US"/>
              </w:rPr>
              <w:t>ksusv@ksusv.cz</w:t>
            </w:r>
            <w:r>
              <w:fldChar w:fldCharType="end"/>
            </w:r>
          </w:p>
        </w:tc>
      </w:tr>
      <w:tr>
        <w:trPr>
          <w:trHeight w:val="28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top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Kraj Vysočina</w:t>
            </w:r>
          </w:p>
        </w:tc>
      </w:tr>
    </w:tbl>
    <w:p>
      <w:pPr>
        <w:pStyle w:val="Style1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val="0"/>
          <w:bCs w:val="0"/>
          <w:color w:val="000000"/>
          <w:spacing w:val="0"/>
          <w:w w:val="100"/>
          <w:position w:val="0"/>
          <w:sz w:val="22"/>
          <w:szCs w:val="22"/>
          <w:shd w:val="clear" w:color="auto" w:fill="auto"/>
          <w:lang w:val="cs-CZ" w:eastAsia="cs-CZ" w:bidi="cs-CZ"/>
        </w:rPr>
        <w:t>(dále jen „objednatel“)</w:t>
      </w:r>
    </w:p>
    <w:p>
      <w:pPr>
        <w:pStyle w:val="Style20"/>
        <w:keepNext/>
        <w:keepLines/>
        <w:widowControl w:val="0"/>
        <w:numPr>
          <w:ilvl w:val="0"/>
          <w:numId w:val="1"/>
        </w:numPr>
        <w:shd w:val="clear" w:color="auto" w:fill="auto"/>
        <w:tabs>
          <w:tab w:pos="387" w:val="left"/>
        </w:tabs>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Předmět díla</w:t>
      </w:r>
      <w:bookmarkEnd w:id="0"/>
      <w:bookmarkEnd w:id="1"/>
    </w:p>
    <w:p>
      <w:pPr>
        <w:pStyle w:val="Style9"/>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Předmětem díla je provedení záchranného archeologického výzkumu na stavbě:</w:t>
      </w:r>
    </w:p>
    <w:p>
      <w:pPr>
        <w:pStyle w:val="Style20"/>
        <w:keepNext/>
        <w:keepLines/>
        <w:widowControl w:val="0"/>
        <w:shd w:val="clear" w:color="auto" w:fill="auto"/>
        <w:bidi w:val="0"/>
        <w:spacing w:before="0" w:after="2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II/345 Chotěboř - Ždírec nad Doubravou</w:t>
      </w:r>
      <w:bookmarkEnd w:id="2"/>
      <w:bookmarkEnd w:id="3"/>
    </w:p>
    <w:p>
      <w:pPr>
        <w:pStyle w:val="Style9"/>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Záchranný archeologický výzkum (dále jen „ZAV“) bude realizován formou dohledu, exkavace a dokumentace všech archeologických objektů, situací a movitých nálezů a to v místech stavby, kde dojde ke stavebním zásahům, kterými budou výše uvedené archeologické objekty, situace a movité</w:t>
      </w:r>
    </w:p>
    <w:p>
      <w:pPr>
        <w:widowControl w:val="0"/>
        <w:jc w:val="center"/>
        <w:rPr>
          <w:sz w:val="2"/>
          <w:szCs w:val="2"/>
        </w:rPr>
      </w:pPr>
      <w:r>
        <w:drawing>
          <wp:inline>
            <wp:extent cx="1493520" cy="59753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ext cx="1493520" cy="597535"/>
                    </a:xfrm>
                    <a:prstGeom prst="rect"/>
                  </pic:spPr>
                </pic:pic>
              </a:graphicData>
            </a:graphic>
          </wp:inline>
        </w:drawing>
      </w:r>
    </w:p>
    <w:p>
      <w:pPr>
        <w:widowControl w:val="0"/>
        <w:spacing w:after="179" w:line="1" w:lineRule="exact"/>
      </w:pPr>
    </w:p>
    <w:p>
      <w:pPr>
        <w:pStyle w:val="Style9"/>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nálezy ohroženy. Účelem výzkumu je identifikace a záchrana ohrožených archeologických památek. Smluvní povinnost vyplývá ze zákona č. 20/1987 Sb.</w:t>
      </w:r>
    </w:p>
    <w:p>
      <w:pPr>
        <w:pStyle w:val="Style9"/>
        <w:keepNext w:val="0"/>
        <w:keepLines w:val="0"/>
        <w:widowControl w:val="0"/>
        <w:numPr>
          <w:ilvl w:val="1"/>
          <w:numId w:val="1"/>
        </w:numPr>
        <w:shd w:val="clear" w:color="auto" w:fill="auto"/>
        <w:tabs>
          <w:tab w:pos="716" w:val="left"/>
        </w:tabs>
        <w:bidi w:val="0"/>
        <w:spacing w:before="0" w:line="240" w:lineRule="auto"/>
        <w:ind w:left="0" w:right="0" w:firstLine="0"/>
        <w:jc w:val="both"/>
      </w:pPr>
      <w:r>
        <w:rPr>
          <w:color w:val="000000"/>
          <w:spacing w:val="0"/>
          <w:w w:val="100"/>
          <w:position w:val="0"/>
          <w:shd w:val="clear" w:color="auto" w:fill="auto"/>
          <w:lang w:val="cs-CZ" w:eastAsia="cs-CZ" w:bidi="cs-CZ"/>
        </w:rPr>
        <w:t>Archeologický výzkum (dále též dílo) je tvořen:</w:t>
      </w:r>
    </w:p>
    <w:p>
      <w:pPr>
        <w:pStyle w:val="Style9"/>
        <w:keepNext w:val="0"/>
        <w:keepLines w:val="0"/>
        <w:widowControl w:val="0"/>
        <w:numPr>
          <w:ilvl w:val="2"/>
          <w:numId w:val="1"/>
        </w:numPr>
        <w:shd w:val="clear" w:color="auto" w:fill="auto"/>
        <w:tabs>
          <w:tab w:pos="1430" w:val="left"/>
        </w:tabs>
        <w:bidi w:val="0"/>
        <w:spacing w:before="0" w:line="240" w:lineRule="auto"/>
        <w:ind w:left="0" w:right="0" w:firstLine="720"/>
        <w:jc w:val="both"/>
      </w:pPr>
      <w:r>
        <w:rPr>
          <w:b/>
          <w:bCs/>
          <w:color w:val="000000"/>
          <w:spacing w:val="0"/>
          <w:w w:val="100"/>
          <w:position w:val="0"/>
          <w:shd w:val="clear" w:color="auto" w:fill="auto"/>
          <w:lang w:val="cs-CZ" w:eastAsia="cs-CZ" w:bidi="cs-CZ"/>
        </w:rPr>
        <w:t>terénní částí záchranného archeologického výzkumu</w:t>
      </w:r>
    </w:p>
    <w:p>
      <w:pPr>
        <w:pStyle w:val="Style20"/>
        <w:keepNext/>
        <w:keepLines/>
        <w:widowControl w:val="0"/>
        <w:shd w:val="clear" w:color="auto" w:fill="auto"/>
        <w:bidi w:val="0"/>
        <w:spacing w:before="0" w:line="240" w:lineRule="auto"/>
        <w:ind w:left="720" w:right="0" w:firstLine="20"/>
        <w:jc w:val="both"/>
      </w:pPr>
      <w:bookmarkStart w:id="4" w:name="bookmark4"/>
      <w:bookmarkStart w:id="5" w:name="bookmark5"/>
      <w:r>
        <w:rPr>
          <w:color w:val="000000"/>
          <w:spacing w:val="0"/>
          <w:w w:val="100"/>
          <w:position w:val="0"/>
          <w:shd w:val="clear" w:color="auto" w:fill="auto"/>
          <w:lang w:val="cs-CZ" w:eastAsia="cs-CZ" w:bidi="cs-CZ"/>
        </w:rPr>
        <w:t>2.1.II vyhodnocením terénní části a zpracováním expertního listu a případně nálezové zprávy (pozitivní zjištění).</w:t>
      </w:r>
      <w:bookmarkEnd w:id="4"/>
      <w:bookmarkEnd w:id="5"/>
    </w:p>
    <w:p>
      <w:pPr>
        <w:pStyle w:val="Style9"/>
        <w:keepNext w:val="0"/>
        <w:keepLines w:val="0"/>
        <w:widowControl w:val="0"/>
        <w:numPr>
          <w:ilvl w:val="1"/>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Prvním výsledkem díla bude </w:t>
      </w:r>
      <w:r>
        <w:rPr>
          <w:b/>
          <w:bCs/>
          <w:color w:val="000000"/>
          <w:spacing w:val="0"/>
          <w:w w:val="100"/>
          <w:position w:val="0"/>
          <w:shd w:val="clear" w:color="auto" w:fill="auto"/>
          <w:lang w:val="cs-CZ" w:eastAsia="cs-CZ" w:bidi="cs-CZ"/>
        </w:rPr>
        <w:t>expertní list</w:t>
      </w:r>
      <w:r>
        <w:rPr>
          <w:color w:val="000000"/>
          <w:spacing w:val="0"/>
          <w:w w:val="100"/>
          <w:position w:val="0"/>
          <w:shd w:val="clear" w:color="auto" w:fill="auto"/>
          <w:lang w:val="cs-CZ" w:eastAsia="cs-CZ" w:bidi="cs-CZ"/>
        </w:rPr>
        <w:t>, ve kterém budou sumarizovány výsledky terénní části ZAV (bod 2.1.I. této smlouvy). Expertní list slouží jako potvrzení o provedeném archeologickém výzkumu pro orgány činné ve stavebním řízení a pro potřeby objednatelovy další dokumentace.</w:t>
      </w:r>
    </w:p>
    <w:p>
      <w:pPr>
        <w:pStyle w:val="Style9"/>
        <w:keepNext w:val="0"/>
        <w:keepLines w:val="0"/>
        <w:widowControl w:val="0"/>
        <w:numPr>
          <w:ilvl w:val="1"/>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Druhým výsledkem díla v případě, že bude nálezová situace pozitivní, bude závěrečná </w:t>
      </w:r>
      <w:r>
        <w:rPr>
          <w:b/>
          <w:bCs/>
          <w:color w:val="000000"/>
          <w:spacing w:val="0"/>
          <w:w w:val="100"/>
          <w:position w:val="0"/>
          <w:shd w:val="clear" w:color="auto" w:fill="auto"/>
          <w:lang w:val="cs-CZ" w:eastAsia="cs-CZ" w:bidi="cs-CZ"/>
        </w:rPr>
        <w:t xml:space="preserve">nálezová zpráva </w:t>
      </w:r>
      <w:r>
        <w:rPr>
          <w:color w:val="000000"/>
          <w:spacing w:val="0"/>
          <w:w w:val="100"/>
          <w:position w:val="0"/>
          <w:shd w:val="clear" w:color="auto" w:fill="auto"/>
          <w:lang w:val="cs-CZ" w:eastAsia="cs-CZ" w:bidi="cs-CZ"/>
        </w:rPr>
        <w:t>o výsledcích ZAV na stavbě s vyhodnocením a zpracováním pořízené dokumentace a nalezených památek (bod 2.1.II. této smlouvy). Nálezová zpráva zpracovaná na podkladě výše uvedených činností bude obsahovat popis, dokumentaci a odborné vyhodnocení výzkumem zachycené situace.</w:t>
      </w:r>
    </w:p>
    <w:p>
      <w:pPr>
        <w:pStyle w:val="Style9"/>
        <w:keepNext w:val="0"/>
        <w:keepLines w:val="0"/>
        <w:widowControl w:val="0"/>
        <w:numPr>
          <w:ilvl w:val="1"/>
          <w:numId w:val="1"/>
        </w:numPr>
        <w:shd w:val="clear" w:color="auto" w:fill="auto"/>
        <w:tabs>
          <w:tab w:pos="716"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Expertní listy nebo v případě realizace plošného ZAV nálezové zprávy budou vyhotoveny zvlášť k jednotlivým částem této stavby. Stavba bude dělena na části s názvy dle bodu 4.4.</w:t>
      </w:r>
    </w:p>
    <w:p>
      <w:pPr>
        <w:pStyle w:val="Style20"/>
        <w:keepNext/>
        <w:keepLines/>
        <w:widowControl w:val="0"/>
        <w:numPr>
          <w:ilvl w:val="0"/>
          <w:numId w:val="1"/>
        </w:numPr>
        <w:shd w:val="clear" w:color="auto" w:fill="auto"/>
        <w:tabs>
          <w:tab w:pos="327" w:val="left"/>
        </w:tabs>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Termín plnění</w:t>
      </w:r>
      <w:bookmarkEnd w:id="6"/>
      <w:bookmarkEnd w:id="7"/>
    </w:p>
    <w:p>
      <w:pPr>
        <w:pStyle w:val="Style9"/>
        <w:keepNext w:val="0"/>
        <w:keepLines w:val="0"/>
        <w:widowControl w:val="0"/>
        <w:numPr>
          <w:ilvl w:val="0"/>
          <w:numId w:val="3"/>
        </w:numPr>
        <w:shd w:val="clear" w:color="auto" w:fill="auto"/>
        <w:tabs>
          <w:tab w:pos="716" w:val="left"/>
        </w:tabs>
        <w:bidi w:val="0"/>
        <w:spacing w:before="0" w:after="0" w:line="240" w:lineRule="auto"/>
        <w:ind w:left="720" w:right="0" w:hanging="720"/>
        <w:jc w:val="both"/>
      </w:pPr>
      <w:r>
        <w:rPr>
          <w:color w:val="000000"/>
          <w:spacing w:val="0"/>
          <w:w w:val="100"/>
          <w:position w:val="0"/>
          <w:shd w:val="clear" w:color="auto" w:fill="auto"/>
          <w:lang w:val="cs-CZ" w:eastAsia="cs-CZ" w:bidi="cs-CZ"/>
        </w:rPr>
        <w:t xml:space="preserve">Záchranný archeologický výzkum na stavbě uvedené v bodě 2.1. této smlouvy bude zahájen v návaznosti na výkopové práce, jejichž zahájení se objednatel zavazuje zhotoviteli oznámit písemně nejméně </w:t>
      </w:r>
      <w:r>
        <w:rPr>
          <w:b/>
          <w:bCs/>
          <w:color w:val="000000"/>
          <w:spacing w:val="0"/>
          <w:w w:val="100"/>
          <w:position w:val="0"/>
          <w:shd w:val="clear" w:color="auto" w:fill="auto"/>
          <w:lang w:val="cs-CZ" w:eastAsia="cs-CZ" w:bidi="cs-CZ"/>
        </w:rPr>
        <w:t xml:space="preserve">5 dnů </w:t>
      </w:r>
      <w:r>
        <w:rPr>
          <w:color w:val="000000"/>
          <w:spacing w:val="0"/>
          <w:w w:val="100"/>
          <w:position w:val="0"/>
          <w:shd w:val="clear" w:color="auto" w:fill="auto"/>
          <w:lang w:val="cs-CZ" w:eastAsia="cs-CZ" w:bidi="cs-CZ"/>
        </w:rPr>
        <w:t xml:space="preserve">před akcí nebo ohlásit osobě na tel. číslo </w:t>
      </w:r>
      <w:r>
        <w:rPr>
          <w:b/>
          <w:bCs/>
          <w:color w:val="000000"/>
          <w:spacing w:val="0"/>
          <w:w w:val="100"/>
          <w:position w:val="0"/>
          <w:shd w:val="clear" w:color="auto" w:fill="auto"/>
          <w:lang w:val="cs-CZ" w:eastAsia="cs-CZ" w:bidi="cs-CZ"/>
        </w:rPr>
        <w:t>569 429 151</w:t>
      </w:r>
      <w:r>
        <w:rPr>
          <w:color w:val="000000"/>
          <w:spacing w:val="0"/>
          <w:w w:val="100"/>
          <w:position w:val="0"/>
          <w:shd w:val="clear" w:color="auto" w:fill="auto"/>
          <w:lang w:val="cs-CZ" w:eastAsia="cs-CZ" w:bidi="cs-CZ"/>
        </w:rPr>
        <w:t xml:space="preserve">, příp. </w:t>
      </w:r>
      <w:r>
        <w:rPr>
          <w:b/>
          <w:bCs/>
          <w:color w:val="000000"/>
          <w:spacing w:val="0"/>
          <w:w w:val="100"/>
          <w:position w:val="0"/>
          <w:shd w:val="clear" w:color="auto" w:fill="auto"/>
          <w:lang w:val="cs-CZ" w:eastAsia="cs-CZ" w:bidi="cs-CZ"/>
        </w:rPr>
        <w:t>732 720 494</w:t>
      </w:r>
      <w:r>
        <w:rPr>
          <w:color w:val="000000"/>
          <w:spacing w:val="0"/>
          <w:w w:val="100"/>
          <w:position w:val="0"/>
          <w:shd w:val="clear" w:color="auto" w:fill="auto"/>
          <w:lang w:val="cs-CZ" w:eastAsia="cs-CZ" w:bidi="cs-CZ"/>
        </w:rPr>
        <w:t>. Terénní část výzkumu (dle odstavce 2.1.I.) bude probíhat po celou dobu trvání stavebních prací, které mohou archeologické památky ohrozit.</w:t>
      </w:r>
    </w:p>
    <w:p>
      <w:pPr>
        <w:pStyle w:val="Style9"/>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Termín ukončení bude stanoven v dohodě zhotovitele s objednatelem, případně s odpovědným zástupcem (technickým dozorem stavby).</w:t>
      </w:r>
    </w:p>
    <w:p>
      <w:pPr>
        <w:pStyle w:val="Style9"/>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Již během trvání terénní části výzkumu dle odst. 2.1.I. této smlouvy zahájí zhotovitel zpracovávání výzkumu do podoby </w:t>
      </w:r>
      <w:r>
        <w:rPr>
          <w:b/>
          <w:bCs/>
          <w:color w:val="000000"/>
          <w:spacing w:val="0"/>
          <w:w w:val="100"/>
          <w:position w:val="0"/>
          <w:shd w:val="clear" w:color="auto" w:fill="auto"/>
          <w:lang w:val="cs-CZ" w:eastAsia="cs-CZ" w:bidi="cs-CZ"/>
        </w:rPr>
        <w:t xml:space="preserve">expertního listu </w:t>
      </w:r>
      <w:r>
        <w:rPr>
          <w:color w:val="000000"/>
          <w:spacing w:val="0"/>
          <w:w w:val="100"/>
          <w:position w:val="0"/>
          <w:shd w:val="clear" w:color="auto" w:fill="auto"/>
          <w:lang w:val="cs-CZ" w:eastAsia="cs-CZ" w:bidi="cs-CZ"/>
        </w:rPr>
        <w:t xml:space="preserve">dle odst. 2.1.II. této smlouvy, které zhotovitel ukončí </w:t>
      </w:r>
      <w:r>
        <w:rPr>
          <w:b/>
          <w:bCs/>
          <w:color w:val="000000"/>
          <w:spacing w:val="0"/>
          <w:w w:val="100"/>
          <w:position w:val="0"/>
          <w:shd w:val="clear" w:color="auto" w:fill="auto"/>
          <w:lang w:val="cs-CZ" w:eastAsia="cs-CZ" w:bidi="cs-CZ"/>
        </w:rPr>
        <w:t xml:space="preserve">do 1 měsíce </w:t>
      </w:r>
      <w:r>
        <w:rPr>
          <w:color w:val="000000"/>
          <w:spacing w:val="0"/>
          <w:w w:val="100"/>
          <w:position w:val="0"/>
          <w:shd w:val="clear" w:color="auto" w:fill="auto"/>
          <w:lang w:val="cs-CZ" w:eastAsia="cs-CZ" w:bidi="cs-CZ"/>
        </w:rPr>
        <w:t>od ukončení terénní části výzkumu. Ve stejném termínu bude vyhotoven expertní list.</w:t>
      </w:r>
    </w:p>
    <w:p>
      <w:pPr>
        <w:pStyle w:val="Style9"/>
        <w:keepNext w:val="0"/>
        <w:keepLines w:val="0"/>
        <w:widowControl w:val="0"/>
        <w:numPr>
          <w:ilvl w:val="0"/>
          <w:numId w:val="3"/>
        </w:numPr>
        <w:shd w:val="clear" w:color="auto" w:fill="auto"/>
        <w:tabs>
          <w:tab w:pos="716" w:val="left"/>
        </w:tabs>
        <w:bidi w:val="0"/>
        <w:spacing w:before="0" w:after="560" w:line="240" w:lineRule="auto"/>
        <w:ind w:left="720" w:right="0" w:hanging="720"/>
        <w:jc w:val="both"/>
      </w:pPr>
      <w:r>
        <w:rPr>
          <w:color w:val="000000"/>
          <w:spacing w:val="0"/>
          <w:w w:val="100"/>
          <w:position w:val="0"/>
          <w:shd w:val="clear" w:color="auto" w:fill="auto"/>
          <w:lang w:val="cs-CZ" w:eastAsia="cs-CZ" w:bidi="cs-CZ"/>
        </w:rPr>
        <w:t>Bude-li objednatel v prodlení s úhradou faktur zhotovitele vystavených dle této smlouvy, prodlužují se termíny provádění a zhotovení díla sjednané v této smlouvě o počet dnů prodlení objednatele s úhradou kterékoli části sjednané ceny díla. Zhotovitel je navíc oprávněn po dobu prodlení objednatele s úhradou kterékoli části sjednané ceny díla zcela zastavit práce na provádění díla.</w:t>
      </w:r>
    </w:p>
    <w:p>
      <w:pPr>
        <w:pStyle w:val="Style20"/>
        <w:keepNext/>
        <w:keepLines/>
        <w:widowControl w:val="0"/>
        <w:numPr>
          <w:ilvl w:val="0"/>
          <w:numId w:val="1"/>
        </w:numPr>
        <w:shd w:val="clear" w:color="auto" w:fill="auto"/>
        <w:tabs>
          <w:tab w:pos="322" w:val="left"/>
        </w:tabs>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w:t>
      </w:r>
      <w:bookmarkEnd w:id="8"/>
      <w:bookmarkEnd w:id="9"/>
    </w:p>
    <w:p>
      <w:pPr>
        <w:pStyle w:val="Style9"/>
        <w:keepNext w:val="0"/>
        <w:keepLines w:val="0"/>
        <w:widowControl w:val="0"/>
        <w:numPr>
          <w:ilvl w:val="1"/>
          <w:numId w:val="1"/>
        </w:numPr>
        <w:shd w:val="clear" w:color="auto" w:fill="auto"/>
        <w:tabs>
          <w:tab w:pos="716" w:val="left"/>
        </w:tabs>
        <w:bidi w:val="0"/>
        <w:spacing w:before="0" w:after="240" w:line="218" w:lineRule="auto"/>
        <w:ind w:left="720" w:right="0" w:hanging="720"/>
        <w:jc w:val="both"/>
      </w:pPr>
      <w:r>
        <w:rPr>
          <w:color w:val="000000"/>
          <w:spacing w:val="0"/>
          <w:w w:val="100"/>
          <w:position w:val="0"/>
          <w:shd w:val="clear" w:color="auto" w:fill="auto"/>
          <w:lang w:val="cs-CZ" w:eastAsia="cs-CZ" w:bidi="cs-CZ"/>
        </w:rPr>
        <w:t>Objednatel se zavazuje zaplatit zhotoviteli cenu za dílo na podkladě faktur, ve kterých budou uvedeny druh a množství skutečně provedených prací.</w:t>
      </w:r>
    </w:p>
    <w:p>
      <w:pPr>
        <w:pStyle w:val="Style9"/>
        <w:keepNext w:val="0"/>
        <w:keepLines w:val="0"/>
        <w:widowControl w:val="0"/>
        <w:shd w:val="clear" w:color="auto" w:fill="auto"/>
        <w:bidi w:val="0"/>
        <w:spacing w:before="0" w:after="240" w:line="240" w:lineRule="auto"/>
        <w:ind w:left="720" w:right="0" w:firstLine="20"/>
        <w:jc w:val="both"/>
      </w:pPr>
      <w:r>
        <w:rPr>
          <w:color w:val="000000"/>
          <w:spacing w:val="0"/>
          <w:w w:val="100"/>
          <w:position w:val="0"/>
          <w:shd w:val="clear" w:color="auto" w:fill="auto"/>
          <w:lang w:val="cs-CZ" w:eastAsia="cs-CZ" w:bidi="cs-CZ"/>
        </w:rPr>
        <w:t xml:space="preserve">Cena za dílo nepřesáhne </w:t>
      </w:r>
      <w:r>
        <w:rPr>
          <w:b/>
          <w:bCs/>
          <w:color w:val="000000"/>
          <w:spacing w:val="0"/>
          <w:w w:val="100"/>
          <w:position w:val="0"/>
          <w:shd w:val="clear" w:color="auto" w:fill="auto"/>
          <w:lang w:val="cs-CZ" w:eastAsia="cs-CZ" w:bidi="cs-CZ"/>
        </w:rPr>
        <w:t xml:space="preserve">15 000 Kč </w:t>
      </w:r>
      <w:r>
        <w:rPr>
          <w:color w:val="000000"/>
          <w:spacing w:val="0"/>
          <w:w w:val="100"/>
          <w:position w:val="0"/>
          <w:shd w:val="clear" w:color="auto" w:fill="auto"/>
          <w:lang w:val="cs-CZ" w:eastAsia="cs-CZ" w:bidi="cs-CZ"/>
        </w:rPr>
        <w:t>(slovy: patnáct tisíc korun českých). Zhotovitel není plátcem DPH. Tato cena je maximální a nepřekročitelná.</w:t>
      </w:r>
    </w:p>
    <w:p>
      <w:pPr>
        <w:pStyle w:val="Style9"/>
        <w:keepNext w:val="0"/>
        <w:keepLines w:val="0"/>
        <w:widowControl w:val="0"/>
        <w:numPr>
          <w:ilvl w:val="1"/>
          <w:numId w:val="1"/>
        </w:numPr>
        <w:shd w:val="clear" w:color="auto" w:fill="auto"/>
        <w:tabs>
          <w:tab w:pos="716" w:val="left"/>
        </w:tabs>
        <w:bidi w:val="0"/>
        <w:spacing w:before="0" w:line="228" w:lineRule="auto"/>
        <w:ind w:left="720" w:right="0" w:hanging="720"/>
        <w:jc w:val="both"/>
      </w:pPr>
      <w:r>
        <w:rPr>
          <w:color w:val="000000"/>
          <w:spacing w:val="0"/>
          <w:w w:val="100"/>
          <w:position w:val="0"/>
          <w:shd w:val="clear" w:color="auto" w:fill="auto"/>
          <w:lang w:val="cs-CZ" w:eastAsia="cs-CZ" w:bidi="cs-CZ"/>
        </w:rPr>
        <w:t>Během provádění celého díla dle článku 2 této smlouvy bude zhotovitel evidovat počet a funkční zařazení svých pracovníků ve výzkumném deníku zhotovitele. Účast pracovníků na staveništi podílejících se na ZAV bude v průběhu provádění terénní části odsouhlasována</w:t>
      </w:r>
    </w:p>
    <w:p>
      <w:pPr>
        <w:widowControl w:val="0"/>
        <w:jc w:val="center"/>
        <w:rPr>
          <w:sz w:val="2"/>
          <w:szCs w:val="2"/>
        </w:rPr>
      </w:pPr>
      <w:r>
        <w:drawing>
          <wp:inline>
            <wp:extent cx="1487170" cy="84137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ext cx="1487170" cy="841375"/>
                    </a:xfrm>
                    <a:prstGeom prst="rect"/>
                  </pic:spPr>
                </pic:pic>
              </a:graphicData>
            </a:graphic>
          </wp:inline>
        </w:drawing>
      </w:r>
    </w:p>
    <w:p>
      <w:pPr>
        <w:pStyle w:val="Style9"/>
        <w:keepNext w:val="0"/>
        <w:keepLines w:val="0"/>
        <w:widowControl w:val="0"/>
        <w:shd w:val="clear" w:color="auto" w:fill="auto"/>
        <w:bidi w:val="0"/>
        <w:spacing w:before="0" w:after="60" w:line="240" w:lineRule="auto"/>
        <w:ind w:left="720" w:right="0" w:firstLine="20"/>
        <w:jc w:val="both"/>
      </w:pPr>
      <w:r>
        <w:rPr>
          <w:color w:val="000000"/>
          <w:spacing w:val="0"/>
          <w:w w:val="100"/>
          <w:position w:val="0"/>
          <w:shd w:val="clear" w:color="auto" w:fill="auto"/>
          <w:lang w:val="cs-CZ" w:eastAsia="cs-CZ" w:bidi="cs-CZ"/>
        </w:rPr>
        <w:t>stavbyvedoucím příp. zástupcem objednatele podpisem ve výzkumném deníku. Takto vedené záznamy budou podkladem pro fakturaci zhotovitele při následujících sazbách: archeolog 400 Kč/hod, asistent výzkumu 300 Kč/hod., konzervátor 300 Kč/hod. Odhad nákladů je vyčíslen v příloze, která je nedílnou součástí této smlouvy.</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Během trvání terénní části výzkumu dle odstavce 2.1.I. je zástupce objednatele nebo technický dozor oprávněn výše uvedené záznamy (bod 4.2. této smlouvy) denně stvrzovat svým podpisem přímo v místě výzkumu. Jestliže objednatel k záznamu dle první věty tohoto odstavce nepřipojí své vyjádření do druhého pracovního dne ode dne, který má být odsouhlasen, považuje se záznam uvedený ve výzkumném deníku zhotovitele za odsouhlasený. Totéž platí, pokud objednatel k záznamu o provedených pracích připojí vyjádření, kterým zcela nebo zčásti nepotvrzuje provedení prací, aniž zároveň uvede prokazatelný vážný důvod, proč vykázané práce nepotvrzuje. Takto vedené záznamy zhotovitele budou podkladem pro fakturaci zhotovitele.</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 xml:space="preserve">Fakturu k uhrazení terénní části archeologického výzkumu předloží zhotovitel po ukončení terénní části archeologického výzkumu spolu s expertním listem (dle odst. 2.1.I). V této faktuře zhotovitel vyúčtuje všechny práce provedené na díle v průběhu terénní části výzkumu. Druhou fakturu předloží zhotovitel objednateli po ukončení zpracování výzkumu dle odst. 2.1.II. této smlouvy. V této faktuře zhotovitel vyúčtuje všechny práce provedené na díle v průběhu zpracování výzkumu. Faktury jsou splatné do 60 dnů ode dne doručení na adresu objednatele. Kromě povinných náležitostí je zhotovitel povinen uvádět v jednotlivých fakturách přesný název akce: </w:t>
      </w:r>
      <w:r>
        <w:rPr>
          <w:b/>
          <w:bCs/>
          <w:color w:val="000000"/>
          <w:spacing w:val="0"/>
          <w:w w:val="100"/>
          <w:position w:val="0"/>
          <w:shd w:val="clear" w:color="auto" w:fill="auto"/>
          <w:lang w:val="cs-CZ" w:eastAsia="cs-CZ" w:bidi="cs-CZ"/>
        </w:rPr>
        <w:t>II/345 Chotěboř - Ždírec nad Doubravou</w:t>
      </w:r>
      <w:r>
        <w:rPr>
          <w:color w:val="000000"/>
          <w:spacing w:val="0"/>
          <w:w w:val="100"/>
          <w:position w:val="0"/>
          <w:shd w:val="clear" w:color="auto" w:fill="auto"/>
          <w:lang w:val="cs-CZ" w:eastAsia="cs-CZ" w:bidi="cs-CZ"/>
        </w:rPr>
        <w:t>. V případě prodlení s úhradou faktury zaplatí objednatel zhotoviteli úrok z prodlení ve výši 0,01% z fakturované částky za každý den prodlení. V případě prodlení s úhradou faktury nezaviněném objednatelem nebude zhotovitel uplatňovat nárok na úrok z prodlení.</w:t>
      </w:r>
    </w:p>
    <w:p>
      <w:pPr>
        <w:pStyle w:val="Style9"/>
        <w:keepNext w:val="0"/>
        <w:keepLines w:val="0"/>
        <w:widowControl w:val="0"/>
        <w:numPr>
          <w:ilvl w:val="1"/>
          <w:numId w:val="1"/>
        </w:numPr>
        <w:shd w:val="clear" w:color="auto" w:fill="auto"/>
        <w:tabs>
          <w:tab w:pos="715" w:val="left"/>
        </w:tabs>
        <w:bidi w:val="0"/>
        <w:spacing w:before="0" w:after="120" w:line="223" w:lineRule="auto"/>
        <w:ind w:left="720" w:right="0" w:hanging="720"/>
        <w:jc w:val="both"/>
      </w:pPr>
      <w:r>
        <w:rPr>
          <w:color w:val="000000"/>
          <w:spacing w:val="0"/>
          <w:w w:val="100"/>
          <w:position w:val="0"/>
          <w:shd w:val="clear" w:color="auto" w:fill="auto"/>
          <w:lang w:val="cs-CZ" w:eastAsia="cs-CZ" w:bidi="cs-CZ"/>
        </w:rPr>
        <w:t>V případě prodlení s předložením závěrečné zprávy zaplatí zhotovitel objednateli smluvní pokutu ve výši 0,05 % z ceny díla za každý den prodlení.</w:t>
      </w:r>
    </w:p>
    <w:p>
      <w:pPr>
        <w:pStyle w:val="Style9"/>
        <w:keepNext w:val="0"/>
        <w:keepLines w:val="0"/>
        <w:widowControl w:val="0"/>
        <w:numPr>
          <w:ilvl w:val="1"/>
          <w:numId w:val="1"/>
        </w:numPr>
        <w:shd w:val="clear" w:color="auto" w:fill="auto"/>
        <w:tabs>
          <w:tab w:pos="715" w:val="left"/>
        </w:tabs>
        <w:bidi w:val="0"/>
        <w:spacing w:before="0" w:after="820" w:line="223" w:lineRule="auto"/>
        <w:ind w:left="720" w:right="0" w:hanging="720"/>
        <w:jc w:val="both"/>
      </w:pPr>
      <w:r>
        <w:rPr>
          <w:color w:val="000000"/>
          <w:spacing w:val="0"/>
          <w:w w:val="100"/>
          <w:position w:val="0"/>
          <w:shd w:val="clear" w:color="auto" w:fill="auto"/>
          <w:lang w:val="cs-CZ" w:eastAsia="cs-CZ" w:bidi="cs-CZ"/>
        </w:rPr>
        <w:t>K převzetí prací, k podpisu předávacích protokolů a k převzetí nálezové zprávy dle odstavce 2.1.II. této smlouvy je za objednatele oprávně</w:t>
      </w:r>
    </w:p>
    <w:p>
      <w:pPr>
        <w:pStyle w:val="Style20"/>
        <w:keepNext/>
        <w:keepLines/>
        <w:widowControl w:val="0"/>
        <w:numPr>
          <w:ilvl w:val="0"/>
          <w:numId w:val="1"/>
        </w:numPr>
        <w:shd w:val="clear" w:color="auto" w:fill="auto"/>
        <w:tabs>
          <w:tab w:pos="313" w:val="left"/>
        </w:tabs>
        <w:bidi w:val="0"/>
        <w:spacing w:before="0" w:after="6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Součinnost</w:t>
      </w:r>
      <w:bookmarkEnd w:id="10"/>
      <w:bookmarkEnd w:id="11"/>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Objednatel je povinen poskytnout zhotoviteli veškerou součinnost nutnou k provádění díla, jakož i potřebné informace o objektech a inženýrských sítích.</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Zhotovitel neodpovídá za škody na inženýrských sítích, které způsobí jeho pracovníci anebo osoby jím k provedení díla pověřené, jestliže v důsledku nesprávných či neúplných informací objednatele postupovali v dobré víře, že škodu svou činností nezpůsobí.</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Při provádění terénní části výzkumu dle odst. 2.1.I. této smlouvy objednatel zajistí pracovníkům zhotovitele vstup na staveniště s možností provádět práce dle jeho výzkumných potřeb v rámci této smlouvy.</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Pracovníci zhotovitele jsou povinni dodržovat na staveništi předpisy BOZP, dodržovat pokyny koordinátora BOZP na staveništi.</w:t>
      </w:r>
    </w:p>
    <w:p>
      <w:pPr>
        <w:pStyle w:val="Style9"/>
        <w:keepNext w:val="0"/>
        <w:keepLines w:val="0"/>
        <w:widowControl w:val="0"/>
        <w:numPr>
          <w:ilvl w:val="1"/>
          <w:numId w:val="1"/>
        </w:numPr>
        <w:shd w:val="clear" w:color="auto" w:fill="auto"/>
        <w:tabs>
          <w:tab w:pos="715"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Zhotovitel se zavazuje provádět dílo tak, aby nedošlo k podstatnému časovému zdržení objednatele.</w:t>
      </w:r>
    </w:p>
    <w:p>
      <w:pPr>
        <w:pStyle w:val="Style9"/>
        <w:keepNext w:val="0"/>
        <w:keepLines w:val="0"/>
        <w:widowControl w:val="0"/>
        <w:numPr>
          <w:ilvl w:val="1"/>
          <w:numId w:val="1"/>
        </w:numPr>
        <w:shd w:val="clear" w:color="auto" w:fill="auto"/>
        <w:tabs>
          <w:tab w:pos="715" w:val="left"/>
        </w:tabs>
        <w:bidi w:val="0"/>
        <w:spacing w:before="0" w:after="60" w:line="240" w:lineRule="auto"/>
        <w:ind w:left="720" w:right="0" w:hanging="720"/>
        <w:jc w:val="both"/>
      </w:pPr>
      <w:r>
        <w:rPr>
          <w:color w:val="000000"/>
          <w:spacing w:val="0"/>
          <w:w w:val="100"/>
          <w:position w:val="0"/>
          <w:shd w:val="clear" w:color="auto" w:fill="auto"/>
          <w:lang w:val="cs-CZ" w:eastAsia="cs-CZ" w:bidi="cs-CZ"/>
        </w:rPr>
        <w:t xml:space="preserve">V případě, že během díla budou odhaleny skutečnosti, které by měnily rozsah díla touto smlouvou sjednaného, zavazuje se objednatel uzavřít se zhotovitelem </w:t>
      </w:r>
      <w:r>
        <w:rPr>
          <w:b/>
          <w:bCs/>
          <w:color w:val="000000"/>
          <w:spacing w:val="0"/>
          <w:w w:val="100"/>
          <w:position w:val="0"/>
          <w:shd w:val="clear" w:color="auto" w:fill="auto"/>
          <w:lang w:val="cs-CZ" w:eastAsia="cs-CZ" w:bidi="cs-CZ"/>
        </w:rPr>
        <w:t>dodatek k této smlouvě</w:t>
      </w:r>
      <w:r>
        <w:rPr>
          <w:color w:val="000000"/>
          <w:spacing w:val="0"/>
          <w:w w:val="100"/>
          <w:position w:val="0"/>
          <w:shd w:val="clear" w:color="auto" w:fill="auto"/>
          <w:lang w:val="cs-CZ" w:eastAsia="cs-CZ" w:bidi="cs-CZ"/>
        </w:rPr>
        <w:t>, ve kterém bude nastalá situace řešena. Jedná se především o odkrytí složitějších</w:t>
      </w:r>
      <w:r>
        <w:br w:type="page"/>
      </w:r>
    </w:p>
    <w:p>
      <w:pPr>
        <w:widowControl w:val="0"/>
        <w:spacing w:line="1" w:lineRule="exact"/>
      </w:pPr>
      <w:r>
        <w:drawing>
          <wp:anchor distT="0" distB="0" distL="0" distR="0" simplePos="0" relativeHeight="125829382" behindDoc="0" locked="0" layoutInCell="1" allowOverlap="1">
            <wp:simplePos x="0" y="0"/>
            <wp:positionH relativeFrom="page">
              <wp:posOffset>3081655</wp:posOffset>
            </wp:positionH>
            <wp:positionV relativeFrom="paragraph">
              <wp:posOffset>0</wp:posOffset>
            </wp:positionV>
            <wp:extent cx="1487170" cy="84137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ext cx="1487170" cy="841375"/>
                    </a:xfrm>
                    <a:prstGeom prst="rect"/>
                  </pic:spPr>
                </pic:pic>
              </a:graphicData>
            </a:graphic>
          </wp:anchor>
        </w:drawing>
      </w:r>
    </w:p>
    <w:p>
      <w:pPr>
        <w:pStyle w:val="Style9"/>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archeologických situací, jejichž záchrana a dokumentace by vyžadovala více času a prostředků. Odhad nákladů bude vyčíslen v dodatku k této smlouvě na základě aktuálního ceníku archeologických prací Muzea Vysočiny Havlíčkův Brod, příspěvkové organizace.</w:t>
      </w:r>
    </w:p>
    <w:p>
      <w:pPr>
        <w:pStyle w:val="Style9"/>
        <w:keepNext w:val="0"/>
        <w:keepLines w:val="0"/>
        <w:widowControl w:val="0"/>
        <w:numPr>
          <w:ilvl w:val="1"/>
          <w:numId w:val="1"/>
        </w:numPr>
        <w:shd w:val="clear" w:color="auto" w:fill="auto"/>
        <w:tabs>
          <w:tab w:pos="710" w:val="left"/>
        </w:tabs>
        <w:bidi w:val="0"/>
        <w:spacing w:before="0" w:after="580" w:line="240" w:lineRule="auto"/>
        <w:ind w:left="720" w:right="0" w:hanging="720"/>
        <w:jc w:val="both"/>
      </w:pPr>
      <w:r>
        <w:rPr>
          <w:color w:val="000000"/>
          <w:spacing w:val="0"/>
          <w:w w:val="100"/>
          <w:position w:val="0"/>
          <w:shd w:val="clear" w:color="auto" w:fill="auto"/>
          <w:lang w:val="cs-CZ" w:eastAsia="cs-CZ" w:bidi="cs-CZ"/>
        </w:rPr>
        <w:t>Dle § 2 písm. e) zákona č. 320/2001 Sb., o finanční kontrole, je zhotovitel osobou povinnou spolupůsobit při výkonu finanční kontroly.</w:t>
      </w:r>
    </w:p>
    <w:p>
      <w:pPr>
        <w:pStyle w:val="Style20"/>
        <w:keepNext/>
        <w:keepLines/>
        <w:widowControl w:val="0"/>
        <w:numPr>
          <w:ilvl w:val="0"/>
          <w:numId w:val="1"/>
        </w:numPr>
        <w:shd w:val="clear" w:color="auto" w:fill="auto"/>
        <w:tabs>
          <w:tab w:pos="327"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Jiná ujednání</w:t>
      </w:r>
      <w:bookmarkEnd w:id="12"/>
      <w:bookmarkEnd w:id="13"/>
    </w:p>
    <w:p>
      <w:pPr>
        <w:pStyle w:val="Style9"/>
        <w:keepNext w:val="0"/>
        <w:keepLines w:val="0"/>
        <w:widowControl w:val="0"/>
        <w:shd w:val="clear" w:color="auto" w:fill="auto"/>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6.1. </w:t>
      </w:r>
      <w:r>
        <w:rPr>
          <w:color w:val="000000"/>
          <w:spacing w:val="0"/>
          <w:w w:val="100"/>
          <w:position w:val="0"/>
          <w:shd w:val="clear" w:color="auto" w:fill="auto"/>
          <w:lang w:val="cs-CZ" w:eastAsia="cs-CZ" w:bidi="cs-CZ"/>
        </w:rPr>
        <w:t>Změny a doplňky této smlouvy mohou být provedeny jen písemně po dohodě smluvních stran, pokud ze smlouvy nevyplývá něco jiného.</w:t>
      </w:r>
    </w:p>
    <w:p>
      <w:pPr>
        <w:pStyle w:val="Style9"/>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9"/>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pPr>
        <w:pStyle w:val="Style9"/>
        <w:keepNext w:val="0"/>
        <w:keepLines w:val="0"/>
        <w:widowControl w:val="0"/>
        <w:numPr>
          <w:ilvl w:val="0"/>
          <w:numId w:val="5"/>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Smlouva nabývá platnosti dnem podpisu smluvních stran.</w:t>
      </w:r>
    </w:p>
    <w:p>
      <w:pPr>
        <w:pStyle w:val="Style9"/>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Smlouva obsahuje čtyři stránky textu a její nedílnou součástí je tabulka s předpokládaným rozpočtem díla (viz. Příloha). Smlouva je vyhotovena v 1 výtisku v elektronické formě ve formátu .pdf s Kvalifikovaným elektronickým podpisem obou smluvních stran.</w:t>
      </w:r>
    </w:p>
    <w:p>
      <w:pPr>
        <w:pStyle w:val="Style9"/>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9"/>
        <w:keepNext w:val="0"/>
        <w:keepLines w:val="0"/>
        <w:widowControl w:val="0"/>
        <w:numPr>
          <w:ilvl w:val="0"/>
          <w:numId w:val="5"/>
        </w:numPr>
        <w:shd w:val="clear" w:color="auto" w:fill="auto"/>
        <w:tabs>
          <w:tab w:pos="710" w:val="left"/>
        </w:tabs>
        <w:bidi w:val="0"/>
        <w:spacing w:before="0" w:after="740" w:line="240" w:lineRule="auto"/>
        <w:ind w:left="720" w:right="0" w:hanging="720"/>
        <w:jc w:val="both"/>
      </w:pPr>
      <w:r>
        <w:rPr>
          <w:color w:val="000000"/>
          <w:spacing w:val="0"/>
          <w:w w:val="100"/>
          <w:position w:val="0"/>
          <w:shd w:val="clear" w:color="auto" w:fill="auto"/>
          <w:lang w:val="cs-CZ" w:eastAsia="cs-CZ" w:bidi="cs-CZ"/>
        </w:rPr>
        <w:t>Zhotovitel výslovně souhlasí se zveřejněním celého textu této smlouvy na veřejně přístupných webových stránkách Kraje Vysočina.</w:t>
      </w:r>
    </w:p>
    <w:p>
      <w:pPr>
        <w:pStyle w:val="Style9"/>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lang w:val="cs-CZ" w:eastAsia="cs-CZ" w:bidi="cs-CZ"/>
        </w:rPr>
        <w:t>Přílohy: Cenová nabídka na provedení záchranného archeologického výzkumu na stavbě</w:t>
      </w:r>
    </w:p>
    <w:p>
      <w:pPr>
        <w:pStyle w:val="Style9"/>
        <w:keepNext w:val="0"/>
        <w:keepLines w:val="0"/>
        <w:widowControl w:val="0"/>
        <w:shd w:val="clear" w:color="auto" w:fill="auto"/>
        <w:bidi w:val="0"/>
        <w:spacing w:before="0" w:line="240" w:lineRule="auto"/>
        <w:ind w:left="3340" w:right="0" w:firstLine="0"/>
        <w:jc w:val="left"/>
      </w:pPr>
      <w:r>
        <mc:AlternateContent>
          <mc:Choice Requires="wps">
            <w:drawing>
              <wp:anchor distT="0" distB="0" distL="114300" distR="114300" simplePos="0" relativeHeight="125829383" behindDoc="0" locked="0" layoutInCell="1" allowOverlap="1">
                <wp:simplePos x="0" y="0"/>
                <wp:positionH relativeFrom="page">
                  <wp:posOffset>740410</wp:posOffset>
                </wp:positionH>
                <wp:positionV relativeFrom="paragraph">
                  <wp:posOffset>12700</wp:posOffset>
                </wp:positionV>
                <wp:extent cx="926465" cy="186055"/>
                <wp:wrapSquare wrapText="bothSides"/>
                <wp:docPr id="13" name="Shape 13"/>
                <a:graphic xmlns:a="http://schemas.openxmlformats.org/drawingml/2006/main">
                  <a:graphicData uri="http://schemas.microsoft.com/office/word/2010/wordprocessingShape">
                    <wps:wsp>
                      <wps:cNvSpPr txBox="1"/>
                      <wps:spPr>
                        <a:xfrm>
                          <a:ext cx="926465" cy="1860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9" type="#_x0000_t202" style="position:absolute;margin-left:58.299999999999997pt;margin-top:1.pt;width:72.950000000000003pt;height:14.65pt;z-index:-125829370;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anchorx="page"/>
              </v:shape>
            </w:pict>
          </mc:Fallback>
        </mc:AlternateContent>
      </w:r>
      <w:r>
        <w:rPr>
          <w:color w:val="000000"/>
          <w:spacing w:val="0"/>
          <w:w w:val="100"/>
          <w:position w:val="0"/>
          <w:shd w:val="clear" w:color="auto" w:fill="auto"/>
          <w:lang w:val="cs-CZ" w:eastAsia="cs-CZ" w:bidi="cs-CZ"/>
        </w:rPr>
        <w:t>V Havlíčkově Brodě dne:</w:t>
      </w:r>
    </w:p>
    <w:p>
      <w:pPr>
        <w:widowControl w:val="0"/>
        <w:spacing w:line="1" w:lineRule="exact"/>
        <w:sectPr>
          <w:footnotePr>
            <w:pos w:val="pageBottom"/>
            <w:numFmt w:val="decimal"/>
            <w:numRestart w:val="continuous"/>
          </w:footnotePr>
          <w:type w:val="continuous"/>
          <w:pgSz w:w="11900" w:h="16840"/>
          <w:pgMar w:top="709" w:left="1090" w:right="942" w:bottom="1512" w:header="281" w:footer="3" w:gutter="0"/>
          <w:cols w:space="720"/>
          <w:noEndnote/>
          <w:rtlGutter w:val="0"/>
          <w:docGrid w:linePitch="360"/>
        </w:sectPr>
      </w:pPr>
      <w:r>
        <mc:AlternateContent>
          <mc:Choice Requires="wps">
            <w:drawing>
              <wp:anchor distT="1016000" distB="0" distL="0" distR="0" simplePos="0" relativeHeight="125829385" behindDoc="0" locked="0" layoutInCell="1" allowOverlap="1">
                <wp:simplePos x="0" y="0"/>
                <wp:positionH relativeFrom="page">
                  <wp:posOffset>740410</wp:posOffset>
                </wp:positionH>
                <wp:positionV relativeFrom="paragraph">
                  <wp:posOffset>1016000</wp:posOffset>
                </wp:positionV>
                <wp:extent cx="1276985" cy="875030"/>
                <wp:wrapTopAndBottom/>
                <wp:docPr id="15" name="Shape 15"/>
                <a:graphic xmlns:a="http://schemas.openxmlformats.org/drawingml/2006/main">
                  <a:graphicData uri="http://schemas.microsoft.com/office/word/2010/wordprocessingShape">
                    <wps:wsp>
                      <wps:cNvSpPr txBox="1"/>
                      <wps:spPr>
                        <a:xfrm>
                          <a:ext cx="1276985" cy="875030"/>
                        </a:xfrm>
                        <a:prstGeom prst="rect"/>
                        <a:noFill/>
                      </wps:spPr>
                      <wps:txbx>
                        <w:txbxContent>
                          <w:p>
                            <w:pPr>
                              <w:pStyle w:val="Style9"/>
                              <w:keepNext w:val="0"/>
                              <w:keepLines w:val="0"/>
                              <w:widowControl w:val="0"/>
                              <w:shd w:val="clear" w:color="auto" w:fill="auto"/>
                              <w:bidi w:val="0"/>
                              <w:spacing w:before="0" w:after="320" w:line="319" w:lineRule="auto"/>
                              <w:ind w:left="0" w:right="0" w:firstLine="0"/>
                              <w:jc w:val="left"/>
                            </w:pPr>
                            <w:r>
                              <w:rPr>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Ing. Radovan Necid ředitel KSÚSV, p.o.</w:t>
                            </w:r>
                          </w:p>
                        </w:txbxContent>
                      </wps:txbx>
                      <wps:bodyPr lIns="0" tIns="0" rIns="0" bIns="0">
                        <a:noAutoFit/>
                      </wps:bodyPr>
                    </wps:wsp>
                  </a:graphicData>
                </a:graphic>
              </wp:anchor>
            </w:drawing>
          </mc:Choice>
          <mc:Fallback>
            <w:pict>
              <v:shape id="_x0000_s1041" type="#_x0000_t202" style="position:absolute;margin-left:58.299999999999997pt;margin-top:80.pt;width:100.55pt;height:68.900000000000006pt;z-index:-125829368;mso-wrap-distance-left:0;mso-wrap-distance-top:80.pt;mso-wrap-distance-right:0;mso-position-horizontal-relative:page" filled="f" stroked="f">
                <v:textbox inset="0,0,0,0">
                  <w:txbxContent>
                    <w:p>
                      <w:pPr>
                        <w:pStyle w:val="Style9"/>
                        <w:keepNext w:val="0"/>
                        <w:keepLines w:val="0"/>
                        <w:widowControl w:val="0"/>
                        <w:shd w:val="clear" w:color="auto" w:fill="auto"/>
                        <w:bidi w:val="0"/>
                        <w:spacing w:before="0" w:after="320" w:line="319" w:lineRule="auto"/>
                        <w:ind w:left="0" w:right="0" w:firstLine="0"/>
                        <w:jc w:val="left"/>
                      </w:pPr>
                      <w:r>
                        <w:rPr>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Ing. Radovan Necid ředitel KSÚSV, p.o.</w:t>
                      </w:r>
                    </w:p>
                  </w:txbxContent>
                </v:textbox>
                <w10:wrap type="topAndBottom" anchorx="page"/>
              </v:shape>
            </w:pict>
          </mc:Fallback>
        </mc:AlternateContent>
      </w:r>
      <w:r>
        <mc:AlternateContent>
          <mc:Choice Requires="wps">
            <w:drawing>
              <wp:anchor distT="1016000" distB="0" distL="0" distR="0" simplePos="0" relativeHeight="125829387" behindDoc="0" locked="0" layoutInCell="1" allowOverlap="1">
                <wp:simplePos x="0" y="0"/>
                <wp:positionH relativeFrom="page">
                  <wp:posOffset>3891915</wp:posOffset>
                </wp:positionH>
                <wp:positionV relativeFrom="paragraph">
                  <wp:posOffset>1016000</wp:posOffset>
                </wp:positionV>
                <wp:extent cx="1292225" cy="875030"/>
                <wp:wrapTopAndBottom/>
                <wp:docPr id="17" name="Shape 17"/>
                <a:graphic xmlns:a="http://schemas.openxmlformats.org/drawingml/2006/main">
                  <a:graphicData uri="http://schemas.microsoft.com/office/word/2010/wordprocessingShape">
                    <wps:wsp>
                      <wps:cNvSpPr txBox="1"/>
                      <wps:spPr>
                        <a:xfrm>
                          <a:ext cx="1292225" cy="875030"/>
                        </a:xfrm>
                        <a:prstGeom prst="rect"/>
                        <a:noFill/>
                      </wps:spPr>
                      <wps:txbx>
                        <w:txbxContent>
                          <w:p>
                            <w:pPr>
                              <w:pStyle w:val="Style9"/>
                              <w:keepNext w:val="0"/>
                              <w:keepLines w:val="0"/>
                              <w:widowControl w:val="0"/>
                              <w:shd w:val="clear" w:color="auto" w:fill="auto"/>
                              <w:bidi w:val="0"/>
                              <w:spacing w:before="0" w:after="320" w:line="319" w:lineRule="auto"/>
                              <w:ind w:left="0" w:right="0" w:firstLine="0"/>
                              <w:jc w:val="left"/>
                            </w:pPr>
                            <w:r>
                              <w:rPr>
                                <w:color w:val="000000"/>
                                <w:spacing w:val="0"/>
                                <w:w w:val="100"/>
                                <w:position w:val="0"/>
                                <w:shd w:val="clear" w:color="auto" w:fill="auto"/>
                                <w:lang w:val="cs-CZ" w:eastAsia="cs-CZ" w:bidi="cs-CZ"/>
                              </w:rPr>
                              <w:t>Zhotovitel:</w:t>
                            </w:r>
                          </w:p>
                          <w:p>
                            <w:pPr>
                              <w:pStyle w:val="Style9"/>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Mgr. Eva Fikarová ředitelka MVHB, p.o</w:t>
                            </w:r>
                          </w:p>
                        </w:txbxContent>
                      </wps:txbx>
                      <wps:bodyPr lIns="0" tIns="0" rIns="0" bIns="0">
                        <a:noAutoFit/>
                      </wps:bodyPr>
                    </wps:wsp>
                  </a:graphicData>
                </a:graphic>
              </wp:anchor>
            </w:drawing>
          </mc:Choice>
          <mc:Fallback>
            <w:pict>
              <v:shape id="_x0000_s1043" type="#_x0000_t202" style="position:absolute;margin-left:306.44999999999999pt;margin-top:80.pt;width:101.75pt;height:68.900000000000006pt;z-index:-125829366;mso-wrap-distance-left:0;mso-wrap-distance-top:80.pt;mso-wrap-distance-right:0;mso-position-horizontal-relative:page" filled="f" stroked="f">
                <v:textbox inset="0,0,0,0">
                  <w:txbxContent>
                    <w:p>
                      <w:pPr>
                        <w:pStyle w:val="Style9"/>
                        <w:keepNext w:val="0"/>
                        <w:keepLines w:val="0"/>
                        <w:widowControl w:val="0"/>
                        <w:shd w:val="clear" w:color="auto" w:fill="auto"/>
                        <w:bidi w:val="0"/>
                        <w:spacing w:before="0" w:after="320" w:line="319" w:lineRule="auto"/>
                        <w:ind w:left="0" w:right="0" w:firstLine="0"/>
                        <w:jc w:val="left"/>
                      </w:pPr>
                      <w:r>
                        <w:rPr>
                          <w:color w:val="000000"/>
                          <w:spacing w:val="0"/>
                          <w:w w:val="100"/>
                          <w:position w:val="0"/>
                          <w:shd w:val="clear" w:color="auto" w:fill="auto"/>
                          <w:lang w:val="cs-CZ" w:eastAsia="cs-CZ" w:bidi="cs-CZ"/>
                        </w:rPr>
                        <w:t>Zhotovitel:</w:t>
                      </w:r>
                    </w:p>
                    <w:p>
                      <w:pPr>
                        <w:pStyle w:val="Style9"/>
                        <w:keepNext w:val="0"/>
                        <w:keepLines w:val="0"/>
                        <w:widowControl w:val="0"/>
                        <w:shd w:val="clear" w:color="auto" w:fill="auto"/>
                        <w:bidi w:val="0"/>
                        <w:spacing w:before="0" w:after="0" w:line="319" w:lineRule="auto"/>
                        <w:ind w:left="0" w:right="0" w:firstLine="0"/>
                        <w:jc w:val="left"/>
                      </w:pPr>
                      <w:r>
                        <w:rPr>
                          <w:color w:val="000000"/>
                          <w:spacing w:val="0"/>
                          <w:w w:val="100"/>
                          <w:position w:val="0"/>
                          <w:shd w:val="clear" w:color="auto" w:fill="auto"/>
                          <w:lang w:val="cs-CZ" w:eastAsia="cs-CZ" w:bidi="cs-CZ"/>
                        </w:rPr>
                        <w:t>Mgr. Eva Fikarová ředitelka MVHB, p.o</w:t>
                      </w:r>
                    </w:p>
                  </w:txbxContent>
                </v:textbox>
                <w10:wrap type="topAndBottom" anchorx="page"/>
              </v:shape>
            </w:pict>
          </mc:Fallback>
        </mc:AlternateContent>
      </w:r>
    </w:p>
    <w:p>
      <w:pPr>
        <w:widowControl w:val="0"/>
        <w:spacing w:line="1" w:lineRule="exact"/>
      </w:pPr>
      <w:r>
        <w:drawing>
          <wp:anchor distT="0" distB="326390" distL="0" distR="0" simplePos="0" relativeHeight="125829389" behindDoc="0" locked="0" layoutInCell="1" allowOverlap="1">
            <wp:simplePos x="0" y="0"/>
            <wp:positionH relativeFrom="page">
              <wp:posOffset>0</wp:posOffset>
            </wp:positionH>
            <wp:positionV relativeFrom="paragraph">
              <wp:posOffset>0</wp:posOffset>
            </wp:positionV>
            <wp:extent cx="7486015" cy="1212850"/>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ext cx="7486015" cy="12128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5151120</wp:posOffset>
                </wp:positionH>
                <wp:positionV relativeFrom="paragraph">
                  <wp:posOffset>1374775</wp:posOffset>
                </wp:positionV>
                <wp:extent cx="1801495" cy="164465"/>
                <wp:wrapNone/>
                <wp:docPr id="21" name="Shape 21"/>
                <a:graphic xmlns:a="http://schemas.openxmlformats.org/drawingml/2006/main">
                  <a:graphicData uri="http://schemas.microsoft.com/office/word/2010/wordprocessingShape">
                    <wps:wsp>
                      <wps:cNvSpPr txBox="1"/>
                      <wps:spPr>
                        <a:xfrm>
                          <a:ext cx="1801495" cy="1644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Havlíčkově Brodě dne 2. 3. 2022</w:t>
                            </w:r>
                          </w:p>
                        </w:txbxContent>
                      </wps:txbx>
                      <wps:bodyPr lIns="0" tIns="0" rIns="0" bIns="0">
                        <a:noAutoFit/>
                      </wps:bodyPr>
                    </wps:wsp>
                  </a:graphicData>
                </a:graphic>
              </wp:anchor>
            </w:drawing>
          </mc:Choice>
          <mc:Fallback>
            <w:pict>
              <v:shape id="_x0000_s1047" type="#_x0000_t202" style="position:absolute;margin-left:405.60000000000002pt;margin-top:108.25pt;width:141.84999999999999pt;height:12.949999999999999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Havlíčkově Brodě dne 2. 3. 2022</w:t>
                      </w:r>
                    </w:p>
                  </w:txbxContent>
                </v:textbox>
                <w10:wrap anchorx="page"/>
              </v:shape>
            </w:pict>
          </mc:Fallback>
        </mc:AlternateContent>
      </w:r>
    </w:p>
    <w:p>
      <w:pPr>
        <w:pStyle w:val="Style2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Kosovská 1122/16</w:t>
      </w:r>
    </w:p>
    <w:p>
      <w:pPr>
        <w:pStyle w:val="Style24"/>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586 01 Jihlava</w:t>
      </w:r>
    </w:p>
    <w:p>
      <w:pPr>
        <w:pStyle w:val="Style13"/>
        <w:keepNext w:val="0"/>
        <w:keepLines w:val="0"/>
        <w:widowControl w:val="0"/>
        <w:shd w:val="clear" w:color="auto" w:fill="auto"/>
        <w:bidi w:val="0"/>
        <w:spacing w:before="0" w:after="600" w:line="240" w:lineRule="auto"/>
        <w:ind w:left="0" w:right="620" w:firstLine="0"/>
        <w:jc w:val="right"/>
      </w:pPr>
      <w:r>
        <mc:AlternateContent>
          <mc:Choice Requires="wps">
            <w:drawing>
              <wp:anchor distT="0" distB="0" distL="114300" distR="114300" simplePos="0" relativeHeight="125829390" behindDoc="0" locked="0" layoutInCell="1" allowOverlap="1">
                <wp:simplePos x="0" y="0"/>
                <wp:positionH relativeFrom="page">
                  <wp:posOffset>765175</wp:posOffset>
                </wp:positionH>
                <wp:positionV relativeFrom="paragraph">
                  <wp:posOffset>12700</wp:posOffset>
                </wp:positionV>
                <wp:extent cx="1390015" cy="161290"/>
                <wp:wrapSquare wrapText="right"/>
                <wp:docPr id="23" name="Shape 23"/>
                <a:graphic xmlns:a="http://schemas.openxmlformats.org/drawingml/2006/main">
                  <a:graphicData uri="http://schemas.microsoft.com/office/word/2010/wordprocessingShape">
                    <wps:wsp>
                      <wps:cNvSpPr txBox="1"/>
                      <wps:spPr>
                        <a:xfrm>
                          <a:ext cx="1390015" cy="1612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MV Havl. Brod vyřizuje:</w:t>
                            </w:r>
                          </w:p>
                        </w:txbxContent>
                      </wps:txbx>
                      <wps:bodyPr wrap="none" lIns="0" tIns="0" rIns="0" bIns="0">
                        <a:noAutoFit/>
                      </wps:bodyPr>
                    </wps:wsp>
                  </a:graphicData>
                </a:graphic>
              </wp:anchor>
            </w:drawing>
          </mc:Choice>
          <mc:Fallback>
            <w:pict>
              <v:shape id="_x0000_s1049" type="#_x0000_t202" style="position:absolute;margin-left:60.25pt;margin-top:1.pt;width:109.45pt;height:12.699999999999999pt;z-index:-12582936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MV Havl. Brod vyřizuje:</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e-mail: </w:t>
      </w:r>
      <w:r>
        <w:fldChar w:fldCharType="begin"/>
      </w:r>
      <w:r>
        <w:rPr/>
        <w:instrText> HYPERLINK "mailto:archeolog@muzeumhb.cz" </w:instrText>
      </w:r>
      <w:r>
        <w:fldChar w:fldCharType="separate"/>
      </w:r>
      <w:r>
        <w:rPr>
          <w:color w:val="000000"/>
          <w:spacing w:val="0"/>
          <w:w w:val="100"/>
          <w:position w:val="0"/>
          <w:shd w:val="clear" w:color="auto" w:fill="auto"/>
          <w:lang w:val="en-US" w:eastAsia="en-US" w:bidi="en-US"/>
        </w:rPr>
        <w:t>archeolog@muzeumhb.cz</w:t>
      </w:r>
      <w:r>
        <w:fldChar w:fldCharType="end"/>
      </w:r>
    </w:p>
    <w:p>
      <w:pPr>
        <w:pStyle w:val="Style24"/>
        <w:keepNext w:val="0"/>
        <w:keepLines w:val="0"/>
        <w:widowControl w:val="0"/>
        <w:shd w:val="clear" w:color="auto" w:fill="auto"/>
        <w:bidi w:val="0"/>
        <w:spacing w:before="0" w:after="600" w:line="240" w:lineRule="auto"/>
        <w:ind w:left="0" w:right="0" w:firstLine="0"/>
        <w:jc w:val="both"/>
      </w:pPr>
      <w:r>
        <w:rPr>
          <w:color w:val="000000"/>
          <w:spacing w:val="0"/>
          <w:w w:val="100"/>
          <w:position w:val="0"/>
          <w:sz w:val="19"/>
          <w:szCs w:val="19"/>
          <w:shd w:val="clear" w:color="auto" w:fill="auto"/>
          <w:lang w:val="cs-CZ" w:eastAsia="cs-CZ" w:bidi="cs-CZ"/>
        </w:rPr>
        <w:t xml:space="preserve">Věc: </w:t>
      </w:r>
      <w:r>
        <w:rPr>
          <w:color w:val="000000"/>
          <w:spacing w:val="0"/>
          <w:w w:val="100"/>
          <w:position w:val="0"/>
          <w:shd w:val="clear" w:color="auto" w:fill="auto"/>
          <w:lang w:val="cs-CZ" w:eastAsia="cs-CZ" w:bidi="cs-CZ"/>
        </w:rPr>
        <w:t>Cenová nabídka na provedení záchranného archeologického výzkumu (formou dohledu) na akci:</w:t>
      </w:r>
    </w:p>
    <w:p>
      <w:pPr>
        <w:pStyle w:val="Style20"/>
        <w:keepNext/>
        <w:keepLines/>
        <w:widowControl w:val="0"/>
        <w:shd w:val="clear" w:color="auto" w:fill="auto"/>
        <w:bidi w:val="0"/>
        <w:spacing w:before="0" w:after="300" w:line="240" w:lineRule="auto"/>
        <w:ind w:left="0" w:right="0" w:firstLine="0"/>
        <w:jc w:val="center"/>
      </w:pPr>
      <w:bookmarkStart w:id="14" w:name="bookmark14"/>
      <w:bookmarkStart w:id="15" w:name="bookmark15"/>
      <w:r>
        <w:rPr>
          <w:rFonts w:ascii="Times New Roman" w:eastAsia="Times New Roman" w:hAnsi="Times New Roman" w:cs="Times New Roman"/>
          <w:b w:val="0"/>
          <w:bCs w:val="0"/>
          <w:color w:val="000000"/>
          <w:spacing w:val="0"/>
          <w:w w:val="100"/>
          <w:position w:val="0"/>
          <w:shd w:val="clear" w:color="auto" w:fill="auto"/>
          <w:lang w:val="cs-CZ" w:eastAsia="cs-CZ" w:bidi="cs-CZ"/>
        </w:rPr>
        <w:t>„</w:t>
      </w:r>
      <w:r>
        <w:rPr>
          <w:color w:val="000000"/>
          <w:spacing w:val="0"/>
          <w:w w:val="100"/>
          <w:position w:val="0"/>
          <w:sz w:val="24"/>
          <w:szCs w:val="24"/>
          <w:shd w:val="clear" w:color="auto" w:fill="auto"/>
          <w:lang w:val="cs-CZ" w:eastAsia="cs-CZ" w:bidi="cs-CZ"/>
        </w:rPr>
        <w:t>II/345 Chotěboř - Ždírec nad Doubravou</w:t>
      </w:r>
      <w:r>
        <w:rPr>
          <w:rFonts w:ascii="Times New Roman" w:eastAsia="Times New Roman" w:hAnsi="Times New Roman" w:cs="Times New Roman"/>
          <w:b w:val="0"/>
          <w:bCs w:val="0"/>
          <w:color w:val="000000"/>
          <w:spacing w:val="0"/>
          <w:w w:val="100"/>
          <w:position w:val="0"/>
          <w:shd w:val="clear" w:color="auto" w:fill="auto"/>
          <w:lang w:val="cs-CZ" w:eastAsia="cs-CZ" w:bidi="cs-CZ"/>
        </w:rPr>
        <w:t>“</w:t>
      </w:r>
      <w:bookmarkEnd w:id="14"/>
      <w:bookmarkEnd w:id="15"/>
    </w:p>
    <w:p>
      <w:pPr>
        <w:pStyle w:val="Style24"/>
        <w:keepNext w:val="0"/>
        <w:keepLines w:val="0"/>
        <w:widowControl w:val="0"/>
        <w:shd w:val="clear" w:color="auto" w:fill="auto"/>
        <w:bidi w:val="0"/>
        <w:spacing w:before="0"/>
        <w:ind w:left="0" w:right="0"/>
        <w:jc w:val="both"/>
      </w:pPr>
      <w:r>
        <w:rPr>
          <w:color w:val="000000"/>
          <w:spacing w:val="0"/>
          <w:w w:val="100"/>
          <w:position w:val="0"/>
          <w:shd w:val="clear" w:color="auto" w:fill="auto"/>
          <w:lang w:val="cs-CZ" w:eastAsia="cs-CZ" w:bidi="cs-CZ"/>
        </w:rPr>
        <w:t>MV Havlíčkův Brod, p. o., nabízí zajištění archeologického výzkumu (formou dohledu) při výše uvedené stavební akci (podle § 21 - 24 zákona č. 20/1987 Sb). Naše organizace zřizovaná Krajem Vysočina je oprávněna k provádění archeologických výzkumů na základě licence MK ČR, potažmo dohody s ArÚ Praha, který je pověřeným garantem archeologické památkové péče pro ČR.</w:t>
      </w:r>
    </w:p>
    <w:p>
      <w:pPr>
        <w:pStyle w:val="Style24"/>
        <w:keepNext w:val="0"/>
        <w:keepLines w:val="0"/>
        <w:widowControl w:val="0"/>
        <w:shd w:val="clear" w:color="auto" w:fill="auto"/>
        <w:bidi w:val="0"/>
        <w:spacing w:before="0"/>
        <w:ind w:left="0" w:right="0"/>
        <w:jc w:val="both"/>
      </w:pPr>
      <w:r>
        <w:rPr>
          <w:color w:val="000000"/>
          <w:spacing w:val="0"/>
          <w:w w:val="100"/>
          <w:position w:val="0"/>
          <w:shd w:val="clear" w:color="auto" w:fill="auto"/>
          <w:lang w:val="cs-CZ" w:eastAsia="cs-CZ" w:bidi="cs-CZ"/>
        </w:rPr>
        <w:t>Zdůvodnění: stavební práce budou probíhat v Bílku. První písemné zmínky o Bílku pocházejí z roku 1680 a kontinuita osídlení trvá dodnes.</w:t>
      </w:r>
    </w:p>
    <w:p>
      <w:pPr>
        <w:pStyle w:val="Style24"/>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cs-CZ" w:eastAsia="cs-CZ" w:bidi="cs-CZ"/>
        </w:rPr>
        <w:t>Na základě výše uvedeného, navrhujeme provedení archeologického dohledu při stavebních pracích. Přikládáme rozpočet akce, který je stanovený jako maximální cena za archeologický dohled, včetně dokumentace menších archeologických situací. Přičemž fakturovány budou pouze skutečně odpracované hodiny. Maximální cena za provedení archeologického dohledu a dokumentace menších nálezových celků byla vypočtena na 15 000 Kč (viz příloha na s. 2).</w:t>
      </w:r>
    </w:p>
    <w:p>
      <w:pPr>
        <w:pStyle w:val="Style24"/>
        <w:keepNext w:val="0"/>
        <w:keepLines w:val="0"/>
        <w:widowControl w:val="0"/>
        <w:shd w:val="clear" w:color="auto" w:fill="auto"/>
        <w:bidi w:val="0"/>
        <w:spacing w:before="0" w:after="540"/>
        <w:ind w:left="0" w:right="0"/>
        <w:jc w:val="both"/>
      </w:pPr>
      <w:r>
        <w:rPr>
          <w:color w:val="000000"/>
          <w:spacing w:val="0"/>
          <w:w w:val="100"/>
          <w:position w:val="0"/>
          <w:shd w:val="clear" w:color="auto" w:fill="auto"/>
          <w:lang w:val="cs-CZ" w:eastAsia="cs-CZ" w:bidi="cs-CZ"/>
        </w:rPr>
        <w:t>V případě, že dojde k odkrytí složitějších archeologických situací, jejichž záchrana a dokumentace by vyžadovala více času a prostředků, musí být uzavřena dodatečná smlouva na ZAV s organizací oprávněnou k provádění archeologických výzkumů (pro území Vysočiny je touto organizací také Muzeum Vysočiny Havlíčkův Brod).</w:t>
      </w:r>
    </w:p>
    <w:p>
      <w:pPr>
        <w:pStyle w:val="Style24"/>
        <w:keepNext w:val="0"/>
        <w:keepLines w:val="0"/>
        <w:widowControl w:val="0"/>
        <w:shd w:val="clear" w:color="auto" w:fill="auto"/>
        <w:bidi w:val="0"/>
        <w:spacing w:before="0" w:after="420" w:line="240" w:lineRule="auto"/>
        <w:ind w:left="0" w:right="0" w:firstLine="0"/>
        <w:jc w:val="right"/>
        <w:sectPr>
          <w:footerReference w:type="default" r:id="rId16"/>
          <w:footnotePr>
            <w:pos w:val="pageBottom"/>
            <w:numFmt w:val="decimal"/>
            <w:numRestart w:val="continuous"/>
          </w:footnotePr>
          <w:pgSz w:w="11900" w:h="16840"/>
          <w:pgMar w:top="709" w:left="1090" w:right="942" w:bottom="1512" w:header="0" w:footer="3" w:gutter="0"/>
          <w:pgNumType w:start="1"/>
          <w:cols w:space="720"/>
          <w:noEndnote/>
          <w:rtlGutter w:val="0"/>
          <w:docGrid w:linePitch="360"/>
        </w:sectPr>
      </w:pPr>
      <w:r>
        <w:rPr>
          <w:color w:val="000000"/>
          <w:spacing w:val="0"/>
          <w:w w:val="100"/>
          <w:position w:val="0"/>
          <w:shd w:val="clear" w:color="auto" w:fill="auto"/>
          <w:lang w:val="cs-CZ" w:eastAsia="cs-CZ" w:bidi="cs-CZ"/>
        </w:rPr>
        <w:t>Za Muzeum Vysočiny Havlíčkův Brod, p. o.:</w:t>
      </w:r>
    </w:p>
    <w:p>
      <w:pPr>
        <w:widowControl w:val="0"/>
        <w:jc w:val="center"/>
        <w:rPr>
          <w:sz w:val="2"/>
          <w:szCs w:val="2"/>
        </w:rPr>
      </w:pPr>
      <w:r>
        <w:drawing>
          <wp:inline>
            <wp:extent cx="7486015" cy="121285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7"/>
                    <a:stretch/>
                  </pic:blipFill>
                  <pic:spPr>
                    <a:xfrm>
                      <a:ext cx="7486015" cy="1212850"/>
                    </a:xfrm>
                    <a:prstGeom prst="rect"/>
                  </pic:spPr>
                </pic:pic>
              </a:graphicData>
            </a:graphic>
          </wp:inline>
        </w:drawing>
      </w:r>
    </w:p>
    <w:p>
      <w:pPr>
        <w:pStyle w:val="Style24"/>
        <w:keepNext w:val="0"/>
        <w:keepLines w:val="0"/>
        <w:widowControl w:val="0"/>
        <w:shd w:val="clear" w:color="auto" w:fill="auto"/>
        <w:bidi w:val="0"/>
        <w:spacing w:before="0" w:after="68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Příloha: Rámcová kalkulace nákladů záchranného archeologického výzkumu (maximální cena za arch. dohled a </w:t>
      </w:r>
      <w:r>
        <w:rPr>
          <w:color w:val="000000"/>
          <w:spacing w:val="0"/>
          <w:w w:val="100"/>
          <w:position w:val="0"/>
          <w:sz w:val="19"/>
          <w:szCs w:val="19"/>
          <w:shd w:val="clear" w:color="auto" w:fill="auto"/>
          <w:lang w:val="cs-CZ" w:eastAsia="cs-CZ" w:bidi="cs-CZ"/>
        </w:rPr>
        <w:t>dokumentaci menších nálezových celků).</w:t>
      </w:r>
    </w:p>
    <w:p>
      <w:pPr>
        <w:pStyle w:val="Style20"/>
        <w:keepNext/>
        <w:keepLines/>
        <w:widowControl w:val="0"/>
        <w:shd w:val="clear" w:color="auto" w:fill="auto"/>
        <w:bidi w:val="0"/>
        <w:spacing w:before="0" w:after="800" w:line="240" w:lineRule="auto"/>
        <w:ind w:left="1980" w:right="0" w:firstLine="0"/>
        <w:jc w:val="left"/>
      </w:pPr>
      <w:bookmarkStart w:id="16" w:name="bookmark16"/>
      <w:bookmarkStart w:id="17" w:name="bookmark17"/>
      <w:r>
        <w:rPr>
          <w:rFonts w:ascii="Times New Roman" w:eastAsia="Times New Roman" w:hAnsi="Times New Roman" w:cs="Times New Roman"/>
          <w:b w:val="0"/>
          <w:bCs w:val="0"/>
          <w:color w:val="000000"/>
          <w:spacing w:val="0"/>
          <w:w w:val="100"/>
          <w:position w:val="0"/>
          <w:shd w:val="clear" w:color="auto" w:fill="auto"/>
          <w:lang w:val="cs-CZ" w:eastAsia="cs-CZ" w:bidi="cs-CZ"/>
        </w:rPr>
        <w:t>„</w:t>
      </w:r>
      <w:r>
        <w:rPr>
          <w:color w:val="000000"/>
          <w:spacing w:val="0"/>
          <w:w w:val="100"/>
          <w:position w:val="0"/>
          <w:sz w:val="24"/>
          <w:szCs w:val="24"/>
          <w:shd w:val="clear" w:color="auto" w:fill="auto"/>
          <w:lang w:val="cs-CZ" w:eastAsia="cs-CZ" w:bidi="cs-CZ"/>
        </w:rPr>
        <w:t>II/345 Chotěboř - Ždírec nad Doubravou</w:t>
      </w:r>
      <w:r>
        <w:rPr>
          <w:rFonts w:ascii="Times New Roman" w:eastAsia="Times New Roman" w:hAnsi="Times New Roman" w:cs="Times New Roman"/>
          <w:b w:val="0"/>
          <w:bCs w:val="0"/>
          <w:color w:val="000000"/>
          <w:spacing w:val="0"/>
          <w:w w:val="100"/>
          <w:position w:val="0"/>
          <w:shd w:val="clear" w:color="auto" w:fill="auto"/>
          <w:lang w:val="cs-CZ" w:eastAsia="cs-CZ" w:bidi="cs-CZ"/>
        </w:rPr>
        <w:t>“</w:t>
      </w:r>
      <w:bookmarkEnd w:id="16"/>
      <w:bookmarkEnd w:id="17"/>
    </w:p>
    <w:p>
      <w:pPr>
        <w:pStyle w:val="Style29"/>
        <w:keepNext w:val="0"/>
        <w:keepLines w:val="0"/>
        <w:widowControl w:val="0"/>
        <w:shd w:val="clear" w:color="auto" w:fill="auto"/>
        <w:bidi w:val="0"/>
        <w:spacing w:before="0" w:after="600" w:line="240" w:lineRule="auto"/>
        <w:ind w:left="0" w:right="0" w:firstLine="0"/>
        <w:jc w:val="left"/>
      </w:pPr>
      <w:r>
        <w:rPr>
          <w:color w:val="000000"/>
          <w:spacing w:val="0"/>
          <w:w w:val="100"/>
          <w:position w:val="0"/>
          <w:shd w:val="clear" w:color="auto" w:fill="auto"/>
          <w:lang w:val="cs-CZ" w:eastAsia="cs-CZ" w:bidi="cs-CZ"/>
        </w:rPr>
        <w:t>charakteristika zemních zásahů: Skrývka, sondy.</w:t>
      </w:r>
    </w:p>
    <w:p>
      <w:pPr>
        <w:pStyle w:val="Style16"/>
        <w:keepNext w:val="0"/>
        <w:keepLines w:val="0"/>
        <w:widowControl w:val="0"/>
        <w:shd w:val="clear" w:color="auto" w:fill="auto"/>
        <w:bidi w:val="0"/>
        <w:spacing w:before="0" w:after="0" w:line="240" w:lineRule="auto"/>
        <w:ind w:left="53" w:right="0" w:firstLine="0"/>
        <w:jc w:val="left"/>
      </w:pPr>
      <w:r>
        <w:rPr>
          <w:color w:val="000000"/>
          <w:spacing w:val="0"/>
          <w:w w:val="100"/>
          <w:position w:val="0"/>
          <w:shd w:val="clear" w:color="auto" w:fill="auto"/>
          <w:lang w:val="cs-CZ" w:eastAsia="cs-CZ" w:bidi="cs-CZ"/>
        </w:rPr>
        <w:t>Terénní část výzkumu</w:t>
      </w:r>
    </w:p>
    <w:tbl>
      <w:tblPr>
        <w:tblOverlap w:val="never"/>
        <w:jc w:val="center"/>
        <w:tblLayout w:type="fixed"/>
      </w:tblPr>
      <w:tblGrid>
        <w:gridCol w:w="1935"/>
        <w:gridCol w:w="2473"/>
        <w:gridCol w:w="1925"/>
        <w:gridCol w:w="1615"/>
        <w:gridCol w:w="1808"/>
      </w:tblGrid>
      <w:tr>
        <w:trPr>
          <w:trHeight w:val="480"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Počet pracovníků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Zařazení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Hodinová sazba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Počet hodin</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Celkem</w:t>
            </w:r>
          </w:p>
        </w:tc>
      </w:tr>
      <w:tr>
        <w:trPr>
          <w:trHeight w:val="33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archeolog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400,00 Kč</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15</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6 000,00 Kč</w:t>
            </w:r>
          </w:p>
        </w:tc>
      </w:tr>
      <w:tr>
        <w:trPr>
          <w:trHeight w:val="335"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asistent arch. výzkumu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300,00 Kč</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0,00 Kč</w:t>
            </w:r>
          </w:p>
        </w:tc>
      </w:tr>
      <w:tr>
        <w:trPr>
          <w:trHeight w:val="378" w:hRule="exact"/>
        </w:trPr>
        <w:tc>
          <w:tcPr>
            <w:gridSpan w:val="4"/>
            <w:tcBorders>
              <w:top w:val="single" w:sz="4"/>
              <w:left w:val="single" w:sz="4"/>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celkem</w:t>
            </w: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6 000,00 Kč</w:t>
            </w:r>
          </w:p>
        </w:tc>
      </w:tr>
    </w:tbl>
    <w:p>
      <w:pPr>
        <w:widowControl w:val="0"/>
        <w:spacing w:after="439" w:line="1" w:lineRule="exact"/>
      </w:pPr>
    </w:p>
    <w:p>
      <w:pPr>
        <w:pStyle w:val="Style16"/>
        <w:keepNext w:val="0"/>
        <w:keepLines w:val="0"/>
        <w:widowControl w:val="0"/>
        <w:shd w:val="clear" w:color="auto" w:fill="auto"/>
        <w:bidi w:val="0"/>
        <w:spacing w:before="0" w:after="0" w:line="240" w:lineRule="auto"/>
        <w:ind w:left="63" w:right="0" w:firstLine="0"/>
        <w:jc w:val="left"/>
      </w:pPr>
      <w:r>
        <w:rPr>
          <w:color w:val="000000"/>
          <w:spacing w:val="0"/>
          <w:w w:val="100"/>
          <w:position w:val="0"/>
          <w:shd w:val="clear" w:color="auto" w:fill="auto"/>
          <w:lang w:val="cs-CZ" w:eastAsia="cs-CZ" w:bidi="cs-CZ"/>
        </w:rPr>
        <w:t>Zpracování nálezů a dokumentace, vyhotovení nálezové zprávy</w:t>
      </w:r>
    </w:p>
    <w:tbl>
      <w:tblPr>
        <w:tblOverlap w:val="never"/>
        <w:jc w:val="center"/>
        <w:tblLayout w:type="fixed"/>
      </w:tblPr>
      <w:tblGrid>
        <w:gridCol w:w="1935"/>
        <w:gridCol w:w="2473"/>
        <w:gridCol w:w="1925"/>
        <w:gridCol w:w="1615"/>
        <w:gridCol w:w="1808"/>
      </w:tblGrid>
      <w:tr>
        <w:trPr>
          <w:trHeight w:val="34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Počet pracovníků</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Zařazení</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Hodinová sazba</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Počet hodin</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Celkem</w:t>
            </w:r>
          </w:p>
        </w:tc>
      </w:tr>
      <w:tr>
        <w:trPr>
          <w:trHeight w:val="33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archeolog</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400,00 Kč</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15</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6 000,00 Kč</w:t>
            </w:r>
          </w:p>
        </w:tc>
      </w:tr>
      <w:tr>
        <w:trPr>
          <w:trHeight w:val="335"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asistent arch. výzkumu</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300,00 Kč</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0,00 Kč</w:t>
            </w:r>
          </w:p>
        </w:tc>
      </w:tr>
      <w:tr>
        <w:trPr>
          <w:trHeight w:val="339"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konzervátor</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300,00 Kč</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0,00 Kč</w:t>
            </w:r>
          </w:p>
        </w:tc>
      </w:tr>
      <w:tr>
        <w:trPr>
          <w:trHeight w:val="33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expertýzy, konzultace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shd w:val="clear" w:color="auto" w:fill="auto"/>
                <w:lang w:val="cs-CZ" w:eastAsia="cs-CZ" w:bidi="cs-CZ"/>
              </w:rPr>
              <w:t>3 000, 00 Kč</w:t>
            </w:r>
          </w:p>
        </w:tc>
      </w:tr>
      <w:tr>
        <w:trPr>
          <w:trHeight w:val="383" w:hRule="exact"/>
        </w:trPr>
        <w:tc>
          <w:tcPr>
            <w:tcBorders>
              <w:left w:val="single" w:sz="4"/>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celkem</w:t>
            </w:r>
          </w:p>
        </w:tc>
        <w:tc>
          <w:tcPr>
            <w:gridSpan w:val="3"/>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b/>
                <w:bCs/>
                <w:color w:val="000000"/>
                <w:spacing w:val="0"/>
                <w:w w:val="100"/>
                <w:position w:val="0"/>
                <w:sz w:val="17"/>
                <w:szCs w:val="17"/>
                <w:shd w:val="clear" w:color="auto" w:fill="auto"/>
                <w:lang w:val="cs-CZ" w:eastAsia="cs-CZ" w:bidi="cs-CZ"/>
              </w:rPr>
              <w:t>9 000,00 Kč</w:t>
            </w:r>
          </w:p>
        </w:tc>
      </w:tr>
    </w:tbl>
    <w:p>
      <w:pPr>
        <w:widowControl w:val="0"/>
        <w:spacing w:after="439" w:line="1" w:lineRule="exact"/>
      </w:pPr>
    </w:p>
    <w:p>
      <w:pPr>
        <w:pStyle w:val="Style29"/>
        <w:keepNext w:val="0"/>
        <w:keepLines w:val="0"/>
        <w:widowControl w:val="0"/>
        <w:pBdr>
          <w:top w:val="single" w:sz="0" w:space="9" w:color="D8D8D8"/>
          <w:left w:val="single" w:sz="0" w:space="0" w:color="D8D8D8"/>
          <w:bottom w:val="single" w:sz="0" w:space="1" w:color="D8D8D8"/>
          <w:right w:val="single" w:sz="0" w:space="0" w:color="D8D8D8"/>
        </w:pBdr>
        <w:shd w:val="clear" w:color="auto" w:fill="D8D8D8"/>
        <w:tabs>
          <w:tab w:pos="8635" w:val="left"/>
        </w:tabs>
        <w:bidi w:val="0"/>
        <w:spacing w:before="0" w:after="416"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celková cena</w:t>
        <w:tab/>
        <w:t>15 000,00 Kč</w:t>
      </w:r>
    </w:p>
    <w:p>
      <w:pPr>
        <w:pStyle w:val="Style2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Zhotovitel si vyhrazuje právo přesunu jednotlivých položek mezi sebou v průběhu prací</w:t>
      </w:r>
    </w:p>
    <w:p>
      <w:pPr>
        <w:pStyle w:val="Style29"/>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při respektování maximální nepřekročitelné ceny.</w:t>
      </w:r>
    </w:p>
    <w:p>
      <w:pPr>
        <w:pStyle w:val="Style2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Terénní část ZAV</w:t>
      </w:r>
    </w:p>
    <w:p>
      <w:pPr>
        <w:pStyle w:val="Style29"/>
        <w:keepNext w:val="0"/>
        <w:keepLines w:val="0"/>
        <w:widowControl w:val="0"/>
        <w:numPr>
          <w:ilvl w:val="0"/>
          <w:numId w:val="7"/>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Preparace a terénní dokumentace archeologických objektů</w:t>
      </w:r>
    </w:p>
    <w:p>
      <w:pPr>
        <w:pStyle w:val="Style29"/>
        <w:keepNext w:val="0"/>
        <w:keepLines w:val="0"/>
        <w:widowControl w:val="0"/>
        <w:numPr>
          <w:ilvl w:val="0"/>
          <w:numId w:val="7"/>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Dokumentace archeologických objektů v terénu</w:t>
      </w:r>
    </w:p>
    <w:p>
      <w:pPr>
        <w:pStyle w:val="Style29"/>
        <w:keepNext w:val="0"/>
        <w:keepLines w:val="0"/>
        <w:widowControl w:val="0"/>
        <w:numPr>
          <w:ilvl w:val="0"/>
          <w:numId w:val="7"/>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Zaměření a exkavace archeologických objektů</w:t>
      </w:r>
    </w:p>
    <w:p>
      <w:pPr>
        <w:pStyle w:val="Style29"/>
        <w:keepNext w:val="0"/>
        <w:keepLines w:val="0"/>
        <w:widowControl w:val="0"/>
        <w:numPr>
          <w:ilvl w:val="0"/>
          <w:numId w:val="7"/>
        </w:numPr>
        <w:shd w:val="clear" w:color="auto" w:fill="auto"/>
        <w:tabs>
          <w:tab w:pos="331" w:val="left"/>
        </w:tabs>
        <w:bidi w:val="0"/>
        <w:spacing w:before="0" w:after="400" w:line="240" w:lineRule="auto"/>
        <w:ind w:left="0" w:right="0" w:firstLine="0"/>
        <w:jc w:val="both"/>
      </w:pPr>
      <w:r>
        <w:rPr>
          <w:color w:val="000000"/>
          <w:spacing w:val="0"/>
          <w:w w:val="100"/>
          <w:position w:val="0"/>
          <w:shd w:val="clear" w:color="auto" w:fill="auto"/>
          <w:lang w:val="cs-CZ" w:eastAsia="cs-CZ" w:bidi="cs-CZ"/>
        </w:rPr>
        <w:t>Agenda AMČR</w:t>
      </w:r>
    </w:p>
    <w:p>
      <w:pPr>
        <w:pStyle w:val="Style2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Zpracování ZAV</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Konzervace archeologických nálezů</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Dokumentace archeologických nálezů (laboratorní)</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Inventarizace, katalogizace a uložení archeologických nálezů</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Zpracování a digitalizace terénní dokumentace</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Vyhodnocení archeologických kontextů</w:t>
      </w:r>
    </w:p>
    <w:p>
      <w:pPr>
        <w:pStyle w:val="Style29"/>
        <w:keepNext w:val="0"/>
        <w:keepLines w:val="0"/>
        <w:widowControl w:val="0"/>
        <w:numPr>
          <w:ilvl w:val="0"/>
          <w:numId w:val="9"/>
        </w:numPr>
        <w:shd w:val="clear" w:color="auto" w:fill="auto"/>
        <w:tabs>
          <w:tab w:pos="331" w:val="left"/>
        </w:tabs>
        <w:bidi w:val="0"/>
        <w:spacing w:before="0" w:line="240" w:lineRule="auto"/>
        <w:ind w:left="0" w:right="0" w:firstLine="0"/>
        <w:jc w:val="both"/>
      </w:pPr>
      <w:r>
        <w:rPr>
          <w:color w:val="000000"/>
          <w:spacing w:val="0"/>
          <w:w w:val="100"/>
          <w:position w:val="0"/>
          <w:shd w:val="clear" w:color="auto" w:fill="auto"/>
          <w:lang w:val="cs-CZ" w:eastAsia="cs-CZ" w:bidi="cs-CZ"/>
        </w:rPr>
        <w:t>Vyhotovení zprávy o archeologické akci</w:t>
      </w:r>
    </w:p>
    <w:sectPr>
      <w:footnotePr>
        <w:pos w:val="pageBottom"/>
        <w:numFmt w:val="decimal"/>
        <w:numRestart w:val="continuous"/>
      </w:footnotePr>
      <w:pgSz w:w="11900" w:h="16840"/>
      <w:pgMar w:top="1" w:left="1092" w:right="952" w:bottom="45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3491230</wp:posOffset>
              </wp:positionH>
              <wp:positionV relativeFrom="page">
                <wp:posOffset>9980930</wp:posOffset>
              </wp:positionV>
              <wp:extent cx="664210" cy="109855"/>
              <wp:wrapNone/>
              <wp:docPr id="3" name="Shape 3"/>
              <a:graphic xmlns:a="http://schemas.openxmlformats.org/drawingml/2006/main">
                <a:graphicData uri="http://schemas.microsoft.com/office/word/2010/wordprocessingShape">
                  <wps:wsp>
                    <wps:cNvSpPr txBox="1"/>
                    <wps:spPr>
                      <a:xfrm>
                        <a:ext cx="66421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74.89999999999998pt;margin-top:785.89999999999998pt;width:52.299999999999997pt;height:8.6500000000000004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6766560</wp:posOffset>
              </wp:positionH>
              <wp:positionV relativeFrom="page">
                <wp:posOffset>10407650</wp:posOffset>
              </wp:positionV>
              <wp:extent cx="164465" cy="128270"/>
              <wp:wrapNone/>
              <wp:docPr id="25" name="Shape 25"/>
              <a:graphic xmlns:a="http://schemas.openxmlformats.org/drawingml/2006/main">
                <a:graphicData uri="http://schemas.microsoft.com/office/word/2010/wordprocessingShape">
                  <wps:wsp>
                    <wps:cNvSpPr txBox="1"/>
                    <wps:spPr>
                      <a:xfrm>
                        <a:ext cx="16446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w:t>
                          </w:r>
                        </w:p>
                      </w:txbxContent>
                    </wps:txbx>
                    <wps:bodyPr wrap="none" lIns="0" tIns="0" rIns="0" bIns="0">
                      <a:spAutoFit/>
                    </wps:bodyPr>
                  </wps:wsp>
                </a:graphicData>
              </a:graphic>
            </wp:anchor>
          </w:drawing>
        </mc:Choice>
        <mc:Fallback>
          <w:pict>
            <v:shape id="_x0000_s1051" type="#_x0000_t202" style="position:absolute;margin-left:532.79999999999995pt;margin-top:819.5pt;width:12.949999999999999pt;height:10.1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start w:val="1"/>
      <w:numFmt w:val="upperRoman"/>
      <w:lvlText w:val="%1.%2.%3"/>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2"/>
      <w:numFmt w:val="decimal"/>
      <w:lvlText w:val="6.%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Jiné_"/>
    <w:basedOn w:val="DefaultParagraphFont"/>
    <w:link w:val="Style6"/>
    <w:rPr>
      <w:rFonts w:ascii="Arial" w:eastAsia="Arial" w:hAnsi="Arial" w:cs="Arial"/>
      <w:b w:val="0"/>
      <w:bCs w:val="0"/>
      <w:i w:val="0"/>
      <w:iCs w:val="0"/>
      <w:smallCaps w:val="0"/>
      <w:strike w:val="0"/>
      <w:sz w:val="22"/>
      <w:szCs w:val="22"/>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2"/>
      <w:szCs w:val="22"/>
      <w:u w:val="none"/>
    </w:rPr>
  </w:style>
  <w:style w:type="character" w:customStyle="1" w:styleId="CharStyle12">
    <w:name w:val="Titulek obrázku_"/>
    <w:basedOn w:val="DefaultParagraphFont"/>
    <w:link w:val="Style11"/>
    <w:rPr>
      <w:rFonts w:ascii="Times New Roman" w:eastAsia="Times New Roman" w:hAnsi="Times New Roman" w:cs="Times New Roman"/>
      <w:b w:val="0"/>
      <w:bCs w:val="0"/>
      <w:i w:val="0"/>
      <w:iCs w:val="0"/>
      <w:smallCaps w:val="0"/>
      <w:strike w:val="0"/>
      <w:sz w:val="19"/>
      <w:szCs w:val="19"/>
      <w:u w:val="none"/>
    </w:rPr>
  </w:style>
  <w:style w:type="character" w:customStyle="1" w:styleId="CharStyle14">
    <w:name w:val="Základní text (4)_"/>
    <w:basedOn w:val="DefaultParagraphFont"/>
    <w:link w:val="Style13"/>
    <w:rPr>
      <w:rFonts w:ascii="Cambria" w:eastAsia="Cambria" w:hAnsi="Cambria" w:cs="Cambria"/>
      <w:b w:val="0"/>
      <w:bCs w:val="0"/>
      <w:i/>
      <w:iCs/>
      <w:smallCaps w:val="0"/>
      <w:strike w:val="0"/>
      <w:sz w:val="18"/>
      <w:szCs w:val="18"/>
      <w:u w:val="none"/>
    </w:rPr>
  </w:style>
  <w:style w:type="character" w:customStyle="1" w:styleId="CharStyle17">
    <w:name w:val="Titulek tabulky_"/>
    <w:basedOn w:val="DefaultParagraphFont"/>
    <w:link w:val="Style16"/>
    <w:rPr>
      <w:rFonts w:ascii="Times New Roman" w:eastAsia="Times New Roman" w:hAnsi="Times New Roman" w:cs="Times New Roman"/>
      <w:b/>
      <w:bCs/>
      <w:i w:val="0"/>
      <w:iCs w:val="0"/>
      <w:smallCaps w:val="0"/>
      <w:strike w:val="0"/>
      <w:sz w:val="17"/>
      <w:szCs w:val="17"/>
      <w:u w:val="none"/>
    </w:rPr>
  </w:style>
  <w:style w:type="character" w:customStyle="1" w:styleId="CharStyle21">
    <w:name w:val="Nadpis #1_"/>
    <w:basedOn w:val="DefaultParagraphFont"/>
    <w:link w:val="Style20"/>
    <w:rPr>
      <w:rFonts w:ascii="Arial" w:eastAsia="Arial" w:hAnsi="Arial" w:cs="Arial"/>
      <w:b/>
      <w:bCs/>
      <w:i w:val="0"/>
      <w:iCs w:val="0"/>
      <w:smallCaps w:val="0"/>
      <w:strike w:val="0"/>
      <w:sz w:val="22"/>
      <w:szCs w:val="22"/>
      <w:u w:val="none"/>
    </w:rPr>
  </w:style>
  <w:style w:type="character" w:customStyle="1" w:styleId="CharStyle25">
    <w:name w:val="Základní text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Základní text (3)_"/>
    <w:basedOn w:val="DefaultParagraphFont"/>
    <w:link w:val="Style29"/>
    <w:rPr>
      <w:rFonts w:ascii="Times New Roman" w:eastAsia="Times New Roman" w:hAnsi="Times New Roman" w:cs="Times New Roman"/>
      <w:b w:val="0"/>
      <w:bCs w:val="0"/>
      <w:i w:val="0"/>
      <w:iCs w:val="0"/>
      <w:smallCaps w:val="0"/>
      <w:strike w:val="0"/>
      <w:sz w:val="16"/>
      <w:szCs w:val="16"/>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Jiné"/>
    <w:basedOn w:val="Normal"/>
    <w:link w:val="CharStyle7"/>
    <w:pPr>
      <w:widowControl w:val="0"/>
      <w:shd w:val="clear" w:color="auto" w:fill="FFFFFF"/>
      <w:spacing w:after="80"/>
    </w:pPr>
    <w:rPr>
      <w:rFonts w:ascii="Arial" w:eastAsia="Arial" w:hAnsi="Arial" w:cs="Arial"/>
      <w:b w:val="0"/>
      <w:bCs w:val="0"/>
      <w:i w:val="0"/>
      <w:iCs w:val="0"/>
      <w:smallCaps w:val="0"/>
      <w:strike w:val="0"/>
      <w:sz w:val="22"/>
      <w:szCs w:val="22"/>
      <w:u w:val="none"/>
    </w:rPr>
  </w:style>
  <w:style w:type="paragraph" w:customStyle="1" w:styleId="Style9">
    <w:name w:val="Základní text"/>
    <w:basedOn w:val="Normal"/>
    <w:link w:val="CharStyle10"/>
    <w:pPr>
      <w:widowControl w:val="0"/>
      <w:shd w:val="clear" w:color="auto" w:fill="FFFFFF"/>
      <w:spacing w:after="80"/>
    </w:pPr>
    <w:rPr>
      <w:rFonts w:ascii="Arial" w:eastAsia="Arial" w:hAnsi="Arial" w:cs="Arial"/>
      <w:b w:val="0"/>
      <w:bCs w:val="0"/>
      <w:i w:val="0"/>
      <w:iCs w:val="0"/>
      <w:smallCaps w:val="0"/>
      <w:strike w:val="0"/>
      <w:sz w:val="22"/>
      <w:szCs w:val="22"/>
      <w:u w:val="none"/>
    </w:rPr>
  </w:style>
  <w:style w:type="paragraph" w:customStyle="1" w:styleId="Style11">
    <w:name w:val="Titulek obrázku"/>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13">
    <w:name w:val="Základní text (4)"/>
    <w:basedOn w:val="Normal"/>
    <w:link w:val="CharStyle14"/>
    <w:pPr>
      <w:widowControl w:val="0"/>
      <w:shd w:val="clear" w:color="auto" w:fill="FFFFFF"/>
      <w:spacing w:after="300"/>
      <w:ind w:right="310"/>
    </w:pPr>
    <w:rPr>
      <w:rFonts w:ascii="Cambria" w:eastAsia="Cambria" w:hAnsi="Cambria" w:cs="Cambria"/>
      <w:b w:val="0"/>
      <w:bCs w:val="0"/>
      <w:i/>
      <w:iCs/>
      <w:smallCaps w:val="0"/>
      <w:strike w:val="0"/>
      <w:sz w:val="18"/>
      <w:szCs w:val="18"/>
      <w:u w:val="none"/>
    </w:rPr>
  </w:style>
  <w:style w:type="paragraph" w:customStyle="1" w:styleId="Style16">
    <w:name w:val="Titulek tabulky"/>
    <w:basedOn w:val="Normal"/>
    <w:link w:val="CharStyle17"/>
    <w:pPr>
      <w:widowControl w:val="0"/>
      <w:shd w:val="clear" w:color="auto" w:fill="FFFFFF"/>
    </w:pPr>
    <w:rPr>
      <w:rFonts w:ascii="Times New Roman" w:eastAsia="Times New Roman" w:hAnsi="Times New Roman" w:cs="Times New Roman"/>
      <w:b/>
      <w:bCs/>
      <w:i w:val="0"/>
      <w:iCs w:val="0"/>
      <w:smallCaps w:val="0"/>
      <w:strike w:val="0"/>
      <w:sz w:val="17"/>
      <w:szCs w:val="17"/>
      <w:u w:val="none"/>
    </w:rPr>
  </w:style>
  <w:style w:type="paragraph" w:customStyle="1" w:styleId="Style20">
    <w:name w:val="Nadpis #1"/>
    <w:basedOn w:val="Normal"/>
    <w:link w:val="CharStyle21"/>
    <w:pPr>
      <w:widowControl w:val="0"/>
      <w:shd w:val="clear" w:color="auto" w:fill="FFFFFF"/>
      <w:spacing w:after="80"/>
      <w:jc w:val="center"/>
      <w:outlineLvl w:val="0"/>
    </w:pPr>
    <w:rPr>
      <w:rFonts w:ascii="Arial" w:eastAsia="Arial" w:hAnsi="Arial" w:cs="Arial"/>
      <w:b/>
      <w:bCs/>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spacing w:after="260" w:line="276" w:lineRule="auto"/>
      <w:ind w:firstLine="720"/>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Základní text (3)"/>
    <w:basedOn w:val="Normal"/>
    <w:link w:val="CharStyle30"/>
    <w:pPr>
      <w:widowControl w:val="0"/>
      <w:shd w:val="clear" w:color="auto" w:fill="FFFFFF"/>
      <w:spacing w:after="100"/>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footer" Target="footer2.xml"/><Relationship Id="rId17" Type="http://schemas.openxmlformats.org/officeDocument/2006/relationships/image" Target="media/image6.jpeg"/><Relationship Id="rId18" Type="http://schemas.openxmlformats.org/officeDocument/2006/relationships/image" Target="media/image6.jpeg" TargetMode="External"/></Relationships>
</file>

<file path=docProps/core.xml><?xml version="1.0" encoding="utf-8"?>
<cp:coreProperties xmlns:cp="http://schemas.openxmlformats.org/package/2006/metadata/core-properties" xmlns:dc="http://purl.org/dc/elements/1.1/">
  <dc:title>Microsoft Word - cen. nabídka, Chot˙boY</dc:title>
  <dc:subject/>
  <dc:creator>archeolog</dc:creator>
  <cp:keywords/>
</cp:coreProperties>
</file>