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Smlouva o účasti ve vzdělávacím</w:t>
      </w: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programu Ředitel naživo 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Učitel naživo,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 </w:t>
      </w:r>
      <w:r>
        <w:rPr>
          <w:rFonts w:ascii="Times New Roman" w:eastAsia="Times New Roman" w:hAnsi="Times New Roman" w:cs="Times New Roman"/>
          <w:sz w:val="24"/>
          <w:szCs w:val="24"/>
        </w:rPr>
        <w:t>Vršovická 817/5, 101 00 Praha 10 - Vršovice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 06620043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zapsaný v rejstříku ústavů vedeném Městským soudem v Praze, oddíl U, vložka 636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zastoupený Martinem Kozlem, ředitelem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„Ústav“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Název školy: Obchodní akademie, Prostějov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sídlem: Palackého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796 01 Prostějov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 47922117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zastoupená: Ing. Ev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Lošťákov</w:t>
      </w:r>
      <w:r>
        <w:rPr>
          <w:rFonts w:ascii="Times New Roman" w:eastAsia="Times New Roman" w:hAnsi="Times New Roman" w:cs="Times New Roman"/>
          <w:sz w:val="24"/>
          <w:szCs w:val="24"/>
        </w:rPr>
        <w:t>ou, ředitelkou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„Škola“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šťáková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David Mach</w:t>
      </w:r>
    </w:p>
    <w:p w:rsidR="00AB0F82" w:rsidRDefault="00AB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Účastníci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 v souladu s ustanovením § 1746 odst. 2 zákona č. 89/2012 Sb., občanský zákoník, tuto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smlouvu 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účasti ve vzdělávacím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programu </w:t>
      </w: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Ředitel naživo</w:t>
      </w: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také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      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Předmět smlouvy</w:t>
      </w:r>
    </w:p>
    <w:p w:rsidR="00AB0F82" w:rsidRDefault="0067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0F82" w:rsidRDefault="006731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 Smlouvou se Ústav zavazuje zabezpečit a umožnit Účastníkům vzdělávání ve vzdělávacím programu Ředitel naživo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 vytvořit podmínky pro jeho řádné absolvování, Škola se touto Smlouvou zavazuje uhradit Poplatek,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Účastníci se zavazují aktivně účastnit vzdělávacího Programu, řádně a včas v souladu s pokyny Ústavu plnit své studijní povinnosti a dodržovat společenský standard a zvyklosti vyplývající z charakteru Programu.    </w:t>
      </w:r>
    </w:p>
    <w:p w:rsidR="00AB0F82" w:rsidRDefault="00AB0F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Účastníci před uzavřením této Smlouvy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absolvovali výběrové přijímací řízení, přičemž potvrzují, že byli podrobně seznámeni s účelem a podmínkami účasti v Programu a z nich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vychá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způsobu realizace, rozsahu a náplně, a podmínkami pro úspěšné absolvování. Účastníci berou na vědomí, že 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 může dílčím způsobem změnit nebo upravit obsah a rozsah Programu v závislosti na průběžném získávání zpětné vazby od všech zúčastněných. Účastníci berou na vědomí, že celkové náklady na Program významně převyšují částku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Poplatku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jsou dotovány z dárc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ovských zdrojů třetích osob, přičemž o jejich vynaložení v zájmu úspěšného absolvování Programu účastníky rozhodl Ústav na základě přijímacího řízení, ve kterém účastníci projevili zájem zlepšovat se ve své profesi a ochotu sdílet a reflektovat zkušenosti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 své praxe.            </w:t>
      </w:r>
    </w:p>
    <w:p w:rsidR="00AB0F82" w:rsidRDefault="00AB0F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Program bude realizován jako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dvouletý studijní cyklus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bude probíhat v období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8.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30. 6.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časového harmonogramu, který je na každý školní rok zveřejněn nejpozději do 30. 6. předchozího školního roku. </w:t>
      </w:r>
    </w:p>
    <w:p w:rsidR="00AB0F82" w:rsidRDefault="00AB0F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 bude probíhat jako prezenční a zahrnuje (a) vzdělávací bloky, (b) praxi, (c) individuální podporu a (d) práci ve svépomocných skupinách: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Vzdělávací bloky budou realizovány  </w:t>
      </w:r>
    </w:p>
    <w:p w:rsidR="00AB0F82" w:rsidRDefault="006731D1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 14 dní jednodenních nebo dvoudenních setkání v Praze, při kterých není zajištěno ubytování a stravování, </w:t>
      </w:r>
    </w:p>
    <w:p w:rsidR="00AB0F82" w:rsidRDefault="006731D1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 4 třídenní setkání mimo Prahu, při kterých je zajištěno ubytování a stravování, třídenní setkání začíná vždy první den obědem a končí obědem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třetí den.</w:t>
      </w:r>
    </w:p>
    <w:p w:rsidR="00AB0F82" w:rsidRDefault="006731D1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Praxe zahrnuje</w:t>
      </w:r>
    </w:p>
    <w:p w:rsidR="00AB0F82" w:rsidRDefault="006731D1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minimálně 3 skupinové exkurze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partnerských školách a firmách, </w:t>
      </w:r>
    </w:p>
    <w:p w:rsidR="00AB0F82" w:rsidRDefault="006731D1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minimálně 2 dvoudenní stáže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ředitelů partnerských škol,</w:t>
      </w:r>
    </w:p>
    <w:p w:rsidR="00AB0F82" w:rsidRDefault="006731D1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volitelnou zahraniční exkurzi, jejíž cena není zahrnuta v Poplatku.</w:t>
      </w:r>
    </w:p>
    <w:p w:rsidR="00AB0F82" w:rsidRDefault="006731D1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Individuální podpora zahrnuje</w:t>
      </w:r>
    </w:p>
    <w:p w:rsidR="00AB0F82" w:rsidRDefault="006731D1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hodin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služeb poradce, mentora, kouče, lektorské nebo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facilitátorské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podpory pro jednu školu Účastníci si podle svých potřeb její využití vybírají individuálně po domluvě s průvodci Programu,</w:t>
      </w:r>
    </w:p>
    <w:p w:rsidR="00AB0F82" w:rsidRDefault="006731D1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Práce ve svépomocných skupinách</w:t>
      </w:r>
    </w:p>
    <w:p w:rsidR="00AB0F82" w:rsidRDefault="006731D1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 hodin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setkávání v menších pracovníc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skupinách organizovaných po domluvě s Průvodci programu. 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Platba za vzdělávací Program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Škola se touto Smlouvou zavazuje uhradit stanovený poplatek za Program (též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“). Poplatek představuje paušální úhradu za účast na Programu. Výše Poplatku není závislá na rozsahu skutečné účasti na Programu. Po dobu prodlení s úhradou Poplatku je Ústav oprávněný odmítnout Účastníkům možnost účastnit se realizace Programu.</w:t>
      </w:r>
    </w:p>
    <w:p w:rsidR="00AB0F82" w:rsidRDefault="006731D1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Základní výše Poplatku činí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132.000,-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  </w:t>
      </w:r>
    </w:p>
    <w:p w:rsidR="00AB0F82" w:rsidRDefault="006731D1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Poplatek je splatný ve třech splátkách na základě faktury, takto: 1.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44.000,-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nejpozději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 30. 6. 2022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2.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44.000,-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nejpozději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do 30. 6. 2023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3.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44.000,-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nejpozději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30. 4.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Platba Poplatku se zasílá na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účet Ústavu číslo 77332222/0800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účet je vedený u České spořitelny, a. s. Do zprávy pro příjemce Účastníci uvedou celá svá jména a příjmení + název Školy.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Variabilní symbol je číslo faktury.</w:t>
      </w:r>
    </w:p>
    <w:p w:rsidR="00AB0F82" w:rsidRDefault="006731D1">
      <w:pPr>
        <w:numPr>
          <w:ilvl w:val="0"/>
          <w:numId w:val="2"/>
        </w:num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Faktura k 1. splátce bude odes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lána spolu se smlouvou, faktura k 2. splátce bude vystavena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15. 5. 2023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splatností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30. 6. 2023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faktura k 3. splátce bude vystavena k 15. 4. 2024 se splatností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30. 4. 2024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 bude doručena na adresu sídla školy písemně/elektronicky. </w:t>
      </w:r>
    </w:p>
    <w:p w:rsidR="00AB0F82" w:rsidRDefault="006731D1">
      <w:pPr>
        <w:numPr>
          <w:ilvl w:val="0"/>
          <w:numId w:val="2"/>
        </w:num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Škola nepos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kytuje Ústavu žádnou zálohu na služby.</w:t>
      </w:r>
    </w:p>
    <w:p w:rsidR="00AB0F82" w:rsidRDefault="006731D1">
      <w:pPr>
        <w:numPr>
          <w:ilvl w:val="0"/>
          <w:numId w:val="2"/>
        </w:numPr>
        <w:shd w:val="clear" w:color="auto" w:fill="FFFFFF"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 případě prodlení bude po  Škole vyžadován úrok z prodlení v zákonné výši.</w:t>
      </w: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III. Práva a povinnosti smluvních stran</w:t>
      </w:r>
    </w:p>
    <w:p w:rsidR="00AB0F82" w:rsidRDefault="00AB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F82" w:rsidRDefault="006731D1">
      <w:pPr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se zavazují poskytnout Ústavu veškerou součinnost nutnou k zajištění řádného průběhu a absolvování Programu a zejména mu pro tuto činnost včas předat veškeré potřebné informace a materiály, o které budou požádáni. Účastníci se zavazují dbát pokyn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 zaměstnanců Ústavu a těmito pokyny se řídit. Účastníci se zavazují, že v případě změn kontaktních údajů takové změny neprodleně oznámí kontaktní osobě Ústavu (Klára Ondříčková, 604 419 764,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info@reditelnazi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vo.cz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B0F82" w:rsidRDefault="006731D1">
      <w:pPr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berou na vědomí, že veškeré materiály, prezentace a vystoupení oficiálně představující Program podléhají předchozímu písemnému schválení Ústavu.</w:t>
      </w:r>
    </w:p>
    <w:p w:rsidR="00AB0F82" w:rsidRDefault="006731D1">
      <w:pPr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Účastníci se dále zavazují dodržovat zejména následující pravidla: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chránit majetek a dobré jméno Ústavu, včetně majetku třetích osob a provozovatelů prostor, kde je zabezpečován Program nebo jiné v rámci Programu organizované aktivity. V případě porušení této povinnosti odpovídají účastníci za způsobenou škodu dle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becně závazných právních předpisů, 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se řídit obecně platnými pravidly a vnitřními normami a předpisy školy nebo instituce, na níž probíhá praxe (zejména školní řád),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 organizaci praxí, individuální podpory a svépomocných skupin budou s průvodci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ostatními účastníky komunikovat bez zbytečných prodlev a usilovat o nalezení shody a kompromisu s ohledem na možnosti všech účastníků, 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se nebudou moci ze závažných důvodů některé části Programu zúčastnit, omluví se bezodkladně poté, co se o nemožnos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účasti dozví,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mají na paměti, že veškeré informace osobního charakteru jsou důvěrné a nakládání s nimi se řídí předpisy o ochraně osobních údajů v aktuálním znění,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zavazují se zachovávat mlčenlivost o důvěrných informacích, které se dozví v průběhu 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ramu, 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plnit jednotlivé úkoly zadávané na výukových blocích (úkolem je nejčastěji něco, co si účastník sám vybere, vyzkouší v praxi a podá o tom stručnou zprávu při reflexi a v portfoliu),</w:t>
      </w:r>
    </w:p>
    <w:p w:rsidR="00AB0F82" w:rsidRDefault="006731D1">
      <w:pPr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 vždy dodržovat ustanovení o bezpečnosti a ochraně zdrav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í, požární a ostatní závazné právní předpisy spojené s činností a provozem školy, kde probíhá praxe.    </w:t>
      </w:r>
    </w:p>
    <w:p w:rsidR="00AB0F82" w:rsidRDefault="00AB0F8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vážné indispozice (těžké onemocnění, úraz, úmrtí apod.) nebo ukončení pracovního poměru některého z lektorů Programu zajistí Ústav náhradníh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lektora s odpovídajícím vzděláním a zkušenostmi v oboru.</w:t>
      </w:r>
    </w:p>
    <w:p w:rsidR="00AB0F82" w:rsidRDefault="006731D1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spojené s realizací Programu násobně překračují výši Poplatku a jsou hrazeny Ústavem a dalšími partnery projektu s cílem zvyšovat kvalitu vzdělávání v České republice. Z tohoto důvodu 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níci berou na vědomí a zavazují se: </w:t>
      </w:r>
    </w:p>
    <w:p w:rsidR="00AB0F82" w:rsidRDefault="006731D1">
      <w:pPr>
        <w:numPr>
          <w:ilvl w:val="1"/>
          <w:numId w:val="2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 účasti na Programu po celou dobu jeho trvání. Účastníci mohou odstoupit z Programu pouze z vážných důvodů, přičemž vyjádření vůle odstoupit z Programu musí být písemné, s uvedením podrobného odůvodnění a s doložením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vrzených skutečností, a doručené Ústavu. V případě odstoupení z Programu z důvodu na straně Účastníků nevzniká právo na vrácení Poplatku ani jeho části,</w:t>
      </w:r>
    </w:p>
    <w:p w:rsidR="00AB0F82" w:rsidRDefault="006731D1">
      <w:pPr>
        <w:numPr>
          <w:ilvl w:val="1"/>
          <w:numId w:val="28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odstoupení z Programu jednoho či obou Účastníků Programu je(j) není možné nahradit jiným peda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gogickým pracovníkem Školy. Případné výjimky podléhají schválení Ústavu a z této Smlouvy na ně nevzniká žádný právní nárok.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B0F82" w:rsidRDefault="006731D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Účastníci touto Smlouvou udělují souhlas Ústavu k postoupení této Smlouvy a všech práv a povinností z ní vyplývajících na třetí osobu, která bude mít srovnatelné odborné a organizační zázemí, a která zabezpečí Program dle této Smlouvy. Při postoupení Smlou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 v průběhu trvání Programu bude Smlouva postoupena s účinky ke dni odeslání oznámení o postoupení Smlouvy Účastníkům. 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Trvání Smlouvy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 se uzavírá na dobu určitou, a to na dobu do dokončení stanoveného studijního cyklu Programu (tj. do 30.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B0F82" w:rsidRDefault="006731D1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 je oprávněn od této Smlouvy odstoupit v případě, že Škola řádně a včas neuhradí Poplatek.</w:t>
      </w:r>
    </w:p>
    <w:p w:rsidR="00AB0F82" w:rsidRDefault="006731D1">
      <w:pPr>
        <w:numPr>
          <w:ilvl w:val="0"/>
          <w:numId w:val="19"/>
        </w:numPr>
        <w:spacing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 je oprávněn od této Smlouvy odstoupit v případě, že Účastníci nebo Škola poruší své povinnosti uvedené v této Smlouvě, či povinnosti, k jejichž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držování se v souvislosti s Programem jinak zavázali. Důvody pro ukončení výcviku dle této Smlouvy jsou zejména: </w:t>
      </w:r>
    </w:p>
    <w:p w:rsidR="00AB0F82" w:rsidRDefault="006731D1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Nesplnění účasti alespoň v rozsahu 70 %, a to za každého účastníka a za každý školní rok i jen v jedné z oblastí: (i) vzdělávací bloky,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raxe,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práce ve svépomocných skupinách. </w:t>
      </w:r>
    </w:p>
    <w:p w:rsidR="00AB0F82" w:rsidRDefault="006731D1">
      <w:pPr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Hrubé porušení nebo opakované méně závažné porušení Účastníkem některé z povinností vyjmenovaných v čl. III. této Smlouvy. V případě méně závažného porušení povinností může být s Účastníkem sepsán protokol obsa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hující ze strany Ústavu navrhované a akceptovatelné řešení situace. </w:t>
      </w:r>
    </w:p>
    <w:p w:rsidR="00AB0F82" w:rsidRDefault="006731D1">
      <w:pPr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případě, že Ústav od smlouvy odstoupí z důvodů dle čl. IV. odst. 2 nebo čl. IV. odst. 3 této Smlouvy, nemá Škola právo na jakékoliv vrácení nebo kompenzaci uhrazené platby Poplatku, a to ani v rozsahu jakékoliv části.</w:t>
      </w:r>
    </w:p>
    <w:p w:rsidR="00AB0F82" w:rsidRDefault="006731D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Ústav je oprávněn odstoupit od 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 v průběhu trvání Programu z vážných důvodů, zejména kvůli nedostatku účastníků nebo nedostatku finančního zajištění pro realizaci Programu. Ústav v takovém případě bezodkladně oznámí předčasné ukončení Programu Škole a Účastníkům a vrátí Škole pomě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rnou část z platby Poplatku, a to dle poměru celkové doby předpokládaného studijního cyklu a počtu kalendářních měsíců, ve kterých již Program nebude pokračovat, nejpozději do jednoho měsíce od odstoupení od této Smlouvy. Škola je pro tento případ povinna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včas poskytnout Ústavu číslo bankovního účtu pro vrácení poměrné části Poplatku. Škola a Účastníci prohlašují, že s ohledem na skutečnosti uvedené v čl. I. odst. 2 této Smlouvy, se vzdávají práva na náhradu jakékoliv újmy, která by mohla vzniknout v souvis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losti s odstoupením od Smlouvy dle tohoto článku Smlouvy.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Závěrečná ustanovení</w:t>
      </w:r>
    </w:p>
    <w:p w:rsidR="00AB0F82" w:rsidRDefault="00AB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F82" w:rsidRDefault="006731D1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a účinnosti dnem jejího podpisu všemi účastníky.</w:t>
      </w:r>
    </w:p>
    <w:p w:rsidR="00AB0F82" w:rsidRDefault="006731D1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může být měněna a doplňována pouze na základě písemné dohody všech účastníků Smlouvy.</w:t>
      </w:r>
    </w:p>
    <w:p w:rsidR="00AB0F82" w:rsidRDefault="006731D1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je sepsána ve čtyřech stejnopisech, z nichž Ústav obdrží jedno vyhotovení, Škola jedno vyhotovení a každý z Účastníků po jednom vyhotovení.</w:t>
      </w:r>
    </w:p>
    <w:p w:rsidR="00AB0F82" w:rsidRDefault="006731D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Práv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 povinnosti smluvních stran neupravené touto Smlouvou se řídí českým právem, a to zejména zákonem č. 89/2012 Sb., občanským zákoníkem.</w:t>
      </w:r>
    </w:p>
    <w:p w:rsidR="00AB0F82" w:rsidRDefault="00AB0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0"/>
        <w:gridCol w:w="4612"/>
      </w:tblGrid>
      <w:tr w:rsidR="00AB0F82">
        <w:trPr>
          <w:trHeight w:val="3642"/>
        </w:trPr>
        <w:tc>
          <w:tcPr>
            <w:tcW w:w="4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67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Praze dne ………….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B0F82" w:rsidRDefault="00A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67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 </w:t>
            </w:r>
          </w:p>
          <w:p w:rsidR="00AB0F82" w:rsidRDefault="00AB0F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AB0F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67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AB0F82" w:rsidRDefault="0067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Ústav - ředitel</w:t>
            </w:r>
          </w:p>
        </w:tc>
        <w:tc>
          <w:tcPr>
            <w:tcW w:w="46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67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Praze dne ………….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B0F82" w:rsidRDefault="00A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67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 </w:t>
            </w:r>
          </w:p>
          <w:p w:rsidR="00AB0F82" w:rsidRDefault="00AB0F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AB0F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F82" w:rsidRDefault="0067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 </w:t>
            </w:r>
          </w:p>
          <w:p w:rsidR="00AB0F82" w:rsidRDefault="0067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Škola / Účastník - ředitel školy</w:t>
            </w:r>
          </w:p>
        </w:tc>
      </w:tr>
      <w:tr w:rsidR="00AB0F82">
        <w:trPr>
          <w:trHeight w:val="240"/>
        </w:trPr>
        <w:tc>
          <w:tcPr>
            <w:tcW w:w="4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AB0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AB0F82">
            <w:pPr>
              <w:spacing w:after="0"/>
              <w:rPr>
                <w:sz w:val="20"/>
                <w:szCs w:val="20"/>
              </w:rPr>
            </w:pPr>
          </w:p>
        </w:tc>
      </w:tr>
      <w:tr w:rsidR="00AB0F82">
        <w:trPr>
          <w:trHeight w:val="1368"/>
        </w:trPr>
        <w:tc>
          <w:tcPr>
            <w:tcW w:w="4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AB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46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F82" w:rsidRDefault="0067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Škola / Účastník - zástupce školy</w:t>
            </w:r>
          </w:p>
        </w:tc>
      </w:tr>
    </w:tbl>
    <w:p w:rsidR="00AB0F82" w:rsidRDefault="006731D1">
      <w:pPr>
        <w:ind w:left="453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0F8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D1" w:rsidRDefault="006731D1">
      <w:pPr>
        <w:spacing w:after="0" w:line="240" w:lineRule="auto"/>
      </w:pPr>
      <w:r>
        <w:separator/>
      </w:r>
    </w:p>
  </w:endnote>
  <w:endnote w:type="continuationSeparator" w:id="0">
    <w:p w:rsidR="006731D1" w:rsidRDefault="0067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82" w:rsidRDefault="006731D1">
    <w:pPr>
      <w:jc w:val="center"/>
    </w:pPr>
    <w:r>
      <w:fldChar w:fldCharType="begin"/>
    </w:r>
    <w:r>
      <w:instrText>PAGE</w:instrText>
    </w:r>
    <w:r w:rsidR="009E6CEA">
      <w:fldChar w:fldCharType="separate"/>
    </w:r>
    <w:r w:rsidR="009E6CE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D1" w:rsidRDefault="006731D1">
      <w:pPr>
        <w:spacing w:after="0" w:line="240" w:lineRule="auto"/>
      </w:pPr>
      <w:r>
        <w:separator/>
      </w:r>
    </w:p>
  </w:footnote>
  <w:footnote w:type="continuationSeparator" w:id="0">
    <w:p w:rsidR="006731D1" w:rsidRDefault="0067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435"/>
    <w:multiLevelType w:val="multilevel"/>
    <w:tmpl w:val="AFCA5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3FC5014"/>
    <w:multiLevelType w:val="multilevel"/>
    <w:tmpl w:val="BB46F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7AC4E80"/>
    <w:multiLevelType w:val="multilevel"/>
    <w:tmpl w:val="B64AB17C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9C42216"/>
    <w:multiLevelType w:val="multilevel"/>
    <w:tmpl w:val="B674228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F2F7A09"/>
    <w:multiLevelType w:val="multilevel"/>
    <w:tmpl w:val="EC5C1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F8620E4"/>
    <w:multiLevelType w:val="multilevel"/>
    <w:tmpl w:val="1B644CFA"/>
    <w:lvl w:ilvl="0">
      <w:start w:val="4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22F4179F"/>
    <w:multiLevelType w:val="multilevel"/>
    <w:tmpl w:val="AEF8FA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4850A49"/>
    <w:multiLevelType w:val="multilevel"/>
    <w:tmpl w:val="81E009FC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96A5562"/>
    <w:multiLevelType w:val="multilevel"/>
    <w:tmpl w:val="CC100D4E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3BBA04F0"/>
    <w:multiLevelType w:val="multilevel"/>
    <w:tmpl w:val="437A17CE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3D6E5969"/>
    <w:multiLevelType w:val="multilevel"/>
    <w:tmpl w:val="B9FC84A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D801933"/>
    <w:multiLevelType w:val="multilevel"/>
    <w:tmpl w:val="EC0AE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00127BB"/>
    <w:multiLevelType w:val="multilevel"/>
    <w:tmpl w:val="BFEE9DC2"/>
    <w:lvl w:ilvl="0">
      <w:start w:val="5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46196DE7"/>
    <w:multiLevelType w:val="multilevel"/>
    <w:tmpl w:val="01C89D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A337E"/>
    <w:multiLevelType w:val="multilevel"/>
    <w:tmpl w:val="400203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E5261DF"/>
    <w:multiLevelType w:val="multilevel"/>
    <w:tmpl w:val="FC8E5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F761F63"/>
    <w:multiLevelType w:val="multilevel"/>
    <w:tmpl w:val="C242F5EA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01A3C64"/>
    <w:multiLevelType w:val="multilevel"/>
    <w:tmpl w:val="FEE68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09A697B"/>
    <w:multiLevelType w:val="multilevel"/>
    <w:tmpl w:val="CC7E9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2277810"/>
    <w:multiLevelType w:val="multilevel"/>
    <w:tmpl w:val="C2746F5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3467D81"/>
    <w:multiLevelType w:val="multilevel"/>
    <w:tmpl w:val="13ECB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49A5736"/>
    <w:multiLevelType w:val="multilevel"/>
    <w:tmpl w:val="E8546F02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56F948A0"/>
    <w:multiLevelType w:val="multilevel"/>
    <w:tmpl w:val="E33E725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57146655"/>
    <w:multiLevelType w:val="multilevel"/>
    <w:tmpl w:val="0F8EFE2A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58F56DA6"/>
    <w:multiLevelType w:val="multilevel"/>
    <w:tmpl w:val="8B2E0D26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620C24BB"/>
    <w:multiLevelType w:val="multilevel"/>
    <w:tmpl w:val="910AD86E"/>
    <w:lvl w:ilvl="0">
      <w:start w:val="6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6CA00453"/>
    <w:multiLevelType w:val="multilevel"/>
    <w:tmpl w:val="265E56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EE159F5"/>
    <w:multiLevelType w:val="multilevel"/>
    <w:tmpl w:val="B71C4A86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5"/>
  </w:num>
  <w:num w:numId="7">
    <w:abstractNumId w:val="10"/>
  </w:num>
  <w:num w:numId="8">
    <w:abstractNumId w:val="22"/>
  </w:num>
  <w:num w:numId="9">
    <w:abstractNumId w:val="18"/>
  </w:num>
  <w:num w:numId="10">
    <w:abstractNumId w:val="4"/>
  </w:num>
  <w:num w:numId="11">
    <w:abstractNumId w:val="24"/>
  </w:num>
  <w:num w:numId="12">
    <w:abstractNumId w:val="20"/>
  </w:num>
  <w:num w:numId="13">
    <w:abstractNumId w:val="19"/>
  </w:num>
  <w:num w:numId="14">
    <w:abstractNumId w:val="0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7"/>
  </w:num>
  <w:num w:numId="21">
    <w:abstractNumId w:val="6"/>
  </w:num>
  <w:num w:numId="22">
    <w:abstractNumId w:val="21"/>
  </w:num>
  <w:num w:numId="23">
    <w:abstractNumId w:val="27"/>
  </w:num>
  <w:num w:numId="24">
    <w:abstractNumId w:val="8"/>
  </w:num>
  <w:num w:numId="25">
    <w:abstractNumId w:val="23"/>
  </w:num>
  <w:num w:numId="26">
    <w:abstractNumId w:val="5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F82"/>
    <w:rsid w:val="006731D1"/>
    <w:rsid w:val="009E6CEA"/>
    <w:rsid w:val="00A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2D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232D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2D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232D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reditelnaziv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MT/0fEkzN1IZOMrR6JZLM5v9w==">AMUW2mXd+NpM0bOaGhenvHR2sRtpBRFS/cfpbDCqdqABO8AaMbxiKlJEs7vb5xhgggm0n5ytFe9DGm0vBKTYPKmK6X/9Q13JoiZWZm37RNyyqecYcbdIdk3gLzL0pSolYTqrb6qWt1Bw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Bukovská</dc:creator>
  <cp:lastModifiedBy>oem</cp:lastModifiedBy>
  <cp:revision>2</cp:revision>
  <dcterms:created xsi:type="dcterms:W3CDTF">2022-07-28T13:06:00Z</dcterms:created>
  <dcterms:modified xsi:type="dcterms:W3CDTF">2022-07-28T13:06:00Z</dcterms:modified>
</cp:coreProperties>
</file>