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81" w:rsidRPr="008B18F4" w:rsidRDefault="008C1981" w:rsidP="008C1981">
      <w:pPr>
        <w:jc w:val="both"/>
        <w:rPr>
          <w:b/>
          <w:sz w:val="20"/>
        </w:rPr>
      </w:pPr>
      <w:proofErr w:type="spellStart"/>
      <w:r w:rsidRPr="008B18F4">
        <w:rPr>
          <w:b/>
          <w:sz w:val="20"/>
        </w:rPr>
        <w:t>Bärenreiter</w:t>
      </w:r>
      <w:proofErr w:type="spellEnd"/>
      <w:r w:rsidRPr="008B18F4">
        <w:rPr>
          <w:b/>
          <w:sz w:val="20"/>
        </w:rPr>
        <w:t xml:space="preserve"> Praha s.r.o., </w:t>
      </w:r>
    </w:p>
    <w:p w:rsidR="008C1981" w:rsidRPr="008B18F4" w:rsidRDefault="008C1981" w:rsidP="008C1981">
      <w:pPr>
        <w:jc w:val="both"/>
        <w:rPr>
          <w:sz w:val="20"/>
        </w:rPr>
      </w:pPr>
      <w:r w:rsidRPr="008B18F4">
        <w:rPr>
          <w:b/>
          <w:sz w:val="20"/>
        </w:rPr>
        <w:t xml:space="preserve">se sídlem </w:t>
      </w:r>
      <w:r>
        <w:rPr>
          <w:b/>
          <w:sz w:val="20"/>
        </w:rPr>
        <w:t xml:space="preserve">nám. Jiřího z Poděbrad 112/19, </w:t>
      </w:r>
      <w:r w:rsidRPr="008B18F4">
        <w:rPr>
          <w:b/>
          <w:sz w:val="20"/>
        </w:rPr>
        <w:t xml:space="preserve">Praha </w:t>
      </w:r>
      <w:r>
        <w:rPr>
          <w:b/>
          <w:sz w:val="20"/>
        </w:rPr>
        <w:t>3</w:t>
      </w:r>
      <w:r w:rsidRPr="008B18F4">
        <w:rPr>
          <w:b/>
          <w:sz w:val="20"/>
        </w:rPr>
        <w:t>, 1</w:t>
      </w:r>
      <w:r>
        <w:rPr>
          <w:b/>
          <w:sz w:val="20"/>
        </w:rPr>
        <w:t>3</w:t>
      </w:r>
      <w:r w:rsidRPr="008B18F4">
        <w:rPr>
          <w:b/>
          <w:sz w:val="20"/>
        </w:rPr>
        <w:t>0 00</w:t>
      </w:r>
    </w:p>
    <w:p w:rsidR="008C1981" w:rsidRPr="008B18F4" w:rsidRDefault="008C1981" w:rsidP="008C1981">
      <w:pPr>
        <w:jc w:val="both"/>
        <w:rPr>
          <w:sz w:val="20"/>
        </w:rPr>
      </w:pPr>
      <w:r w:rsidRPr="008B18F4">
        <w:rPr>
          <w:sz w:val="20"/>
        </w:rPr>
        <w:t>IČ: 40527352, DIČ CZ40527352</w:t>
      </w:r>
    </w:p>
    <w:p w:rsidR="008C1981" w:rsidRPr="008B18F4" w:rsidRDefault="008C1981" w:rsidP="008C1981">
      <w:pPr>
        <w:jc w:val="both"/>
        <w:rPr>
          <w:sz w:val="20"/>
        </w:rPr>
      </w:pPr>
      <w:r w:rsidRPr="008B18F4">
        <w:rPr>
          <w:sz w:val="20"/>
        </w:rPr>
        <w:t>Obchodní společnost zapsaná v obchodním rejstříku vedeném Městským soudem v Praze, oddíl C., vložka 28787</w:t>
      </w:r>
    </w:p>
    <w:p w:rsidR="00C51FD6" w:rsidRDefault="008C1981" w:rsidP="00D92FC6">
      <w:pPr>
        <w:jc w:val="both"/>
        <w:rPr>
          <w:sz w:val="20"/>
        </w:rPr>
      </w:pPr>
      <w:r w:rsidRPr="008B18F4">
        <w:rPr>
          <w:sz w:val="20"/>
        </w:rPr>
        <w:t>(dále jen: „</w:t>
      </w:r>
      <w:r w:rsidRPr="008C1981">
        <w:rPr>
          <w:i/>
          <w:sz w:val="20"/>
        </w:rPr>
        <w:t>pronajímatel</w:t>
      </w:r>
      <w:r w:rsidRPr="008B18F4">
        <w:rPr>
          <w:sz w:val="20"/>
        </w:rPr>
        <w:t>“)</w:t>
      </w:r>
      <w:r w:rsidR="002540B1">
        <w:rPr>
          <w:sz w:val="20"/>
        </w:rPr>
        <w:t xml:space="preserve"> </w:t>
      </w:r>
      <w:r>
        <w:rPr>
          <w:sz w:val="20"/>
        </w:rPr>
        <w:t xml:space="preserve">na straně jedné </w:t>
      </w:r>
    </w:p>
    <w:p w:rsidR="008C1981" w:rsidRPr="008B18F4" w:rsidRDefault="008C1981" w:rsidP="008C1981">
      <w:pPr>
        <w:rPr>
          <w:sz w:val="20"/>
        </w:rPr>
      </w:pPr>
      <w:r w:rsidRPr="008B18F4">
        <w:rPr>
          <w:sz w:val="20"/>
        </w:rPr>
        <w:t>a</w:t>
      </w:r>
    </w:p>
    <w:p w:rsidR="00B637D8" w:rsidRDefault="00B637D8" w:rsidP="00B637D8">
      <w:pPr>
        <w:pStyle w:val="Zhlav"/>
        <w:rPr>
          <w:b/>
          <w:sz w:val="20"/>
        </w:rPr>
      </w:pPr>
      <w:r>
        <w:rPr>
          <w:b/>
          <w:sz w:val="20"/>
        </w:rPr>
        <w:t>Národní divadlo</w:t>
      </w:r>
    </w:p>
    <w:p w:rsidR="00B637D8" w:rsidRDefault="00B637D8" w:rsidP="00B637D8">
      <w:pPr>
        <w:pStyle w:val="Zhlav"/>
        <w:rPr>
          <w:b/>
          <w:sz w:val="20"/>
        </w:rPr>
      </w:pPr>
      <w:r>
        <w:rPr>
          <w:b/>
          <w:sz w:val="20"/>
        </w:rPr>
        <w:t xml:space="preserve">Praha 1, 112 30, Ostrovní 1                                                                                         </w:t>
      </w:r>
    </w:p>
    <w:p w:rsidR="00B637D8" w:rsidRPr="00B637D8" w:rsidRDefault="00B637D8" w:rsidP="00B637D8">
      <w:pPr>
        <w:pStyle w:val="Zhlav"/>
        <w:rPr>
          <w:sz w:val="20"/>
        </w:rPr>
      </w:pPr>
      <w:r w:rsidRPr="00B637D8">
        <w:rPr>
          <w:sz w:val="20"/>
        </w:rPr>
        <w:t>IČO: 00023337, DIČ: CZ00023337</w:t>
      </w:r>
    </w:p>
    <w:p w:rsidR="00B637D8" w:rsidRDefault="00B637D8" w:rsidP="00B637D8">
      <w:pPr>
        <w:pStyle w:val="Zhlav"/>
        <w:rPr>
          <w:b/>
          <w:bCs/>
          <w:sz w:val="20"/>
        </w:rPr>
      </w:pPr>
      <w:r>
        <w:rPr>
          <w:sz w:val="20"/>
        </w:rPr>
        <w:t xml:space="preserve">zastoupené </w:t>
      </w:r>
      <w:r w:rsidR="00384187">
        <w:rPr>
          <w:sz w:val="20"/>
        </w:rPr>
        <w:t>xxxxx</w:t>
      </w:r>
      <w:bookmarkStart w:id="0" w:name="_GoBack"/>
      <w:bookmarkEnd w:id="0"/>
    </w:p>
    <w:p w:rsidR="00B637D8" w:rsidRDefault="00B637D8" w:rsidP="00B637D8">
      <w:pPr>
        <w:pStyle w:val="Zhlav"/>
        <w:rPr>
          <w:sz w:val="20"/>
        </w:rPr>
      </w:pPr>
      <w:r>
        <w:rPr>
          <w:sz w:val="20"/>
        </w:rPr>
        <w:t xml:space="preserve">(dále jen </w:t>
      </w:r>
      <w:r w:rsidRPr="00B637D8">
        <w:rPr>
          <w:i/>
          <w:sz w:val="20"/>
        </w:rPr>
        <w:t>„divadelní provozovatel“</w:t>
      </w:r>
      <w:r>
        <w:rPr>
          <w:sz w:val="20"/>
        </w:rPr>
        <w:t>) na straně druhé</w:t>
      </w:r>
    </w:p>
    <w:p w:rsidR="008C1981" w:rsidRPr="008B18F4" w:rsidRDefault="008C1981" w:rsidP="00EB6C9B">
      <w:pPr>
        <w:pStyle w:val="Zhlav"/>
        <w:rPr>
          <w:sz w:val="20"/>
        </w:rPr>
      </w:pPr>
    </w:p>
    <w:p w:rsidR="008C1981" w:rsidRDefault="008C1981" w:rsidP="008C1981">
      <w:pPr>
        <w:pStyle w:val="Zhlav"/>
        <w:rPr>
          <w:sz w:val="20"/>
        </w:rPr>
      </w:pPr>
      <w:r w:rsidRPr="008B18F4">
        <w:rPr>
          <w:sz w:val="20"/>
        </w:rPr>
        <w:t xml:space="preserve">se </w:t>
      </w:r>
      <w:r>
        <w:rPr>
          <w:sz w:val="20"/>
        </w:rPr>
        <w:t>dnešního dne dohodli na uzavření následující</w:t>
      </w:r>
    </w:p>
    <w:p w:rsidR="008C1981" w:rsidRDefault="008C1981" w:rsidP="008C1981">
      <w:pPr>
        <w:pStyle w:val="Zhlav"/>
        <w:rPr>
          <w:b/>
          <w:i/>
          <w:sz w:val="20"/>
        </w:rPr>
      </w:pPr>
    </w:p>
    <w:p w:rsidR="008C1981" w:rsidRPr="008C1981" w:rsidRDefault="00B637D8" w:rsidP="008C1981">
      <w:pPr>
        <w:pStyle w:val="Zhlav"/>
        <w:jc w:val="center"/>
        <w:rPr>
          <w:b/>
          <w:sz w:val="20"/>
        </w:rPr>
      </w:pPr>
      <w:r>
        <w:rPr>
          <w:b/>
          <w:sz w:val="20"/>
        </w:rPr>
        <w:t>PROVOZOVAC</w:t>
      </w:r>
      <w:r w:rsidR="008C1981" w:rsidRPr="008C1981">
        <w:rPr>
          <w:b/>
          <w:sz w:val="20"/>
        </w:rPr>
        <w:t>Í SMLOUVY</w:t>
      </w:r>
      <w:r w:rsidR="006F5643">
        <w:rPr>
          <w:b/>
          <w:sz w:val="20"/>
        </w:rPr>
        <w:t xml:space="preserve"> – </w:t>
      </w:r>
      <w:r w:rsidR="000235F9">
        <w:rPr>
          <w:b/>
          <w:sz w:val="20"/>
        </w:rPr>
        <w:t xml:space="preserve">DODATEK </w:t>
      </w:r>
    </w:p>
    <w:p w:rsidR="00BB4568" w:rsidRDefault="00BB4568" w:rsidP="00BB4568">
      <w:pPr>
        <w:pStyle w:val="Zhlav"/>
        <w:jc w:val="center"/>
        <w:rPr>
          <w:b/>
          <w:sz w:val="20"/>
        </w:rPr>
      </w:pPr>
    </w:p>
    <w:p w:rsidR="006F5643" w:rsidRPr="00051125" w:rsidRDefault="006F5643" w:rsidP="006F5643">
      <w:pPr>
        <w:pStyle w:val="Zhlav"/>
        <w:jc w:val="center"/>
        <w:rPr>
          <w:b/>
          <w:sz w:val="20"/>
        </w:rPr>
      </w:pPr>
      <w:r w:rsidRPr="00051125">
        <w:rPr>
          <w:b/>
          <w:sz w:val="20"/>
        </w:rPr>
        <w:t>§ 1 Úvodní ustanovení</w:t>
      </w:r>
    </w:p>
    <w:p w:rsidR="006F5643" w:rsidRPr="00051125" w:rsidRDefault="006F5643" w:rsidP="006F5643">
      <w:pPr>
        <w:pStyle w:val="Zhlav"/>
        <w:jc w:val="center"/>
        <w:rPr>
          <w:b/>
          <w:sz w:val="20"/>
        </w:rPr>
      </w:pPr>
    </w:p>
    <w:p w:rsidR="006F5643" w:rsidRPr="008A58C7" w:rsidRDefault="006F5643" w:rsidP="006F5643">
      <w:pPr>
        <w:pStyle w:val="Zhlav"/>
        <w:jc w:val="both"/>
        <w:rPr>
          <w:b/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 </w:t>
      </w:r>
      <w:r w:rsidRPr="007D08CC">
        <w:rPr>
          <w:i/>
          <w:sz w:val="20"/>
        </w:rPr>
        <w:t>Pronajímatel</w:t>
      </w:r>
      <w:r>
        <w:rPr>
          <w:sz w:val="20"/>
        </w:rPr>
        <w:t xml:space="preserve"> a </w:t>
      </w:r>
      <w:r w:rsidR="00B637D8">
        <w:rPr>
          <w:i/>
          <w:sz w:val="20"/>
        </w:rPr>
        <w:t>divadelní provozovatel</w:t>
      </w:r>
      <w:r>
        <w:rPr>
          <w:sz w:val="20"/>
        </w:rPr>
        <w:t xml:space="preserve"> </w:t>
      </w:r>
      <w:r w:rsidRPr="00C5023D">
        <w:rPr>
          <w:sz w:val="20"/>
        </w:rPr>
        <w:t xml:space="preserve">uzavřeli dne </w:t>
      </w:r>
      <w:r w:rsidR="002540B1">
        <w:rPr>
          <w:sz w:val="20"/>
        </w:rPr>
        <w:t>16</w:t>
      </w:r>
      <w:r w:rsidR="00694C2E">
        <w:rPr>
          <w:sz w:val="20"/>
        </w:rPr>
        <w:t>.</w:t>
      </w:r>
      <w:r w:rsidR="00621E2B">
        <w:rPr>
          <w:sz w:val="20"/>
        </w:rPr>
        <w:t xml:space="preserve"> </w:t>
      </w:r>
      <w:r w:rsidR="002540B1">
        <w:rPr>
          <w:sz w:val="20"/>
        </w:rPr>
        <w:t>1</w:t>
      </w:r>
      <w:r w:rsidR="00694C2E">
        <w:rPr>
          <w:sz w:val="20"/>
        </w:rPr>
        <w:t>.</w:t>
      </w:r>
      <w:r w:rsidR="00621E2B">
        <w:rPr>
          <w:sz w:val="20"/>
        </w:rPr>
        <w:t xml:space="preserve"> </w:t>
      </w:r>
      <w:r w:rsidR="00694C2E">
        <w:rPr>
          <w:sz w:val="20"/>
        </w:rPr>
        <w:t>202</w:t>
      </w:r>
      <w:r w:rsidR="002540B1">
        <w:rPr>
          <w:sz w:val="20"/>
        </w:rPr>
        <w:t>1</w:t>
      </w:r>
      <w:r w:rsidRPr="00C5023D">
        <w:rPr>
          <w:sz w:val="20"/>
        </w:rPr>
        <w:t xml:space="preserve"> </w:t>
      </w:r>
      <w:r w:rsidR="00B637D8">
        <w:rPr>
          <w:sz w:val="20"/>
        </w:rPr>
        <w:t>Provozovac</w:t>
      </w:r>
      <w:r>
        <w:rPr>
          <w:sz w:val="20"/>
        </w:rPr>
        <w:t xml:space="preserve">í </w:t>
      </w:r>
      <w:r w:rsidR="00EB6C9B">
        <w:rPr>
          <w:sz w:val="20"/>
        </w:rPr>
        <w:t>smlouvu (dále</w:t>
      </w:r>
      <w:r w:rsidRPr="00C5023D">
        <w:rPr>
          <w:sz w:val="20"/>
        </w:rPr>
        <w:t xml:space="preserve"> jen „smlouva“), kterou </w:t>
      </w:r>
      <w:r w:rsidR="007D08CC" w:rsidRPr="007D08CC">
        <w:rPr>
          <w:i/>
          <w:sz w:val="20"/>
        </w:rPr>
        <w:t>p</w:t>
      </w:r>
      <w:r w:rsidRPr="006F5643">
        <w:rPr>
          <w:i/>
          <w:sz w:val="20"/>
        </w:rPr>
        <w:t>ronajímatel</w:t>
      </w:r>
      <w:r w:rsidRPr="006F5643">
        <w:rPr>
          <w:sz w:val="20"/>
        </w:rPr>
        <w:t xml:space="preserve"> přenechává </w:t>
      </w:r>
      <w:r w:rsidR="007D08CC" w:rsidRPr="007D08CC">
        <w:rPr>
          <w:i/>
          <w:sz w:val="20"/>
        </w:rPr>
        <w:t>n</w:t>
      </w:r>
      <w:r w:rsidRPr="006F5643">
        <w:rPr>
          <w:i/>
          <w:sz w:val="20"/>
        </w:rPr>
        <w:t>ájemci</w:t>
      </w:r>
      <w:r w:rsidRPr="006F5643">
        <w:rPr>
          <w:sz w:val="20"/>
        </w:rPr>
        <w:t xml:space="preserve"> k dočasnému užívání notový provozovací materiál</w:t>
      </w:r>
      <w:r w:rsidR="000235F9">
        <w:rPr>
          <w:sz w:val="20"/>
        </w:rPr>
        <w:t xml:space="preserve">: </w:t>
      </w:r>
      <w:r w:rsidR="002540B1">
        <w:rPr>
          <w:b/>
          <w:sz w:val="20"/>
        </w:rPr>
        <w:t xml:space="preserve">G. </w:t>
      </w:r>
      <w:proofErr w:type="spellStart"/>
      <w:r w:rsidR="002540B1">
        <w:rPr>
          <w:b/>
          <w:sz w:val="20"/>
        </w:rPr>
        <w:t>Rossini</w:t>
      </w:r>
      <w:proofErr w:type="spellEnd"/>
      <w:r w:rsidR="00694C2E">
        <w:rPr>
          <w:b/>
          <w:sz w:val="20"/>
        </w:rPr>
        <w:t xml:space="preserve">: </w:t>
      </w:r>
      <w:proofErr w:type="spellStart"/>
      <w:r w:rsidR="00586ADB">
        <w:rPr>
          <w:b/>
          <w:sz w:val="20"/>
        </w:rPr>
        <w:t>Il</w:t>
      </w:r>
      <w:proofErr w:type="spellEnd"/>
      <w:r w:rsidR="00586ADB">
        <w:rPr>
          <w:b/>
          <w:sz w:val="20"/>
        </w:rPr>
        <w:t> </w:t>
      </w:r>
      <w:proofErr w:type="spellStart"/>
      <w:r w:rsidR="002540B1">
        <w:rPr>
          <w:b/>
          <w:sz w:val="20"/>
        </w:rPr>
        <w:t>barbiere</w:t>
      </w:r>
      <w:proofErr w:type="spellEnd"/>
      <w:r w:rsidR="002540B1">
        <w:rPr>
          <w:b/>
          <w:sz w:val="20"/>
        </w:rPr>
        <w:t xml:space="preserve"> di </w:t>
      </w:r>
      <w:proofErr w:type="spellStart"/>
      <w:r w:rsidR="002540B1">
        <w:rPr>
          <w:b/>
          <w:sz w:val="20"/>
        </w:rPr>
        <w:t>Siviglia</w:t>
      </w:r>
      <w:proofErr w:type="spellEnd"/>
      <w:r w:rsidR="00850888">
        <w:rPr>
          <w:b/>
          <w:sz w:val="20"/>
        </w:rPr>
        <w:t xml:space="preserve"> </w:t>
      </w:r>
      <w:r w:rsidR="005F765C">
        <w:rPr>
          <w:sz w:val="20"/>
        </w:rPr>
        <w:t>(dále pro účely této smlouvy jen: „</w:t>
      </w:r>
      <w:r w:rsidR="005F765C" w:rsidRPr="00DD115E">
        <w:rPr>
          <w:i/>
          <w:sz w:val="20"/>
        </w:rPr>
        <w:t>materiál</w:t>
      </w:r>
      <w:r w:rsidR="000235F9">
        <w:rPr>
          <w:sz w:val="20"/>
        </w:rPr>
        <w:t>“</w:t>
      </w:r>
      <w:r w:rsidR="006A54F3">
        <w:rPr>
          <w:sz w:val="20"/>
        </w:rPr>
        <w:t>).</w:t>
      </w:r>
    </w:p>
    <w:p w:rsidR="006F5643" w:rsidRPr="00051125" w:rsidRDefault="006F5643" w:rsidP="006F5643">
      <w:pPr>
        <w:ind w:left="703" w:hanging="705"/>
        <w:jc w:val="both"/>
        <w:rPr>
          <w:b/>
          <w:sz w:val="20"/>
        </w:rPr>
      </w:pPr>
    </w:p>
    <w:p w:rsidR="00BB4568" w:rsidRDefault="006F5643" w:rsidP="008C1981">
      <w:pPr>
        <w:pStyle w:val="Zhlav"/>
        <w:rPr>
          <w:b/>
          <w:sz w:val="20"/>
        </w:rPr>
      </w:pPr>
      <w:r w:rsidRPr="008B03D6">
        <w:rPr>
          <w:sz w:val="20"/>
        </w:rPr>
        <w:t>2.</w:t>
      </w:r>
      <w:r>
        <w:rPr>
          <w:b/>
          <w:sz w:val="20"/>
        </w:rPr>
        <w:tab/>
        <w:t xml:space="preserve"> </w:t>
      </w:r>
      <w:r w:rsidRPr="00051125">
        <w:rPr>
          <w:sz w:val="20"/>
        </w:rPr>
        <w:t xml:space="preserve">V souladu s § </w:t>
      </w:r>
      <w:r w:rsidR="005D76AF">
        <w:rPr>
          <w:sz w:val="20"/>
        </w:rPr>
        <w:t>12</w:t>
      </w:r>
      <w:r w:rsidR="007D08CC">
        <w:rPr>
          <w:sz w:val="20"/>
        </w:rPr>
        <w:t xml:space="preserve"> </w:t>
      </w:r>
      <w:r w:rsidRPr="00051125">
        <w:rPr>
          <w:sz w:val="20"/>
        </w:rPr>
        <w:t>smlouvy „Z</w:t>
      </w:r>
      <w:r w:rsidR="005D76AF">
        <w:rPr>
          <w:sz w:val="20"/>
        </w:rPr>
        <w:t>měny a doplňky</w:t>
      </w:r>
      <w:r w:rsidRPr="00051125">
        <w:rPr>
          <w:sz w:val="20"/>
        </w:rPr>
        <w:t>“ se smluvní strany dohodl</w:t>
      </w:r>
      <w:r>
        <w:rPr>
          <w:sz w:val="20"/>
        </w:rPr>
        <w:t>y</w:t>
      </w:r>
      <w:r w:rsidRPr="00051125">
        <w:rPr>
          <w:sz w:val="20"/>
        </w:rPr>
        <w:t xml:space="preserve"> na následující změně smlouvy.</w:t>
      </w:r>
      <w:r w:rsidR="00F70485">
        <w:rPr>
          <w:b/>
          <w:sz w:val="20"/>
        </w:rPr>
        <w:tab/>
      </w:r>
    </w:p>
    <w:p w:rsidR="00C51FD6" w:rsidRPr="00F70485" w:rsidRDefault="00C51FD6" w:rsidP="008C1981">
      <w:pPr>
        <w:pStyle w:val="Zhlav"/>
        <w:rPr>
          <w:b/>
          <w:sz w:val="20"/>
        </w:rPr>
      </w:pPr>
    </w:p>
    <w:p w:rsidR="008C1981" w:rsidRDefault="008C1981" w:rsidP="008C1981">
      <w:pPr>
        <w:pStyle w:val="Zhlav"/>
        <w:jc w:val="center"/>
        <w:rPr>
          <w:b/>
          <w:sz w:val="20"/>
        </w:rPr>
      </w:pPr>
      <w:r w:rsidRPr="008B18F4">
        <w:rPr>
          <w:b/>
          <w:sz w:val="20"/>
        </w:rPr>
        <w:t xml:space="preserve">§ </w:t>
      </w:r>
      <w:r w:rsidR="00BB4568">
        <w:rPr>
          <w:b/>
          <w:sz w:val="20"/>
        </w:rPr>
        <w:t>2</w:t>
      </w:r>
      <w:r w:rsidRPr="008B18F4">
        <w:rPr>
          <w:b/>
          <w:sz w:val="20"/>
        </w:rPr>
        <w:t xml:space="preserve"> </w:t>
      </w:r>
      <w:r w:rsidR="00AC4255">
        <w:rPr>
          <w:b/>
          <w:sz w:val="20"/>
        </w:rPr>
        <w:t>Změna smlouvy</w:t>
      </w:r>
    </w:p>
    <w:p w:rsidR="00DD115E" w:rsidRDefault="00DD115E" w:rsidP="008C1981">
      <w:pPr>
        <w:pStyle w:val="Zhlav"/>
        <w:jc w:val="center"/>
        <w:rPr>
          <w:b/>
          <w:sz w:val="20"/>
        </w:rPr>
      </w:pPr>
    </w:p>
    <w:p w:rsidR="00DD115E" w:rsidRDefault="00AC4255" w:rsidP="00DD115E">
      <w:pPr>
        <w:pStyle w:val="Zhlav"/>
        <w:jc w:val="both"/>
        <w:rPr>
          <w:sz w:val="20"/>
        </w:rPr>
      </w:pPr>
      <w:r>
        <w:rPr>
          <w:sz w:val="20"/>
        </w:rPr>
        <w:t xml:space="preserve">1. </w:t>
      </w:r>
      <w:r w:rsidRPr="00A32A7A">
        <w:rPr>
          <w:sz w:val="20"/>
        </w:rPr>
        <w:t xml:space="preserve">§ </w:t>
      </w:r>
      <w:r w:rsidR="005D76AF">
        <w:rPr>
          <w:sz w:val="20"/>
        </w:rPr>
        <w:t>4</w:t>
      </w:r>
      <w:r w:rsidR="007B7679">
        <w:rPr>
          <w:sz w:val="20"/>
        </w:rPr>
        <w:t>.</w:t>
      </w:r>
      <w:r w:rsidRPr="00A32A7A">
        <w:rPr>
          <w:sz w:val="20"/>
        </w:rPr>
        <w:t xml:space="preserve"> </w:t>
      </w:r>
      <w:r w:rsidR="005D76AF">
        <w:rPr>
          <w:sz w:val="20"/>
        </w:rPr>
        <w:t>čl. 4</w:t>
      </w:r>
      <w:r w:rsidRPr="00A32A7A">
        <w:rPr>
          <w:sz w:val="20"/>
        </w:rPr>
        <w:t xml:space="preserve"> smlouvy „</w:t>
      </w:r>
      <w:r>
        <w:rPr>
          <w:sz w:val="20"/>
        </w:rPr>
        <w:t>P</w:t>
      </w:r>
      <w:r w:rsidR="005D76AF">
        <w:rPr>
          <w:sz w:val="20"/>
        </w:rPr>
        <w:t>rovozovací materiál</w:t>
      </w:r>
      <w:r w:rsidRPr="00A32A7A">
        <w:rPr>
          <w:sz w:val="20"/>
        </w:rPr>
        <w:t>“ se mění následovně:</w:t>
      </w:r>
    </w:p>
    <w:p w:rsidR="00AC4255" w:rsidRDefault="00AC4255" w:rsidP="00DD115E">
      <w:pPr>
        <w:pStyle w:val="Zhlav"/>
        <w:jc w:val="both"/>
        <w:rPr>
          <w:sz w:val="20"/>
        </w:rPr>
      </w:pPr>
    </w:p>
    <w:p w:rsidR="005D76AF" w:rsidRDefault="00694C2E" w:rsidP="005D76AF">
      <w:pPr>
        <w:pStyle w:val="Zhlav"/>
        <w:rPr>
          <w:sz w:val="20"/>
        </w:rPr>
      </w:pPr>
      <w:r>
        <w:rPr>
          <w:sz w:val="20"/>
        </w:rPr>
        <w:t>„</w:t>
      </w:r>
      <w:r w:rsidR="005D76AF">
        <w:rPr>
          <w:sz w:val="20"/>
        </w:rPr>
        <w:t>4. Použití materiálu pro technické snímání, šíření a reprodukci představení díla jmenovaného v § 1 jakýmikoliv technickými prostředky není dovoleno s výjimkou dle následující specifikace:</w:t>
      </w:r>
    </w:p>
    <w:p w:rsidR="005D76AF" w:rsidRPr="00E303DC" w:rsidRDefault="005D76AF" w:rsidP="005D76AF">
      <w:pPr>
        <w:pStyle w:val="Zhlav"/>
        <w:rPr>
          <w:sz w:val="20"/>
        </w:rPr>
      </w:pPr>
      <w:r>
        <w:rPr>
          <w:sz w:val="20"/>
        </w:rPr>
        <w:t>- pořízený audiovizuální záznam představení bude vysílán na kanálech ČT, a to v množství 3 odvysílání během 10 let od prvního odvysílání</w:t>
      </w:r>
      <w:r w:rsidR="00E303DC">
        <w:rPr>
          <w:sz w:val="20"/>
        </w:rPr>
        <w:t xml:space="preserve">. </w:t>
      </w:r>
      <w:r w:rsidR="00E303DC" w:rsidRPr="00E303DC">
        <w:rPr>
          <w:sz w:val="20"/>
        </w:rPr>
        <w:t xml:space="preserve">Součástí je i zpřístupnění záznamu na </w:t>
      </w:r>
      <w:proofErr w:type="spellStart"/>
      <w:r w:rsidR="00E303DC" w:rsidRPr="00E303DC">
        <w:rPr>
          <w:sz w:val="20"/>
        </w:rPr>
        <w:t>ivysílání</w:t>
      </w:r>
      <w:proofErr w:type="spellEnd"/>
      <w:r w:rsidR="00E303DC" w:rsidRPr="00E303DC">
        <w:rPr>
          <w:sz w:val="20"/>
        </w:rPr>
        <w:t xml:space="preserve">, tzv. </w:t>
      </w:r>
      <w:proofErr w:type="spellStart"/>
      <w:r w:rsidR="00E303DC" w:rsidRPr="00E303DC">
        <w:rPr>
          <w:sz w:val="20"/>
        </w:rPr>
        <w:t>catch</w:t>
      </w:r>
      <w:proofErr w:type="spellEnd"/>
      <w:r w:rsidR="00E303DC" w:rsidRPr="00E303DC">
        <w:rPr>
          <w:sz w:val="20"/>
        </w:rPr>
        <w:t>-up, a to vždy na dobu 30 dní od každého odvysílání</w:t>
      </w:r>
      <w:r w:rsidR="002540B1">
        <w:rPr>
          <w:sz w:val="20"/>
        </w:rPr>
        <w:t>.</w:t>
      </w:r>
    </w:p>
    <w:p w:rsidR="002540B1" w:rsidRDefault="002540B1" w:rsidP="00E303DC">
      <w:pPr>
        <w:pStyle w:val="Zhlav"/>
        <w:jc w:val="both"/>
        <w:rPr>
          <w:sz w:val="20"/>
        </w:rPr>
      </w:pPr>
    </w:p>
    <w:p w:rsidR="00E303DC" w:rsidRDefault="00E303DC" w:rsidP="00E303DC">
      <w:pPr>
        <w:pStyle w:val="Zhlav"/>
        <w:jc w:val="both"/>
        <w:rPr>
          <w:sz w:val="20"/>
        </w:rPr>
      </w:pPr>
      <w:r>
        <w:rPr>
          <w:sz w:val="20"/>
        </w:rPr>
        <w:t xml:space="preserve">2. </w:t>
      </w:r>
      <w:r w:rsidRPr="00A32A7A">
        <w:rPr>
          <w:sz w:val="20"/>
        </w:rPr>
        <w:t xml:space="preserve">§ </w:t>
      </w:r>
      <w:r>
        <w:rPr>
          <w:sz w:val="20"/>
        </w:rPr>
        <w:t>5.</w:t>
      </w:r>
      <w:r w:rsidRPr="00A32A7A">
        <w:rPr>
          <w:sz w:val="20"/>
        </w:rPr>
        <w:t xml:space="preserve"> </w:t>
      </w:r>
      <w:r>
        <w:rPr>
          <w:sz w:val="20"/>
        </w:rPr>
        <w:t>čl. 1</w:t>
      </w:r>
      <w:r w:rsidRPr="00A32A7A">
        <w:rPr>
          <w:sz w:val="20"/>
        </w:rPr>
        <w:t xml:space="preserve"> smlouvy „</w:t>
      </w:r>
      <w:r>
        <w:rPr>
          <w:sz w:val="20"/>
        </w:rPr>
        <w:t>Úhrada za materiál</w:t>
      </w:r>
      <w:r w:rsidRPr="00A32A7A">
        <w:rPr>
          <w:sz w:val="20"/>
        </w:rPr>
        <w:t>“ se mění následovně:</w:t>
      </w:r>
    </w:p>
    <w:p w:rsidR="00E303DC" w:rsidRDefault="008A58C7" w:rsidP="00E303DC">
      <w:pPr>
        <w:pStyle w:val="Zhlav"/>
        <w:rPr>
          <w:b/>
          <w:sz w:val="20"/>
        </w:rPr>
      </w:pPr>
      <w:r w:rsidRPr="006A54F3">
        <w:rPr>
          <w:sz w:val="20"/>
        </w:rPr>
        <w:br/>
      </w:r>
      <w:r w:rsidR="00E303DC">
        <w:rPr>
          <w:sz w:val="20"/>
        </w:rPr>
        <w:t xml:space="preserve">„1. Za pronájem notového materiálu na </w:t>
      </w:r>
      <w:r w:rsidR="002540B1">
        <w:rPr>
          <w:sz w:val="20"/>
        </w:rPr>
        <w:t>každé představení uskutečněné</w:t>
      </w:r>
      <w:r w:rsidR="00E303DC">
        <w:rPr>
          <w:sz w:val="20"/>
        </w:rPr>
        <w:t xml:space="preserve"> v období od </w:t>
      </w:r>
      <w:r w:rsidR="00E303DC">
        <w:rPr>
          <w:b/>
          <w:sz w:val="20"/>
        </w:rPr>
        <w:t>1</w:t>
      </w:r>
      <w:r w:rsidR="00E303DC" w:rsidRPr="00306C5B">
        <w:rPr>
          <w:b/>
          <w:sz w:val="20"/>
        </w:rPr>
        <w:t>.</w:t>
      </w:r>
      <w:r w:rsidR="00E303DC">
        <w:rPr>
          <w:b/>
          <w:sz w:val="20"/>
        </w:rPr>
        <w:t xml:space="preserve"> </w:t>
      </w:r>
      <w:r w:rsidR="002540B1">
        <w:rPr>
          <w:b/>
          <w:sz w:val="20"/>
        </w:rPr>
        <w:t>4</w:t>
      </w:r>
      <w:r w:rsidR="00E303DC" w:rsidRPr="00306C5B">
        <w:rPr>
          <w:b/>
          <w:sz w:val="20"/>
        </w:rPr>
        <w:t>.</w:t>
      </w:r>
      <w:r w:rsidR="00E303DC">
        <w:rPr>
          <w:b/>
          <w:sz w:val="20"/>
        </w:rPr>
        <w:t xml:space="preserve"> </w:t>
      </w:r>
      <w:r w:rsidR="00E303DC" w:rsidRPr="00306C5B">
        <w:rPr>
          <w:b/>
          <w:sz w:val="20"/>
        </w:rPr>
        <w:t>20</w:t>
      </w:r>
      <w:r w:rsidR="00E303DC">
        <w:rPr>
          <w:b/>
          <w:sz w:val="20"/>
        </w:rPr>
        <w:t>2</w:t>
      </w:r>
      <w:r w:rsidR="002540B1">
        <w:rPr>
          <w:b/>
          <w:sz w:val="20"/>
        </w:rPr>
        <w:t>1</w:t>
      </w:r>
      <w:r w:rsidR="00E303DC">
        <w:rPr>
          <w:sz w:val="20"/>
        </w:rPr>
        <w:t xml:space="preserve"> do </w:t>
      </w:r>
      <w:r w:rsidR="00E303DC">
        <w:rPr>
          <w:b/>
          <w:sz w:val="20"/>
        </w:rPr>
        <w:t xml:space="preserve">30. 6. </w:t>
      </w:r>
      <w:r w:rsidR="00E303DC" w:rsidRPr="00306C5B">
        <w:rPr>
          <w:b/>
          <w:sz w:val="20"/>
        </w:rPr>
        <w:t>20</w:t>
      </w:r>
      <w:r w:rsidR="00E303DC">
        <w:rPr>
          <w:b/>
          <w:sz w:val="20"/>
        </w:rPr>
        <w:t>2</w:t>
      </w:r>
      <w:r w:rsidR="002540B1">
        <w:rPr>
          <w:b/>
          <w:sz w:val="20"/>
        </w:rPr>
        <w:t>2</w:t>
      </w:r>
      <w:r w:rsidR="00E303DC">
        <w:rPr>
          <w:b/>
          <w:sz w:val="20"/>
        </w:rPr>
        <w:t xml:space="preserve"> </w:t>
      </w:r>
      <w:r w:rsidR="00E303DC">
        <w:rPr>
          <w:sz w:val="20"/>
        </w:rPr>
        <w:t xml:space="preserve">zaplatí divadelní provozovatel nakladatelství nájemné </w:t>
      </w:r>
      <w:r w:rsidR="00E303DC" w:rsidRPr="00306C5B">
        <w:rPr>
          <w:sz w:val="20"/>
        </w:rPr>
        <w:t>ve výši</w:t>
      </w:r>
      <w:r w:rsidR="00E303DC">
        <w:rPr>
          <w:b/>
          <w:sz w:val="20"/>
        </w:rPr>
        <w:t xml:space="preserve"> 2</w:t>
      </w:r>
      <w:r w:rsidR="002540B1">
        <w:rPr>
          <w:b/>
          <w:sz w:val="20"/>
        </w:rPr>
        <w:t>80</w:t>
      </w:r>
      <w:r w:rsidR="00E303DC">
        <w:rPr>
          <w:b/>
          <w:sz w:val="20"/>
        </w:rPr>
        <w:t xml:space="preserve"> EUR </w:t>
      </w:r>
      <w:r w:rsidR="00E303DC">
        <w:rPr>
          <w:sz w:val="20"/>
        </w:rPr>
        <w:t>(slovy: dv</w:t>
      </w:r>
      <w:r w:rsidR="002540B1">
        <w:rPr>
          <w:sz w:val="20"/>
        </w:rPr>
        <w:t xml:space="preserve">ě stě osmdesát </w:t>
      </w:r>
      <w:r w:rsidR="00E303DC">
        <w:rPr>
          <w:sz w:val="20"/>
        </w:rPr>
        <w:t>euro).</w:t>
      </w:r>
      <w:r w:rsidR="00D92FC6" w:rsidRPr="00D92FC6">
        <w:rPr>
          <w:b/>
          <w:sz w:val="20"/>
        </w:rPr>
        <w:t xml:space="preserve"> </w:t>
      </w:r>
      <w:r w:rsidR="00D92FC6" w:rsidRPr="00D92FC6">
        <w:rPr>
          <w:sz w:val="20"/>
        </w:rPr>
        <w:t>+ 10% DPH</w:t>
      </w:r>
      <w:r w:rsidR="00D92FC6">
        <w:rPr>
          <w:sz w:val="20"/>
        </w:rPr>
        <w:t>.</w:t>
      </w:r>
      <w:r w:rsidR="00E303DC">
        <w:rPr>
          <w:sz w:val="20"/>
        </w:rPr>
        <w:t xml:space="preserve"> Za využití notového materiálu dle </w:t>
      </w:r>
      <w:r w:rsidR="00E303DC" w:rsidRPr="00A32A7A">
        <w:rPr>
          <w:sz w:val="20"/>
        </w:rPr>
        <w:t xml:space="preserve">§ </w:t>
      </w:r>
      <w:r w:rsidR="00E303DC">
        <w:rPr>
          <w:sz w:val="20"/>
        </w:rPr>
        <w:t>4.</w:t>
      </w:r>
      <w:r w:rsidR="00E303DC" w:rsidRPr="00A32A7A">
        <w:rPr>
          <w:sz w:val="20"/>
        </w:rPr>
        <w:t xml:space="preserve"> </w:t>
      </w:r>
      <w:r w:rsidR="00E303DC">
        <w:rPr>
          <w:sz w:val="20"/>
        </w:rPr>
        <w:t xml:space="preserve">čl. 4 (ČT vysílání) zaplatí divadelní provozovatel nakladatelství doplatek na nájemném ve výši </w:t>
      </w:r>
      <w:r w:rsidR="002540B1">
        <w:rPr>
          <w:b/>
          <w:sz w:val="20"/>
        </w:rPr>
        <w:t>1 8</w:t>
      </w:r>
      <w:r w:rsidR="00E303DC" w:rsidRPr="00E303DC">
        <w:rPr>
          <w:b/>
          <w:sz w:val="20"/>
        </w:rPr>
        <w:t>00 EUR</w:t>
      </w:r>
      <w:r w:rsidR="00E303DC">
        <w:rPr>
          <w:sz w:val="20"/>
        </w:rPr>
        <w:t xml:space="preserve"> (</w:t>
      </w:r>
      <w:r w:rsidR="002540B1">
        <w:rPr>
          <w:sz w:val="20"/>
        </w:rPr>
        <w:t>jeden tisíc osm set</w:t>
      </w:r>
      <w:r w:rsidR="00E303DC">
        <w:rPr>
          <w:sz w:val="20"/>
        </w:rPr>
        <w:t xml:space="preserve"> euro) </w:t>
      </w:r>
      <w:r w:rsidR="00E303DC" w:rsidRPr="00D92FC6">
        <w:rPr>
          <w:sz w:val="20"/>
        </w:rPr>
        <w:t>+ 10% DPH</w:t>
      </w:r>
      <w:r w:rsidR="00E303DC">
        <w:rPr>
          <w:sz w:val="20"/>
        </w:rPr>
        <w:t>.</w:t>
      </w:r>
    </w:p>
    <w:p w:rsidR="00AC4255" w:rsidRDefault="00AC4255" w:rsidP="006A54F3">
      <w:pPr>
        <w:pStyle w:val="Zhlav"/>
        <w:rPr>
          <w:sz w:val="20"/>
        </w:rPr>
      </w:pPr>
    </w:p>
    <w:p w:rsidR="00C51FD6" w:rsidRDefault="00E303DC" w:rsidP="00C51FD6">
      <w:pPr>
        <w:pStyle w:val="Zhlav"/>
        <w:jc w:val="both"/>
        <w:rPr>
          <w:sz w:val="20"/>
        </w:rPr>
      </w:pPr>
      <w:r>
        <w:rPr>
          <w:sz w:val="20"/>
        </w:rPr>
        <w:t xml:space="preserve">3. </w:t>
      </w:r>
      <w:r w:rsidR="00A54599">
        <w:rPr>
          <w:sz w:val="20"/>
        </w:rPr>
        <w:t xml:space="preserve">do </w:t>
      </w:r>
      <w:r w:rsidR="00C51FD6" w:rsidRPr="00A32A7A">
        <w:rPr>
          <w:sz w:val="20"/>
        </w:rPr>
        <w:t xml:space="preserve">§ </w:t>
      </w:r>
      <w:r w:rsidR="00C51FD6">
        <w:rPr>
          <w:sz w:val="20"/>
        </w:rPr>
        <w:t>10.</w:t>
      </w:r>
      <w:r w:rsidR="00C51FD6" w:rsidRPr="00A32A7A">
        <w:rPr>
          <w:sz w:val="20"/>
        </w:rPr>
        <w:t xml:space="preserve"> </w:t>
      </w:r>
      <w:r w:rsidR="00C51FD6">
        <w:rPr>
          <w:sz w:val="20"/>
        </w:rPr>
        <w:t>čl. 1</w:t>
      </w:r>
      <w:r w:rsidR="00C51FD6" w:rsidRPr="00A32A7A">
        <w:rPr>
          <w:sz w:val="20"/>
        </w:rPr>
        <w:t xml:space="preserve"> smlouvy „</w:t>
      </w:r>
      <w:r w:rsidR="00C51FD6">
        <w:rPr>
          <w:sz w:val="20"/>
        </w:rPr>
        <w:t>Zvláštní povinnosti divadla</w:t>
      </w:r>
      <w:r w:rsidR="00C51FD6" w:rsidRPr="00A32A7A">
        <w:rPr>
          <w:sz w:val="20"/>
        </w:rPr>
        <w:t xml:space="preserve">“ se </w:t>
      </w:r>
      <w:r w:rsidR="00C51FD6">
        <w:rPr>
          <w:sz w:val="20"/>
        </w:rPr>
        <w:t>nově přidává</w:t>
      </w:r>
      <w:r w:rsidR="00C51FD6" w:rsidRPr="00A32A7A">
        <w:rPr>
          <w:sz w:val="20"/>
        </w:rPr>
        <w:t>:</w:t>
      </w:r>
    </w:p>
    <w:p w:rsidR="00E303DC" w:rsidRDefault="00E303DC" w:rsidP="006A54F3">
      <w:pPr>
        <w:pStyle w:val="Zhlav"/>
        <w:rPr>
          <w:sz w:val="20"/>
        </w:rPr>
      </w:pPr>
    </w:p>
    <w:p w:rsidR="00C51FD6" w:rsidRPr="002540B1" w:rsidRDefault="00C51FD6" w:rsidP="002540B1">
      <w:pPr>
        <w:pStyle w:val="Zhlav"/>
        <w:jc w:val="both"/>
        <w:rPr>
          <w:b/>
          <w:sz w:val="20"/>
        </w:rPr>
      </w:pPr>
      <w:r>
        <w:rPr>
          <w:sz w:val="20"/>
        </w:rPr>
        <w:t xml:space="preserve">„d) divadelní provozovatel je povinen informovat televizního vysílatele (Česká televize), </w:t>
      </w:r>
      <w:r w:rsidRPr="003D0D91">
        <w:rPr>
          <w:sz w:val="20"/>
        </w:rPr>
        <w:t xml:space="preserve">že nakladatel </w:t>
      </w:r>
      <w:r>
        <w:rPr>
          <w:i/>
          <w:sz w:val="20"/>
        </w:rPr>
        <w:t xml:space="preserve">díla </w:t>
      </w:r>
      <w:r w:rsidRPr="003D0D91">
        <w:rPr>
          <w:sz w:val="20"/>
        </w:rPr>
        <w:t>vyžaduje, aby v souvislosti s</w:t>
      </w:r>
      <w:r>
        <w:rPr>
          <w:sz w:val="20"/>
        </w:rPr>
        <w:t xml:space="preserve"> TV vysíláním </w:t>
      </w:r>
      <w:r w:rsidRPr="00394831">
        <w:rPr>
          <w:i/>
          <w:sz w:val="20"/>
        </w:rPr>
        <w:t>díla</w:t>
      </w:r>
      <w:r>
        <w:rPr>
          <w:i/>
          <w:sz w:val="20"/>
        </w:rPr>
        <w:t xml:space="preserve">, </w:t>
      </w:r>
      <w:r>
        <w:rPr>
          <w:sz w:val="20"/>
        </w:rPr>
        <w:t xml:space="preserve">byl </w:t>
      </w:r>
      <w:r w:rsidRPr="003D0D91">
        <w:rPr>
          <w:sz w:val="20"/>
        </w:rPr>
        <w:t>uveden obvyklými způsoby (</w:t>
      </w:r>
      <w:r>
        <w:rPr>
          <w:sz w:val="20"/>
        </w:rPr>
        <w:t xml:space="preserve">zejména v </w:t>
      </w:r>
      <w:r w:rsidRPr="003D0D91">
        <w:rPr>
          <w:sz w:val="20"/>
        </w:rPr>
        <w:t>titulcích příslušného pořadu</w:t>
      </w:r>
      <w:r>
        <w:rPr>
          <w:sz w:val="20"/>
        </w:rPr>
        <w:t xml:space="preserve">) </w:t>
      </w:r>
      <w:r w:rsidRPr="003D0D91">
        <w:rPr>
          <w:sz w:val="20"/>
        </w:rPr>
        <w:t>plný název</w:t>
      </w:r>
      <w:r>
        <w:rPr>
          <w:sz w:val="20"/>
        </w:rPr>
        <w:t xml:space="preserve"> nakladatele </w:t>
      </w:r>
      <w:r w:rsidRPr="00CE0F71">
        <w:rPr>
          <w:i/>
          <w:sz w:val="20"/>
        </w:rPr>
        <w:t>díla</w:t>
      </w:r>
      <w:r>
        <w:rPr>
          <w:sz w:val="20"/>
        </w:rPr>
        <w:t xml:space="preserve">, a to následujícím způsobem: </w:t>
      </w:r>
      <w:r w:rsidRPr="000A15A2">
        <w:rPr>
          <w:b/>
          <w:sz w:val="20"/>
        </w:rPr>
        <w:t>nakladatel</w:t>
      </w:r>
      <w:r w:rsidRPr="00CA0643">
        <w:rPr>
          <w:b/>
          <w:sz w:val="20"/>
        </w:rPr>
        <w:t xml:space="preserve">: </w:t>
      </w:r>
      <w:proofErr w:type="spellStart"/>
      <w:r w:rsidRPr="00CA0643">
        <w:rPr>
          <w:b/>
          <w:sz w:val="20"/>
        </w:rPr>
        <w:t>Bärenreit</w:t>
      </w:r>
      <w:r w:rsidR="00D92FC6">
        <w:rPr>
          <w:b/>
          <w:sz w:val="20"/>
        </w:rPr>
        <w:t>er-Verlag</w:t>
      </w:r>
      <w:proofErr w:type="spellEnd"/>
      <w:r w:rsidR="00D92FC6">
        <w:rPr>
          <w:b/>
          <w:sz w:val="20"/>
        </w:rPr>
        <w:t>.</w:t>
      </w:r>
    </w:p>
    <w:p w:rsidR="00A76395" w:rsidRPr="00051125" w:rsidRDefault="007B7679" w:rsidP="00694C2E">
      <w:pPr>
        <w:pStyle w:val="Zhlav"/>
        <w:jc w:val="center"/>
        <w:rPr>
          <w:b/>
          <w:sz w:val="20"/>
        </w:rPr>
      </w:pPr>
      <w:r>
        <w:rPr>
          <w:sz w:val="20"/>
        </w:rPr>
        <w:br/>
      </w:r>
      <w:r w:rsidR="00A76395" w:rsidRPr="00051125">
        <w:rPr>
          <w:b/>
          <w:sz w:val="20"/>
        </w:rPr>
        <w:t>§ 3</w:t>
      </w:r>
      <w:r w:rsidR="00A76395">
        <w:rPr>
          <w:b/>
          <w:sz w:val="20"/>
        </w:rPr>
        <w:t xml:space="preserve"> </w:t>
      </w:r>
      <w:r w:rsidR="00A76395" w:rsidRPr="00051125">
        <w:rPr>
          <w:b/>
          <w:sz w:val="20"/>
        </w:rPr>
        <w:t>Závěrečné ustanovení</w:t>
      </w:r>
    </w:p>
    <w:p w:rsidR="008C1981" w:rsidRPr="008B18F4" w:rsidRDefault="008C1981" w:rsidP="008C1981">
      <w:pPr>
        <w:pStyle w:val="Zhlav"/>
        <w:jc w:val="center"/>
        <w:rPr>
          <w:b/>
          <w:sz w:val="20"/>
        </w:rPr>
      </w:pPr>
    </w:p>
    <w:p w:rsidR="00A76395" w:rsidRPr="00051125" w:rsidRDefault="00A76395" w:rsidP="00A76395">
      <w:pPr>
        <w:spacing w:after="120"/>
        <w:ind w:left="705" w:hanging="705"/>
        <w:jc w:val="both"/>
        <w:rPr>
          <w:sz w:val="20"/>
        </w:rPr>
      </w:pPr>
      <w:r w:rsidRPr="00051125">
        <w:rPr>
          <w:sz w:val="20"/>
        </w:rPr>
        <w:t>1.</w:t>
      </w:r>
      <w:r w:rsidRPr="00051125">
        <w:rPr>
          <w:sz w:val="20"/>
        </w:rPr>
        <w:tab/>
        <w:t>Ustanovení smlouvy tímto dodatkem nedotčené zůstávají beze změny.</w:t>
      </w:r>
    </w:p>
    <w:p w:rsidR="00A76395" w:rsidRDefault="00A76395" w:rsidP="00A76395">
      <w:pPr>
        <w:pStyle w:val="Zhlav"/>
        <w:tabs>
          <w:tab w:val="clear" w:pos="4536"/>
          <w:tab w:val="clear" w:pos="9069"/>
        </w:tabs>
        <w:ind w:left="705" w:hanging="705"/>
        <w:jc w:val="both"/>
        <w:rPr>
          <w:sz w:val="20"/>
        </w:rPr>
      </w:pPr>
      <w:r w:rsidRPr="00051125">
        <w:rPr>
          <w:sz w:val="20"/>
        </w:rPr>
        <w:t>2.</w:t>
      </w:r>
      <w:r w:rsidRPr="00051125">
        <w:rPr>
          <w:sz w:val="20"/>
        </w:rPr>
        <w:tab/>
        <w:t>Tento</w:t>
      </w:r>
      <w:r w:rsidR="000C754A">
        <w:rPr>
          <w:sz w:val="20"/>
        </w:rPr>
        <w:t xml:space="preserve"> dodatek je vyhotoven ve </w:t>
      </w:r>
      <w:r w:rsidR="00694C2E">
        <w:rPr>
          <w:sz w:val="20"/>
        </w:rPr>
        <w:t>dvou (2</w:t>
      </w:r>
      <w:r w:rsidRPr="00051125">
        <w:rPr>
          <w:sz w:val="20"/>
        </w:rPr>
        <w:t xml:space="preserve">) exemplářích s platností originálu, </w:t>
      </w:r>
      <w:r w:rsidR="000C754A">
        <w:rPr>
          <w:sz w:val="20"/>
        </w:rPr>
        <w:t xml:space="preserve">1 exemplář pro </w:t>
      </w:r>
      <w:r w:rsidR="000C754A" w:rsidRPr="005A1B21">
        <w:rPr>
          <w:i/>
          <w:sz w:val="20"/>
        </w:rPr>
        <w:lastRenderedPageBreak/>
        <w:t xml:space="preserve">pronajímatele </w:t>
      </w:r>
      <w:r w:rsidR="00694C2E">
        <w:rPr>
          <w:sz w:val="20"/>
        </w:rPr>
        <w:t>a 1 exemplář</w:t>
      </w:r>
      <w:r w:rsidR="000C754A">
        <w:rPr>
          <w:sz w:val="20"/>
        </w:rPr>
        <w:t xml:space="preserve"> pro </w:t>
      </w:r>
      <w:r w:rsidR="00A54599">
        <w:rPr>
          <w:i/>
          <w:sz w:val="20"/>
        </w:rPr>
        <w:t>divadelního provozovatele</w:t>
      </w:r>
      <w:r w:rsidR="000C754A">
        <w:rPr>
          <w:sz w:val="20"/>
        </w:rPr>
        <w:t xml:space="preserve">. </w:t>
      </w:r>
    </w:p>
    <w:p w:rsidR="00C51FD6" w:rsidRPr="00051125" w:rsidRDefault="00C51FD6" w:rsidP="00A76395">
      <w:pPr>
        <w:pStyle w:val="Zhlav"/>
        <w:tabs>
          <w:tab w:val="clear" w:pos="4536"/>
          <w:tab w:val="clear" w:pos="9069"/>
        </w:tabs>
        <w:ind w:left="705" w:hanging="705"/>
        <w:jc w:val="both"/>
        <w:rPr>
          <w:b/>
          <w:sz w:val="20"/>
        </w:rPr>
      </w:pPr>
    </w:p>
    <w:p w:rsidR="008C1981" w:rsidRDefault="00A76395" w:rsidP="006A367A">
      <w:pPr>
        <w:spacing w:after="120"/>
        <w:ind w:left="705" w:hanging="705"/>
        <w:jc w:val="both"/>
        <w:rPr>
          <w:sz w:val="20"/>
        </w:rPr>
      </w:pPr>
      <w:r w:rsidRPr="00051125">
        <w:rPr>
          <w:iCs/>
          <w:sz w:val="20"/>
        </w:rPr>
        <w:t>3.</w:t>
      </w:r>
      <w:r w:rsidRPr="00051125">
        <w:rPr>
          <w:iCs/>
          <w:sz w:val="20"/>
        </w:rPr>
        <w:tab/>
      </w:r>
      <w:r w:rsidRPr="00051125">
        <w:rPr>
          <w:sz w:val="20"/>
        </w:rPr>
        <w:t xml:space="preserve">Smluvní strany prohlašují, že si </w:t>
      </w:r>
      <w:r>
        <w:rPr>
          <w:sz w:val="20"/>
        </w:rPr>
        <w:t>dodatek</w:t>
      </w:r>
      <w:r w:rsidRPr="00051125">
        <w:rPr>
          <w:sz w:val="20"/>
        </w:rPr>
        <w:t xml:space="preserve"> přečetly a rozumějí je</w:t>
      </w:r>
      <w:r>
        <w:rPr>
          <w:sz w:val="20"/>
        </w:rPr>
        <w:t xml:space="preserve">ho </w:t>
      </w:r>
      <w:r w:rsidRPr="00051125">
        <w:rPr>
          <w:sz w:val="20"/>
        </w:rPr>
        <w:t>obsahu, což stvrzují vlastnoručními podpisy zástupců obou smluvních stran.</w:t>
      </w:r>
      <w:r w:rsidR="006A367A">
        <w:rPr>
          <w:sz w:val="20"/>
        </w:rPr>
        <w:t xml:space="preserve"> </w:t>
      </w:r>
    </w:p>
    <w:p w:rsidR="00F75C27" w:rsidRDefault="00F75C27" w:rsidP="007B7679">
      <w:pPr>
        <w:rPr>
          <w:sz w:val="20"/>
        </w:rPr>
      </w:pPr>
    </w:p>
    <w:p w:rsidR="00D92FC6" w:rsidRDefault="004B576B" w:rsidP="007B7679">
      <w:pPr>
        <w:rPr>
          <w:sz w:val="20"/>
        </w:rPr>
      </w:pPr>
      <w:r w:rsidRPr="00C2375D">
        <w:rPr>
          <w:sz w:val="20"/>
        </w:rPr>
        <w:t>V Praze dne:</w:t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  <w:t>V</w:t>
      </w:r>
      <w:r w:rsidR="006A54F3">
        <w:rPr>
          <w:sz w:val="20"/>
        </w:rPr>
        <w:t xml:space="preserve"> Praze </w:t>
      </w:r>
      <w:r w:rsidR="007B7679">
        <w:rPr>
          <w:sz w:val="20"/>
        </w:rPr>
        <w:t xml:space="preserve">dne:        </w:t>
      </w:r>
    </w:p>
    <w:p w:rsidR="00D92FC6" w:rsidRDefault="00D92FC6" w:rsidP="007B7679">
      <w:pPr>
        <w:rPr>
          <w:sz w:val="20"/>
        </w:rPr>
      </w:pPr>
    </w:p>
    <w:p w:rsidR="00D92FC6" w:rsidRDefault="00D92FC6" w:rsidP="007B7679">
      <w:pPr>
        <w:rPr>
          <w:sz w:val="20"/>
        </w:rPr>
      </w:pPr>
    </w:p>
    <w:p w:rsidR="00F75C27" w:rsidRDefault="007B7679" w:rsidP="007B7679">
      <w:pPr>
        <w:rPr>
          <w:sz w:val="20"/>
        </w:rPr>
      </w:pPr>
      <w:r>
        <w:rPr>
          <w:sz w:val="20"/>
        </w:rPr>
        <w:t xml:space="preserve">   </w:t>
      </w:r>
    </w:p>
    <w:p w:rsidR="00C61F46" w:rsidRPr="00C2375D" w:rsidRDefault="004B576B" w:rsidP="007B7679">
      <w:pPr>
        <w:rPr>
          <w:sz w:val="20"/>
        </w:rPr>
      </w:pPr>
      <w:r w:rsidRPr="00C2375D">
        <w:rPr>
          <w:sz w:val="20"/>
        </w:rPr>
        <w:t>……………………………………….</w:t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  <w:t>……………………………</w:t>
      </w:r>
    </w:p>
    <w:p w:rsidR="004B576B" w:rsidRPr="00C2375D" w:rsidRDefault="00C51FD6" w:rsidP="007B7679">
      <w:pPr>
        <w:rPr>
          <w:sz w:val="20"/>
        </w:rPr>
      </w:pPr>
      <w:r>
        <w:rPr>
          <w:sz w:val="20"/>
        </w:rPr>
        <w:t xml:space="preserve"> Pronajímatel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Divadelní provozovatel</w:t>
      </w:r>
    </w:p>
    <w:sectPr w:rsidR="004B576B" w:rsidRPr="00C2375D" w:rsidSect="009C14BF">
      <w:headerReference w:type="default" r:id="rId7"/>
      <w:endnotePr>
        <w:numFmt w:val="decimal"/>
        <w:numStart w:val="0"/>
      </w:endnotePr>
      <w:pgSz w:w="11906" w:h="16838"/>
      <w:pgMar w:top="1134" w:right="1418" w:bottom="1134" w:left="1418" w:header="426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B1" w:rsidRDefault="00D605B1" w:rsidP="009C14BF">
      <w:r>
        <w:separator/>
      </w:r>
    </w:p>
  </w:endnote>
  <w:endnote w:type="continuationSeparator" w:id="0">
    <w:p w:rsidR="00D605B1" w:rsidRDefault="00D605B1" w:rsidP="009C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B1" w:rsidRDefault="00D605B1" w:rsidP="009C14BF">
      <w:r>
        <w:separator/>
      </w:r>
    </w:p>
  </w:footnote>
  <w:footnote w:type="continuationSeparator" w:id="0">
    <w:p w:rsidR="00D605B1" w:rsidRDefault="00D605B1" w:rsidP="009C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BF" w:rsidRDefault="009C14BF" w:rsidP="009C14BF">
    <w:pPr>
      <w:jc w:val="right"/>
      <w:rPr>
        <w:sz w:val="18"/>
        <w:szCs w:val="18"/>
      </w:rPr>
    </w:pPr>
    <w:r w:rsidRPr="00ED6AA8">
      <w:rPr>
        <w:sz w:val="18"/>
        <w:szCs w:val="18"/>
      </w:rPr>
      <w:t>202/</w:t>
    </w:r>
    <w:r>
      <w:rPr>
        <w:sz w:val="18"/>
        <w:szCs w:val="18"/>
      </w:rPr>
      <w:t>007/21</w:t>
    </w:r>
    <w:r w:rsidR="00040955">
      <w:rPr>
        <w:sz w:val="18"/>
        <w:szCs w:val="18"/>
      </w:rPr>
      <w:t>/1</w:t>
    </w:r>
  </w:p>
  <w:p w:rsidR="009C14BF" w:rsidRDefault="009C14BF" w:rsidP="009C14BF">
    <w:pPr>
      <w:jc w:val="right"/>
      <w:rPr>
        <w:sz w:val="18"/>
        <w:szCs w:val="18"/>
      </w:rPr>
    </w:pPr>
    <w:r>
      <w:rPr>
        <w:sz w:val="18"/>
        <w:szCs w:val="18"/>
      </w:rPr>
      <w:t>202/REI/LS</w:t>
    </w:r>
    <w:r w:rsidR="00290AB1">
      <w:rPr>
        <w:sz w:val="18"/>
        <w:szCs w:val="18"/>
      </w:rPr>
      <w:t>21</w:t>
    </w:r>
  </w:p>
  <w:p w:rsidR="00B4644D" w:rsidRPr="00B4644D" w:rsidRDefault="00B4644D" w:rsidP="009C14BF">
    <w:pPr>
      <w:jc w:val="right"/>
      <w:rPr>
        <w:sz w:val="18"/>
        <w:szCs w:val="18"/>
      </w:rPr>
    </w:pPr>
    <w:r w:rsidRPr="00B4644D">
      <w:rPr>
        <w:sz w:val="18"/>
        <w:szCs w:val="18"/>
      </w:rPr>
      <w:t>ND/4895/204020/2022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467"/>
    <w:multiLevelType w:val="hybridMultilevel"/>
    <w:tmpl w:val="0EF8AC40"/>
    <w:lvl w:ilvl="0" w:tplc="8348D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427F"/>
    <w:multiLevelType w:val="hybridMultilevel"/>
    <w:tmpl w:val="87903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519"/>
    <w:multiLevelType w:val="hybridMultilevel"/>
    <w:tmpl w:val="2C5AC3C0"/>
    <w:lvl w:ilvl="0" w:tplc="382EC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4E27"/>
    <w:multiLevelType w:val="hybridMultilevel"/>
    <w:tmpl w:val="ABC0584E"/>
    <w:lvl w:ilvl="0" w:tplc="3BC66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1E37"/>
    <w:multiLevelType w:val="hybridMultilevel"/>
    <w:tmpl w:val="B774858E"/>
    <w:lvl w:ilvl="0" w:tplc="B4141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77CA8"/>
    <w:multiLevelType w:val="hybridMultilevel"/>
    <w:tmpl w:val="ABC0584E"/>
    <w:lvl w:ilvl="0" w:tplc="3BC66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36F08"/>
    <w:multiLevelType w:val="hybridMultilevel"/>
    <w:tmpl w:val="FDD20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66A26"/>
    <w:multiLevelType w:val="hybridMultilevel"/>
    <w:tmpl w:val="B77E0CB2"/>
    <w:lvl w:ilvl="0" w:tplc="15AEF6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04A6E"/>
    <w:multiLevelType w:val="hybridMultilevel"/>
    <w:tmpl w:val="78561F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D29ED"/>
    <w:multiLevelType w:val="hybridMultilevel"/>
    <w:tmpl w:val="F7ECC508"/>
    <w:lvl w:ilvl="0" w:tplc="5C86D86A">
      <w:start w:val="1"/>
      <w:numFmt w:val="lowerLetter"/>
      <w:lvlText w:val="%1)"/>
      <w:lvlJc w:val="left"/>
      <w:pPr>
        <w:ind w:left="1068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897200"/>
    <w:multiLevelType w:val="hybridMultilevel"/>
    <w:tmpl w:val="40B82BD4"/>
    <w:lvl w:ilvl="0" w:tplc="CC020BE0">
      <w:start w:val="1"/>
      <w:numFmt w:val="lowerLetter"/>
      <w:pStyle w:val="Odrka1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-3304" w:hanging="360"/>
      </w:pPr>
    </w:lvl>
    <w:lvl w:ilvl="2" w:tplc="0405001B">
      <w:start w:val="1"/>
      <w:numFmt w:val="lowerRoman"/>
      <w:lvlText w:val="%3."/>
      <w:lvlJc w:val="right"/>
      <w:pPr>
        <w:ind w:left="-2584" w:hanging="180"/>
      </w:pPr>
    </w:lvl>
    <w:lvl w:ilvl="3" w:tplc="0405000F">
      <w:start w:val="1"/>
      <w:numFmt w:val="decimal"/>
      <w:lvlText w:val="%4."/>
      <w:lvlJc w:val="left"/>
      <w:pPr>
        <w:ind w:left="-1864" w:hanging="360"/>
      </w:pPr>
    </w:lvl>
    <w:lvl w:ilvl="4" w:tplc="04050019">
      <w:start w:val="1"/>
      <w:numFmt w:val="lowerLetter"/>
      <w:lvlText w:val="%5."/>
      <w:lvlJc w:val="left"/>
      <w:pPr>
        <w:ind w:left="-1144" w:hanging="360"/>
      </w:pPr>
    </w:lvl>
    <w:lvl w:ilvl="5" w:tplc="0405001B">
      <w:start w:val="1"/>
      <w:numFmt w:val="lowerRoman"/>
      <w:lvlText w:val="%6."/>
      <w:lvlJc w:val="right"/>
      <w:pPr>
        <w:ind w:left="-424" w:hanging="180"/>
      </w:pPr>
    </w:lvl>
    <w:lvl w:ilvl="6" w:tplc="0405000F">
      <w:start w:val="1"/>
      <w:numFmt w:val="decimal"/>
      <w:lvlText w:val="%7."/>
      <w:lvlJc w:val="left"/>
      <w:pPr>
        <w:ind w:left="296" w:hanging="360"/>
      </w:pPr>
    </w:lvl>
    <w:lvl w:ilvl="7" w:tplc="04050019">
      <w:start w:val="1"/>
      <w:numFmt w:val="lowerLetter"/>
      <w:lvlText w:val="%8."/>
      <w:lvlJc w:val="left"/>
      <w:pPr>
        <w:ind w:left="1016" w:hanging="360"/>
      </w:pPr>
    </w:lvl>
    <w:lvl w:ilvl="8" w:tplc="0405001B">
      <w:start w:val="1"/>
      <w:numFmt w:val="lowerRoman"/>
      <w:lvlText w:val="%9."/>
      <w:lvlJc w:val="right"/>
      <w:pPr>
        <w:ind w:left="1736" w:hanging="180"/>
      </w:pPr>
    </w:lvl>
  </w:abstractNum>
  <w:abstractNum w:abstractNumId="11" w15:restartNumberingAfterBreak="0">
    <w:nsid w:val="636D1C78"/>
    <w:multiLevelType w:val="hybridMultilevel"/>
    <w:tmpl w:val="BFE08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2CD0"/>
    <w:multiLevelType w:val="hybridMultilevel"/>
    <w:tmpl w:val="F9AAB428"/>
    <w:lvl w:ilvl="0" w:tplc="500EBC50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017D3E"/>
    <w:multiLevelType w:val="hybridMultilevel"/>
    <w:tmpl w:val="6382E634"/>
    <w:lvl w:ilvl="0" w:tplc="DDDA73A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81"/>
    <w:rsid w:val="000235F9"/>
    <w:rsid w:val="00040955"/>
    <w:rsid w:val="0008298F"/>
    <w:rsid w:val="000B6C84"/>
    <w:rsid w:val="000C036F"/>
    <w:rsid w:val="000C754A"/>
    <w:rsid w:val="002540B1"/>
    <w:rsid w:val="002709FB"/>
    <w:rsid w:val="00280F6D"/>
    <w:rsid w:val="00290AB1"/>
    <w:rsid w:val="00321D0F"/>
    <w:rsid w:val="00384187"/>
    <w:rsid w:val="0049366B"/>
    <w:rsid w:val="004A4734"/>
    <w:rsid w:val="004B576B"/>
    <w:rsid w:val="004C74A6"/>
    <w:rsid w:val="004E4356"/>
    <w:rsid w:val="004F7462"/>
    <w:rsid w:val="00586ADB"/>
    <w:rsid w:val="005A08EB"/>
    <w:rsid w:val="005A1B21"/>
    <w:rsid w:val="005B5E66"/>
    <w:rsid w:val="005C7623"/>
    <w:rsid w:val="005D31DE"/>
    <w:rsid w:val="005D76AF"/>
    <w:rsid w:val="005F765C"/>
    <w:rsid w:val="00621E2B"/>
    <w:rsid w:val="00694C2E"/>
    <w:rsid w:val="006A367A"/>
    <w:rsid w:val="006A54F3"/>
    <w:rsid w:val="006F5643"/>
    <w:rsid w:val="00780F38"/>
    <w:rsid w:val="007B7679"/>
    <w:rsid w:val="007C52B0"/>
    <w:rsid w:val="007D08CC"/>
    <w:rsid w:val="00822A84"/>
    <w:rsid w:val="00850888"/>
    <w:rsid w:val="008517FF"/>
    <w:rsid w:val="00861F08"/>
    <w:rsid w:val="008A58C7"/>
    <w:rsid w:val="008C103A"/>
    <w:rsid w:val="008C1981"/>
    <w:rsid w:val="008D4F00"/>
    <w:rsid w:val="00963078"/>
    <w:rsid w:val="009924C4"/>
    <w:rsid w:val="00993838"/>
    <w:rsid w:val="009A7CFA"/>
    <w:rsid w:val="009C14BF"/>
    <w:rsid w:val="009C5124"/>
    <w:rsid w:val="00A02C21"/>
    <w:rsid w:val="00A46B72"/>
    <w:rsid w:val="00A54599"/>
    <w:rsid w:val="00A76395"/>
    <w:rsid w:val="00AC4255"/>
    <w:rsid w:val="00B22CDD"/>
    <w:rsid w:val="00B4644D"/>
    <w:rsid w:val="00B637D8"/>
    <w:rsid w:val="00B948FE"/>
    <w:rsid w:val="00BB4568"/>
    <w:rsid w:val="00BC2B74"/>
    <w:rsid w:val="00C060FE"/>
    <w:rsid w:val="00C2375D"/>
    <w:rsid w:val="00C51FD6"/>
    <w:rsid w:val="00C54CAD"/>
    <w:rsid w:val="00C61F46"/>
    <w:rsid w:val="00CC29FA"/>
    <w:rsid w:val="00CE0F71"/>
    <w:rsid w:val="00CF56AE"/>
    <w:rsid w:val="00D15F4D"/>
    <w:rsid w:val="00D605B1"/>
    <w:rsid w:val="00D81FAB"/>
    <w:rsid w:val="00D861E2"/>
    <w:rsid w:val="00D92FC6"/>
    <w:rsid w:val="00DD115E"/>
    <w:rsid w:val="00E17B64"/>
    <w:rsid w:val="00E303DC"/>
    <w:rsid w:val="00EB6C9B"/>
    <w:rsid w:val="00F13FCA"/>
    <w:rsid w:val="00F3360F"/>
    <w:rsid w:val="00F66E97"/>
    <w:rsid w:val="00F70485"/>
    <w:rsid w:val="00F75C27"/>
    <w:rsid w:val="00F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5E7956"/>
  <w15:docId w15:val="{FF36C39D-EA6D-498F-86B2-45FAE156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9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C1981"/>
    <w:pPr>
      <w:tabs>
        <w:tab w:val="center" w:pos="4536"/>
        <w:tab w:val="right" w:pos="9069"/>
      </w:tabs>
    </w:pPr>
  </w:style>
  <w:style w:type="character" w:customStyle="1" w:styleId="ZhlavChar">
    <w:name w:val="Záhlaví Char"/>
    <w:basedOn w:val="Standardnpsmoodstavce"/>
    <w:link w:val="Zhlav"/>
    <w:rsid w:val="008C19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C7623"/>
    <w:pPr>
      <w:ind w:left="720"/>
      <w:contextualSpacing/>
    </w:pPr>
  </w:style>
  <w:style w:type="character" w:customStyle="1" w:styleId="Odrka1Char">
    <w:name w:val="Odrážka1 Char"/>
    <w:basedOn w:val="Standardnpsmoodstavce"/>
    <w:link w:val="Odrka1"/>
    <w:locked/>
    <w:rsid w:val="002540B1"/>
    <w:rPr>
      <w:rFonts w:ascii="Arial" w:hAnsi="Arial" w:cs="Arial"/>
    </w:rPr>
  </w:style>
  <w:style w:type="paragraph" w:customStyle="1" w:styleId="Odrka1">
    <w:name w:val="Odrážka1"/>
    <w:basedOn w:val="Normln"/>
    <w:link w:val="Odrka1Char"/>
    <w:rsid w:val="002540B1"/>
    <w:pPr>
      <w:widowControl/>
      <w:numPr>
        <w:numId w:val="14"/>
      </w:numPr>
      <w:spacing w:after="24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C14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4B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Bärenreiter Praha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Linhartová Romana</cp:lastModifiedBy>
  <cp:revision>3</cp:revision>
  <cp:lastPrinted>2018-02-19T13:00:00Z</cp:lastPrinted>
  <dcterms:created xsi:type="dcterms:W3CDTF">2022-07-28T10:19:00Z</dcterms:created>
  <dcterms:modified xsi:type="dcterms:W3CDTF">2022-07-28T10:31:00Z</dcterms:modified>
</cp:coreProperties>
</file>