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98FB5" w14:textId="77777777" w:rsidR="0089518C" w:rsidRPr="009A2F2B" w:rsidRDefault="0089518C" w:rsidP="0089518C">
      <w:pPr>
        <w:pStyle w:val="Nzev"/>
        <w:shd w:val="clear" w:color="auto" w:fill="CCCCCC"/>
        <w:rPr>
          <w:rFonts w:ascii="Garamond" w:hAnsi="Garamond"/>
          <w:smallCaps/>
          <w:spacing w:val="60"/>
          <w:sz w:val="24"/>
          <w:szCs w:val="24"/>
        </w:rPr>
      </w:pPr>
      <w:r w:rsidRPr="009A2F2B">
        <w:rPr>
          <w:rFonts w:ascii="Garamond" w:hAnsi="Garamond"/>
          <w:smallCaps/>
          <w:spacing w:val="60"/>
          <w:sz w:val="24"/>
          <w:szCs w:val="24"/>
        </w:rPr>
        <w:t>smlouva</w:t>
      </w:r>
    </w:p>
    <w:p w14:paraId="6B1AFA87" w14:textId="77777777" w:rsidR="0089518C" w:rsidRPr="009A2F2B" w:rsidRDefault="0089518C" w:rsidP="0089518C">
      <w:pPr>
        <w:pStyle w:val="Nzev"/>
        <w:shd w:val="clear" w:color="auto" w:fill="CCCCCC"/>
        <w:rPr>
          <w:rFonts w:ascii="Garamond" w:hAnsi="Garamond"/>
          <w:smallCaps/>
          <w:spacing w:val="60"/>
          <w:sz w:val="24"/>
          <w:szCs w:val="24"/>
        </w:rPr>
      </w:pPr>
      <w:r w:rsidRPr="009A2F2B">
        <w:rPr>
          <w:rFonts w:ascii="Garamond" w:hAnsi="Garamond"/>
          <w:smallCaps/>
          <w:spacing w:val="60"/>
          <w:sz w:val="24"/>
          <w:szCs w:val="24"/>
        </w:rPr>
        <w:t>o poskytnutí dotace</w:t>
      </w:r>
    </w:p>
    <w:p w14:paraId="0509FCD7" w14:textId="77777777" w:rsidR="0089518C" w:rsidRPr="009A2F2B" w:rsidRDefault="0089518C" w:rsidP="0089518C">
      <w:pPr>
        <w:pStyle w:val="Nzev"/>
        <w:shd w:val="clear" w:color="auto" w:fill="CCCCCC"/>
        <w:rPr>
          <w:rFonts w:ascii="Garamond" w:hAnsi="Garamond"/>
          <w:i/>
          <w:iCs/>
          <w:sz w:val="24"/>
          <w:szCs w:val="24"/>
        </w:rPr>
      </w:pPr>
      <w:r w:rsidRPr="00B51268">
        <w:rPr>
          <w:rFonts w:ascii="Garamond" w:hAnsi="Garamond"/>
          <w:i/>
          <w:iCs/>
          <w:sz w:val="24"/>
          <w:szCs w:val="24"/>
        </w:rPr>
        <w:t xml:space="preserve">podle § </w:t>
      </w:r>
      <w:proofErr w:type="gramStart"/>
      <w:r w:rsidRPr="00B51268">
        <w:rPr>
          <w:rFonts w:ascii="Garamond" w:hAnsi="Garamond"/>
          <w:i/>
          <w:iCs/>
          <w:sz w:val="24"/>
          <w:szCs w:val="24"/>
        </w:rPr>
        <w:t>10a</w:t>
      </w:r>
      <w:proofErr w:type="gramEnd"/>
      <w:r w:rsidRPr="00B51268">
        <w:rPr>
          <w:rFonts w:ascii="Garamond" w:hAnsi="Garamond"/>
          <w:i/>
          <w:iCs/>
          <w:sz w:val="24"/>
          <w:szCs w:val="24"/>
        </w:rPr>
        <w:t xml:space="preserve"> a násl. zákona č. 250/2000 Sb., o rozpočtových pravidlech územních rozpočtů a v souladu se zákonem č. 128/2000 Sb., o obcích, vše v platném znění.</w:t>
      </w:r>
    </w:p>
    <w:p w14:paraId="6B3577E1" w14:textId="77777777" w:rsidR="0089518C" w:rsidRPr="00BB0CAC" w:rsidRDefault="0089518C" w:rsidP="0089518C">
      <w:pPr>
        <w:spacing w:line="240" w:lineRule="atLeast"/>
        <w:rPr>
          <w:rFonts w:ascii="Garamond" w:hAnsi="Garamond"/>
          <w:b/>
        </w:rPr>
      </w:pPr>
    </w:p>
    <w:p w14:paraId="7D44E048" w14:textId="77777777" w:rsidR="001B08A0" w:rsidRPr="000D53C8" w:rsidRDefault="001B08A0" w:rsidP="001B08A0">
      <w:pPr>
        <w:pStyle w:val="Nadpis3"/>
        <w:numPr>
          <w:ilvl w:val="0"/>
          <w:numId w:val="25"/>
        </w:numPr>
        <w:rPr>
          <w:rFonts w:ascii="Garamond" w:hAnsi="Garamond"/>
          <w:b/>
          <w:color w:val="auto"/>
        </w:rPr>
      </w:pPr>
      <w:r w:rsidRPr="000D53C8">
        <w:rPr>
          <w:rFonts w:ascii="Garamond" w:hAnsi="Garamond"/>
          <w:b/>
          <w:color w:val="auto"/>
        </w:rPr>
        <w:t>SMLUVNÍ STRANY</w:t>
      </w:r>
    </w:p>
    <w:p w14:paraId="565D1993" w14:textId="77777777" w:rsidR="001B08A0" w:rsidRPr="000D53C8" w:rsidRDefault="001B08A0" w:rsidP="007918E0">
      <w:pPr>
        <w:jc w:val="both"/>
        <w:rPr>
          <w:sz w:val="24"/>
          <w:szCs w:val="24"/>
        </w:rPr>
      </w:pPr>
    </w:p>
    <w:p w14:paraId="4CAAFA23" w14:textId="77777777" w:rsidR="0089518C" w:rsidRPr="000D53C8" w:rsidRDefault="0089518C" w:rsidP="007918E0">
      <w:pPr>
        <w:ind w:left="2835" w:hanging="2835"/>
        <w:jc w:val="both"/>
        <w:rPr>
          <w:rFonts w:ascii="Garamond" w:hAnsi="Garamond"/>
          <w:b/>
          <w:smallCaps/>
          <w:sz w:val="24"/>
          <w:szCs w:val="24"/>
        </w:rPr>
      </w:pPr>
      <w:r w:rsidRPr="000D53C8">
        <w:rPr>
          <w:rFonts w:ascii="Garamond" w:hAnsi="Garamond"/>
          <w:sz w:val="24"/>
          <w:szCs w:val="24"/>
        </w:rPr>
        <w:t xml:space="preserve">Poskytovatel: </w:t>
      </w:r>
      <w:r w:rsidRPr="000D53C8">
        <w:rPr>
          <w:rFonts w:ascii="Garamond" w:hAnsi="Garamond"/>
          <w:sz w:val="24"/>
          <w:szCs w:val="24"/>
        </w:rPr>
        <w:tab/>
      </w:r>
      <w:r w:rsidRPr="000D53C8">
        <w:rPr>
          <w:rFonts w:ascii="Garamond" w:hAnsi="Garamond"/>
          <w:b/>
          <w:sz w:val="24"/>
          <w:szCs w:val="24"/>
        </w:rPr>
        <w:t>statutární město</w:t>
      </w:r>
      <w:r w:rsidR="00B67299" w:rsidRPr="000D53C8">
        <w:rPr>
          <w:rFonts w:ascii="Garamond" w:hAnsi="Garamond"/>
          <w:b/>
          <w:sz w:val="24"/>
          <w:szCs w:val="24"/>
        </w:rPr>
        <w:t xml:space="preserve"> Plzeň</w:t>
      </w:r>
    </w:p>
    <w:p w14:paraId="564AF378" w14:textId="77777777" w:rsidR="0089518C" w:rsidRPr="000D53C8" w:rsidRDefault="00B67299" w:rsidP="007918E0">
      <w:pPr>
        <w:ind w:left="2835" w:hanging="2835"/>
        <w:jc w:val="both"/>
        <w:rPr>
          <w:rFonts w:ascii="Garamond" w:hAnsi="Garamond"/>
          <w:b/>
          <w:sz w:val="24"/>
          <w:szCs w:val="24"/>
        </w:rPr>
      </w:pPr>
      <w:r w:rsidRPr="000D53C8">
        <w:rPr>
          <w:rFonts w:ascii="Garamond" w:hAnsi="Garamond"/>
          <w:sz w:val="24"/>
          <w:szCs w:val="24"/>
        </w:rPr>
        <w:t>Adresa</w:t>
      </w:r>
      <w:r w:rsidR="0089518C" w:rsidRPr="000D53C8">
        <w:rPr>
          <w:rFonts w:ascii="Garamond" w:hAnsi="Garamond"/>
          <w:sz w:val="24"/>
          <w:szCs w:val="24"/>
        </w:rPr>
        <w:t>:</w:t>
      </w:r>
      <w:r w:rsidR="0089518C" w:rsidRPr="000D53C8">
        <w:rPr>
          <w:rFonts w:ascii="Garamond" w:hAnsi="Garamond"/>
          <w:b/>
          <w:sz w:val="24"/>
          <w:szCs w:val="24"/>
        </w:rPr>
        <w:tab/>
      </w:r>
      <w:r w:rsidR="0089518C" w:rsidRPr="000D53C8">
        <w:rPr>
          <w:rFonts w:ascii="Garamond" w:hAnsi="Garamond"/>
          <w:sz w:val="24"/>
          <w:szCs w:val="24"/>
        </w:rPr>
        <w:t xml:space="preserve">náměstí Republiky 1, Plzeň, PSČ </w:t>
      </w:r>
      <w:r w:rsidRPr="000D53C8">
        <w:rPr>
          <w:rFonts w:ascii="Garamond" w:hAnsi="Garamond"/>
          <w:sz w:val="24"/>
          <w:szCs w:val="24"/>
        </w:rPr>
        <w:t>301 00</w:t>
      </w:r>
    </w:p>
    <w:p w14:paraId="146B2BDF" w14:textId="77777777" w:rsidR="0089518C" w:rsidRPr="000D53C8" w:rsidRDefault="0089518C" w:rsidP="007918E0">
      <w:pPr>
        <w:ind w:left="2835" w:hanging="2835"/>
        <w:jc w:val="both"/>
        <w:rPr>
          <w:rFonts w:ascii="Garamond" w:hAnsi="Garamond"/>
          <w:b/>
          <w:sz w:val="24"/>
          <w:szCs w:val="24"/>
        </w:rPr>
      </w:pPr>
      <w:r w:rsidRPr="000D53C8">
        <w:rPr>
          <w:rFonts w:ascii="Garamond" w:hAnsi="Garamond"/>
          <w:sz w:val="24"/>
          <w:szCs w:val="24"/>
        </w:rPr>
        <w:t xml:space="preserve">IČ: </w:t>
      </w:r>
      <w:r w:rsidRPr="000D53C8">
        <w:rPr>
          <w:rFonts w:ascii="Garamond" w:hAnsi="Garamond"/>
          <w:sz w:val="24"/>
          <w:szCs w:val="24"/>
        </w:rPr>
        <w:tab/>
        <w:t>00075370</w:t>
      </w:r>
    </w:p>
    <w:p w14:paraId="6E7EC55A" w14:textId="16B8A53C" w:rsidR="0089518C" w:rsidRPr="000D53C8" w:rsidRDefault="0089518C" w:rsidP="007918E0">
      <w:pPr>
        <w:ind w:left="2835" w:hanging="2835"/>
        <w:jc w:val="both"/>
        <w:rPr>
          <w:rFonts w:ascii="Garamond" w:hAnsi="Garamond"/>
          <w:b/>
          <w:sz w:val="24"/>
          <w:szCs w:val="24"/>
        </w:rPr>
      </w:pPr>
      <w:r w:rsidRPr="000D53C8">
        <w:rPr>
          <w:rFonts w:ascii="Garamond" w:hAnsi="Garamond"/>
          <w:sz w:val="24"/>
          <w:szCs w:val="24"/>
        </w:rPr>
        <w:t xml:space="preserve">DIČ: </w:t>
      </w:r>
      <w:r w:rsidRPr="000D53C8">
        <w:rPr>
          <w:rFonts w:ascii="Garamond" w:hAnsi="Garamond"/>
          <w:sz w:val="24"/>
          <w:szCs w:val="24"/>
        </w:rPr>
        <w:tab/>
        <w:t xml:space="preserve">CZ00075370 </w:t>
      </w:r>
    </w:p>
    <w:p w14:paraId="10660882" w14:textId="77777777" w:rsidR="0089518C" w:rsidRPr="000D53C8" w:rsidRDefault="0089518C" w:rsidP="007918E0">
      <w:pPr>
        <w:ind w:left="2835" w:right="283" w:hanging="2835"/>
        <w:jc w:val="both"/>
        <w:rPr>
          <w:rFonts w:ascii="Garamond" w:hAnsi="Garamond"/>
          <w:sz w:val="24"/>
          <w:szCs w:val="24"/>
        </w:rPr>
      </w:pPr>
      <w:r w:rsidRPr="000D53C8">
        <w:rPr>
          <w:rFonts w:ascii="Garamond" w:hAnsi="Garamond"/>
          <w:sz w:val="24"/>
          <w:szCs w:val="24"/>
        </w:rPr>
        <w:t xml:space="preserve">Bankovní spojení: </w:t>
      </w:r>
      <w:r w:rsidRPr="000D53C8">
        <w:rPr>
          <w:rFonts w:ascii="Garamond" w:hAnsi="Garamond"/>
          <w:sz w:val="24"/>
          <w:szCs w:val="24"/>
        </w:rPr>
        <w:tab/>
        <w:t xml:space="preserve">Komerční banka a. s., Plzeň-město </w:t>
      </w:r>
    </w:p>
    <w:p w14:paraId="35610B9D" w14:textId="77777777" w:rsidR="0089518C" w:rsidRPr="000D53C8" w:rsidRDefault="0089518C" w:rsidP="007918E0">
      <w:pPr>
        <w:ind w:left="2835" w:right="283" w:hanging="2835"/>
        <w:jc w:val="both"/>
        <w:rPr>
          <w:rFonts w:ascii="Garamond" w:hAnsi="Garamond"/>
          <w:b/>
          <w:sz w:val="24"/>
          <w:szCs w:val="24"/>
        </w:rPr>
      </w:pPr>
      <w:r w:rsidRPr="000D53C8">
        <w:rPr>
          <w:rFonts w:ascii="Garamond" w:hAnsi="Garamond"/>
          <w:sz w:val="24"/>
          <w:szCs w:val="24"/>
        </w:rPr>
        <w:t>Číslo účtu:</w:t>
      </w:r>
      <w:r w:rsidRPr="000D53C8">
        <w:rPr>
          <w:rFonts w:ascii="Garamond" w:hAnsi="Garamond"/>
          <w:sz w:val="24"/>
          <w:szCs w:val="24"/>
        </w:rPr>
        <w:tab/>
        <w:t>1120</w:t>
      </w:r>
      <w:r w:rsidR="00B67299" w:rsidRPr="000D53C8">
        <w:rPr>
          <w:rFonts w:ascii="Garamond" w:hAnsi="Garamond"/>
          <w:sz w:val="24"/>
          <w:szCs w:val="24"/>
        </w:rPr>
        <w:t>-</w:t>
      </w:r>
      <w:r w:rsidRPr="000D53C8">
        <w:rPr>
          <w:rFonts w:ascii="Garamond" w:hAnsi="Garamond"/>
          <w:sz w:val="24"/>
          <w:szCs w:val="24"/>
        </w:rPr>
        <w:t>311/0100</w:t>
      </w:r>
    </w:p>
    <w:p w14:paraId="67075C33" w14:textId="77777777" w:rsidR="004A157C" w:rsidRPr="000D53C8" w:rsidRDefault="0089518C" w:rsidP="007918E0">
      <w:pPr>
        <w:ind w:left="2835" w:right="283" w:hanging="2835"/>
        <w:jc w:val="both"/>
        <w:rPr>
          <w:b/>
          <w:sz w:val="24"/>
          <w:szCs w:val="24"/>
        </w:rPr>
      </w:pPr>
      <w:r w:rsidRPr="000D53C8">
        <w:rPr>
          <w:rFonts w:ascii="Garamond" w:hAnsi="Garamond"/>
          <w:sz w:val="24"/>
          <w:szCs w:val="24"/>
        </w:rPr>
        <w:t xml:space="preserve">Zastoupený: </w:t>
      </w:r>
      <w:r w:rsidRPr="000D53C8">
        <w:rPr>
          <w:rFonts w:ascii="Garamond" w:hAnsi="Garamond"/>
          <w:sz w:val="24"/>
          <w:szCs w:val="24"/>
        </w:rPr>
        <w:tab/>
      </w:r>
      <w:r w:rsidR="00FC1F1A" w:rsidRPr="000D53C8">
        <w:rPr>
          <w:rFonts w:ascii="Garamond" w:hAnsi="Garamond"/>
          <w:b/>
          <w:sz w:val="24"/>
          <w:szCs w:val="24"/>
        </w:rPr>
        <w:t xml:space="preserve">Mgr. Eliškou Bartákovou, </w:t>
      </w:r>
      <w:r w:rsidR="00FC1F1A" w:rsidRPr="000D53C8">
        <w:rPr>
          <w:rFonts w:ascii="Garamond" w:hAnsi="Garamond"/>
          <w:sz w:val="24"/>
          <w:szCs w:val="24"/>
        </w:rPr>
        <w:t>náměstkyní primátora pro oblast kultury, památkové péče a sociálních věcí, na základě plné moci ze dne 20. 11. 2018, č. j. ZM – 147/2018</w:t>
      </w:r>
    </w:p>
    <w:p w14:paraId="20690C63" w14:textId="77777777" w:rsidR="00B67299" w:rsidRPr="000D53C8" w:rsidRDefault="00B67299" w:rsidP="007918E0">
      <w:pPr>
        <w:ind w:left="2835" w:right="283"/>
        <w:jc w:val="both"/>
        <w:rPr>
          <w:rFonts w:ascii="Garamond" w:hAnsi="Garamond"/>
          <w:sz w:val="24"/>
          <w:szCs w:val="24"/>
        </w:rPr>
      </w:pPr>
    </w:p>
    <w:p w14:paraId="790CEF1A" w14:textId="77777777" w:rsidR="0089518C" w:rsidRPr="000D53C8" w:rsidRDefault="00B67299" w:rsidP="007918E0">
      <w:pPr>
        <w:ind w:left="2835" w:right="283" w:hanging="2835"/>
        <w:jc w:val="both"/>
        <w:rPr>
          <w:rFonts w:ascii="Garamond" w:hAnsi="Garamond"/>
          <w:b/>
          <w:sz w:val="24"/>
          <w:szCs w:val="24"/>
        </w:rPr>
      </w:pPr>
      <w:r w:rsidRPr="000D53C8">
        <w:rPr>
          <w:rFonts w:ascii="Garamond" w:hAnsi="Garamond"/>
          <w:b/>
          <w:sz w:val="24"/>
          <w:szCs w:val="24"/>
        </w:rPr>
        <w:t>a</w:t>
      </w:r>
    </w:p>
    <w:p w14:paraId="003DC10B" w14:textId="77777777" w:rsidR="00B67299" w:rsidRPr="000D53C8" w:rsidRDefault="00B67299" w:rsidP="007918E0">
      <w:pPr>
        <w:ind w:left="2835" w:right="283" w:hanging="2835"/>
        <w:jc w:val="both"/>
        <w:rPr>
          <w:rFonts w:ascii="Garamond" w:hAnsi="Garamond"/>
          <w:b/>
          <w:sz w:val="24"/>
          <w:szCs w:val="24"/>
        </w:rPr>
      </w:pPr>
    </w:p>
    <w:p w14:paraId="5C237B91" w14:textId="439619B6" w:rsidR="004A157C" w:rsidRPr="00A851C5" w:rsidRDefault="004A157C" w:rsidP="007918E0">
      <w:pPr>
        <w:ind w:left="2835" w:hanging="2835"/>
        <w:jc w:val="both"/>
        <w:rPr>
          <w:rFonts w:ascii="Garamond" w:hAnsi="Garamond"/>
          <w:sz w:val="24"/>
          <w:szCs w:val="24"/>
        </w:rPr>
      </w:pPr>
      <w:r w:rsidRPr="00A851C5">
        <w:rPr>
          <w:rFonts w:ascii="Garamond" w:hAnsi="Garamond"/>
          <w:sz w:val="24"/>
          <w:szCs w:val="24"/>
        </w:rPr>
        <w:t>Příjemce:</w:t>
      </w:r>
      <w:r w:rsidRPr="00A851C5">
        <w:rPr>
          <w:rFonts w:ascii="Garamond" w:hAnsi="Garamond"/>
          <w:sz w:val="24"/>
          <w:szCs w:val="24"/>
        </w:rPr>
        <w:tab/>
      </w:r>
      <w:r w:rsidR="007D0C05">
        <w:rPr>
          <w:rFonts w:ascii="Garamond" w:hAnsi="Garamond"/>
          <w:b/>
          <w:sz w:val="24"/>
          <w:szCs w:val="24"/>
        </w:rPr>
        <w:t>DOMOVINKA</w:t>
      </w:r>
      <w:r w:rsidR="0042432D">
        <w:rPr>
          <w:rFonts w:ascii="Garamond" w:hAnsi="Garamond"/>
          <w:b/>
          <w:sz w:val="24"/>
          <w:szCs w:val="24"/>
        </w:rPr>
        <w:t xml:space="preserve"> – sociální služby, o.p.s.</w:t>
      </w:r>
    </w:p>
    <w:p w14:paraId="584848D6" w14:textId="1720CB5D" w:rsidR="004A157C" w:rsidRPr="00A851C5" w:rsidRDefault="004A157C" w:rsidP="00732DA9">
      <w:pPr>
        <w:ind w:left="2835" w:hanging="2835"/>
        <w:jc w:val="both"/>
        <w:rPr>
          <w:rFonts w:ascii="Garamond" w:hAnsi="Garamond"/>
          <w:sz w:val="24"/>
          <w:szCs w:val="24"/>
        </w:rPr>
      </w:pPr>
      <w:r w:rsidRPr="00A851C5">
        <w:rPr>
          <w:rFonts w:ascii="Garamond" w:hAnsi="Garamond"/>
          <w:sz w:val="24"/>
          <w:szCs w:val="24"/>
        </w:rPr>
        <w:t>Právní forma:</w:t>
      </w:r>
      <w:r w:rsidRPr="00A851C5">
        <w:rPr>
          <w:rFonts w:ascii="Garamond" w:hAnsi="Garamond"/>
          <w:sz w:val="24"/>
          <w:szCs w:val="24"/>
        </w:rPr>
        <w:tab/>
      </w:r>
      <w:r w:rsidR="0042432D">
        <w:rPr>
          <w:rFonts w:ascii="Garamond" w:hAnsi="Garamond"/>
          <w:sz w:val="24"/>
          <w:szCs w:val="24"/>
        </w:rPr>
        <w:t>obecně prospěšná společnost, vedená u Krajského soudu v Plzni pod spisovou značkou O 165</w:t>
      </w:r>
    </w:p>
    <w:p w14:paraId="681F15D4" w14:textId="7BE2A80D" w:rsidR="004A157C" w:rsidRPr="00A851C5" w:rsidRDefault="004A157C" w:rsidP="007918E0">
      <w:pPr>
        <w:ind w:left="2835" w:right="283" w:hanging="2835"/>
        <w:jc w:val="both"/>
        <w:rPr>
          <w:rFonts w:ascii="Garamond" w:hAnsi="Garamond"/>
          <w:sz w:val="24"/>
          <w:szCs w:val="24"/>
        </w:rPr>
      </w:pPr>
      <w:r w:rsidRPr="00A851C5">
        <w:rPr>
          <w:rFonts w:ascii="Garamond" w:hAnsi="Garamond"/>
          <w:sz w:val="24"/>
          <w:szCs w:val="24"/>
        </w:rPr>
        <w:t>Sídlo:</w:t>
      </w:r>
      <w:r w:rsidRPr="00A851C5">
        <w:rPr>
          <w:rFonts w:ascii="Garamond" w:hAnsi="Garamond"/>
          <w:sz w:val="24"/>
          <w:szCs w:val="24"/>
        </w:rPr>
        <w:tab/>
      </w:r>
      <w:r w:rsidR="0042432D">
        <w:rPr>
          <w:rFonts w:ascii="Garamond" w:hAnsi="Garamond"/>
          <w:sz w:val="24"/>
          <w:szCs w:val="24"/>
        </w:rPr>
        <w:t>Úslavská 75, 326 00 Plzeň</w:t>
      </w:r>
    </w:p>
    <w:p w14:paraId="0B9548ED" w14:textId="53545E6C" w:rsidR="004A157C" w:rsidRPr="00A851C5" w:rsidRDefault="004A157C" w:rsidP="007918E0">
      <w:pPr>
        <w:ind w:left="2835" w:right="283" w:hanging="2835"/>
        <w:jc w:val="both"/>
        <w:rPr>
          <w:rFonts w:ascii="Garamond" w:hAnsi="Garamond"/>
          <w:sz w:val="24"/>
          <w:szCs w:val="24"/>
        </w:rPr>
      </w:pPr>
      <w:r w:rsidRPr="00A851C5">
        <w:rPr>
          <w:rFonts w:ascii="Garamond" w:hAnsi="Garamond"/>
          <w:sz w:val="24"/>
          <w:szCs w:val="24"/>
        </w:rPr>
        <w:t xml:space="preserve">IČ: </w:t>
      </w:r>
      <w:r w:rsidRPr="00A851C5">
        <w:rPr>
          <w:rFonts w:ascii="Garamond" w:hAnsi="Garamond"/>
          <w:sz w:val="24"/>
          <w:szCs w:val="24"/>
        </w:rPr>
        <w:tab/>
      </w:r>
      <w:r w:rsidR="0042432D">
        <w:rPr>
          <w:rFonts w:ascii="Garamond" w:hAnsi="Garamond"/>
          <w:sz w:val="24"/>
          <w:szCs w:val="24"/>
        </w:rPr>
        <w:t>29123747</w:t>
      </w:r>
    </w:p>
    <w:p w14:paraId="791B5694" w14:textId="7CAA03FD" w:rsidR="004A157C" w:rsidRPr="00A851C5" w:rsidRDefault="004A157C" w:rsidP="007918E0">
      <w:pPr>
        <w:ind w:left="2835" w:right="283" w:hanging="2835"/>
        <w:jc w:val="both"/>
        <w:rPr>
          <w:rFonts w:ascii="Garamond" w:hAnsi="Garamond"/>
          <w:sz w:val="24"/>
          <w:szCs w:val="24"/>
        </w:rPr>
      </w:pPr>
      <w:r w:rsidRPr="00A851C5">
        <w:rPr>
          <w:rFonts w:ascii="Garamond" w:hAnsi="Garamond"/>
          <w:sz w:val="24"/>
          <w:szCs w:val="24"/>
        </w:rPr>
        <w:t xml:space="preserve">Bankovní spojení: </w:t>
      </w:r>
      <w:r w:rsidRPr="00A851C5">
        <w:rPr>
          <w:rFonts w:ascii="Garamond" w:hAnsi="Garamond"/>
          <w:sz w:val="24"/>
          <w:szCs w:val="24"/>
        </w:rPr>
        <w:tab/>
      </w:r>
      <w:r w:rsidR="004A4879">
        <w:rPr>
          <w:rFonts w:ascii="Garamond" w:hAnsi="Garamond"/>
          <w:sz w:val="24"/>
          <w:szCs w:val="24"/>
        </w:rPr>
        <w:t>XXXXXXXX</w:t>
      </w:r>
    </w:p>
    <w:p w14:paraId="28D56B98" w14:textId="1B57148E" w:rsidR="004A157C" w:rsidRPr="00A851C5" w:rsidRDefault="004A157C" w:rsidP="007918E0">
      <w:pPr>
        <w:ind w:left="2835" w:right="283" w:hanging="2835"/>
        <w:jc w:val="both"/>
        <w:rPr>
          <w:rFonts w:ascii="Garamond" w:hAnsi="Garamond"/>
          <w:sz w:val="24"/>
          <w:szCs w:val="24"/>
        </w:rPr>
      </w:pPr>
      <w:r w:rsidRPr="00A851C5">
        <w:rPr>
          <w:rFonts w:ascii="Garamond" w:hAnsi="Garamond"/>
          <w:sz w:val="24"/>
          <w:szCs w:val="24"/>
        </w:rPr>
        <w:t>Číslo účtu:</w:t>
      </w:r>
      <w:r w:rsidRPr="00A851C5">
        <w:rPr>
          <w:rFonts w:ascii="Garamond" w:hAnsi="Garamond"/>
          <w:sz w:val="24"/>
          <w:szCs w:val="24"/>
        </w:rPr>
        <w:tab/>
      </w:r>
      <w:r w:rsidR="004A4879">
        <w:rPr>
          <w:rFonts w:ascii="Garamond" w:hAnsi="Garamond"/>
          <w:sz w:val="24"/>
          <w:szCs w:val="24"/>
        </w:rPr>
        <w:t>XXXXXXXX</w:t>
      </w:r>
    </w:p>
    <w:p w14:paraId="1E8D7B90" w14:textId="0099F5AC" w:rsidR="004A157C" w:rsidRPr="00474137" w:rsidRDefault="004A157C" w:rsidP="007918E0">
      <w:pPr>
        <w:ind w:left="2835" w:right="283" w:hanging="2835"/>
        <w:jc w:val="both"/>
        <w:rPr>
          <w:rFonts w:ascii="Garamond" w:hAnsi="Garamond"/>
          <w:sz w:val="24"/>
          <w:szCs w:val="24"/>
        </w:rPr>
      </w:pPr>
      <w:r w:rsidRPr="00A851C5">
        <w:rPr>
          <w:rFonts w:ascii="Garamond" w:hAnsi="Garamond"/>
          <w:sz w:val="24"/>
          <w:szCs w:val="24"/>
        </w:rPr>
        <w:t xml:space="preserve">Zastoupený: </w:t>
      </w:r>
      <w:r w:rsidRPr="00A851C5">
        <w:rPr>
          <w:rFonts w:ascii="Garamond" w:hAnsi="Garamond"/>
          <w:sz w:val="24"/>
          <w:szCs w:val="24"/>
        </w:rPr>
        <w:tab/>
      </w:r>
      <w:r w:rsidR="00314137">
        <w:rPr>
          <w:rFonts w:ascii="Garamond" w:hAnsi="Garamond"/>
          <w:b/>
          <w:sz w:val="24"/>
          <w:szCs w:val="24"/>
        </w:rPr>
        <w:t>Mgr. Bohumilou Hajšmanovou</w:t>
      </w:r>
      <w:r w:rsidR="00C02502">
        <w:rPr>
          <w:rFonts w:ascii="Garamond" w:hAnsi="Garamond"/>
          <w:b/>
          <w:sz w:val="24"/>
          <w:szCs w:val="24"/>
        </w:rPr>
        <w:t>,</w:t>
      </w:r>
      <w:r w:rsidR="00474137" w:rsidRPr="00474137">
        <w:rPr>
          <w:rFonts w:ascii="Garamond" w:hAnsi="Garamond"/>
          <w:sz w:val="24"/>
          <w:szCs w:val="24"/>
        </w:rPr>
        <w:t xml:space="preserve"> </w:t>
      </w:r>
      <w:r w:rsidR="00C6675A">
        <w:rPr>
          <w:rFonts w:ascii="Garamond" w:hAnsi="Garamond"/>
          <w:sz w:val="24"/>
          <w:szCs w:val="24"/>
        </w:rPr>
        <w:t>ředitel</w:t>
      </w:r>
      <w:r w:rsidR="00314137">
        <w:rPr>
          <w:rFonts w:ascii="Garamond" w:hAnsi="Garamond"/>
          <w:sz w:val="24"/>
          <w:szCs w:val="24"/>
        </w:rPr>
        <w:t>kou</w:t>
      </w:r>
    </w:p>
    <w:p w14:paraId="34CA18E2" w14:textId="77777777" w:rsidR="0089518C" w:rsidRPr="000D53C8" w:rsidRDefault="0089518C" w:rsidP="0089518C">
      <w:pPr>
        <w:ind w:left="2835" w:right="283" w:hanging="2835"/>
        <w:jc w:val="both"/>
        <w:rPr>
          <w:rFonts w:ascii="Garamond" w:hAnsi="Garamond"/>
          <w:color w:val="000000"/>
          <w:sz w:val="24"/>
          <w:szCs w:val="24"/>
        </w:rPr>
      </w:pPr>
    </w:p>
    <w:p w14:paraId="48295A36" w14:textId="77777777" w:rsidR="00B67299" w:rsidRPr="000D53C8" w:rsidRDefault="00B67299" w:rsidP="0089518C">
      <w:pPr>
        <w:ind w:left="2835" w:right="283" w:hanging="2835"/>
        <w:jc w:val="both"/>
        <w:rPr>
          <w:rFonts w:ascii="Garamond" w:hAnsi="Garamond"/>
          <w:color w:val="000000"/>
          <w:sz w:val="24"/>
          <w:szCs w:val="24"/>
        </w:rPr>
      </w:pPr>
    </w:p>
    <w:p w14:paraId="7576A7B9" w14:textId="09195EC5" w:rsidR="0089518C" w:rsidRPr="000D53C8" w:rsidRDefault="0089518C" w:rsidP="009B2749">
      <w:pPr>
        <w:pStyle w:val="Zkladntext"/>
        <w:tabs>
          <w:tab w:val="left" w:pos="426"/>
        </w:tabs>
        <w:rPr>
          <w:szCs w:val="24"/>
        </w:rPr>
      </w:pPr>
      <w:r w:rsidRPr="000D53C8">
        <w:rPr>
          <w:szCs w:val="24"/>
        </w:rPr>
        <w:t>uzavírají na základě usnesení</w:t>
      </w:r>
      <w:r w:rsidR="004A157C" w:rsidRPr="000D53C8">
        <w:rPr>
          <w:szCs w:val="24"/>
        </w:rPr>
        <w:t xml:space="preserve"> </w:t>
      </w:r>
      <w:r w:rsidR="004A157C" w:rsidRPr="00154BD8">
        <w:rPr>
          <w:szCs w:val="24"/>
        </w:rPr>
        <w:t>Z</w:t>
      </w:r>
      <w:r w:rsidR="00BE7DD7" w:rsidRPr="00154BD8">
        <w:rPr>
          <w:szCs w:val="24"/>
        </w:rPr>
        <w:t xml:space="preserve">astupitelstva města Plzně č. </w:t>
      </w:r>
      <w:r w:rsidR="00036EA0" w:rsidRPr="00154BD8">
        <w:rPr>
          <w:szCs w:val="24"/>
        </w:rPr>
        <w:t>201</w:t>
      </w:r>
      <w:r w:rsidR="00D5601E" w:rsidRPr="00154BD8">
        <w:rPr>
          <w:szCs w:val="24"/>
        </w:rPr>
        <w:t xml:space="preserve"> </w:t>
      </w:r>
      <w:r w:rsidR="00BE7DD7" w:rsidRPr="00154BD8">
        <w:rPr>
          <w:color w:val="000000"/>
          <w:szCs w:val="24"/>
        </w:rPr>
        <w:t xml:space="preserve">ze dne </w:t>
      </w:r>
      <w:r w:rsidR="00CE7748" w:rsidRPr="00154BD8">
        <w:rPr>
          <w:color w:val="000000"/>
          <w:szCs w:val="24"/>
        </w:rPr>
        <w:t xml:space="preserve">20. června 2022 </w:t>
      </w:r>
      <w:r w:rsidRPr="00154BD8">
        <w:rPr>
          <w:szCs w:val="24"/>
        </w:rPr>
        <w:t>smlouvu</w:t>
      </w:r>
      <w:r w:rsidRPr="000D53C8">
        <w:rPr>
          <w:szCs w:val="24"/>
        </w:rPr>
        <w:t xml:space="preserve"> o</w:t>
      </w:r>
      <w:r w:rsidR="00CE7748">
        <w:rPr>
          <w:szCs w:val="24"/>
        </w:rPr>
        <w:t> </w:t>
      </w:r>
      <w:r w:rsidRPr="000D53C8">
        <w:rPr>
          <w:szCs w:val="24"/>
        </w:rPr>
        <w:t>poskytnutí dotace z rozpočtu města Plzně.</w:t>
      </w:r>
    </w:p>
    <w:p w14:paraId="640D69CD" w14:textId="77777777" w:rsidR="001A7A3D" w:rsidRPr="000D53C8" w:rsidRDefault="001A7A3D" w:rsidP="0089518C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71A0D894" w14:textId="77777777" w:rsidR="0089518C" w:rsidRPr="000D53C8" w:rsidRDefault="0089518C" w:rsidP="001B08A0">
      <w:pPr>
        <w:pStyle w:val="Nadpis3"/>
        <w:numPr>
          <w:ilvl w:val="0"/>
          <w:numId w:val="25"/>
        </w:numPr>
        <w:rPr>
          <w:rFonts w:ascii="Garamond" w:hAnsi="Garamond"/>
          <w:b/>
          <w:bCs/>
          <w:color w:val="auto"/>
        </w:rPr>
      </w:pPr>
      <w:r w:rsidRPr="000D53C8">
        <w:rPr>
          <w:rFonts w:ascii="Garamond" w:hAnsi="Garamond"/>
          <w:b/>
          <w:bCs/>
          <w:color w:val="auto"/>
        </w:rPr>
        <w:t>ZÁKLADNÍ USTANOVENÍ</w:t>
      </w:r>
    </w:p>
    <w:p w14:paraId="42A19050" w14:textId="77777777" w:rsidR="003A1E94" w:rsidRPr="000D53C8" w:rsidRDefault="003A1E94" w:rsidP="00B67299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4B2A324A" w14:textId="77777777" w:rsidR="00FC1F1A" w:rsidRPr="000D53C8" w:rsidRDefault="0089518C" w:rsidP="00FC1F1A">
      <w:pPr>
        <w:pStyle w:val="Zkladntext"/>
        <w:rPr>
          <w:szCs w:val="24"/>
        </w:rPr>
      </w:pPr>
      <w:r w:rsidRPr="000D53C8">
        <w:rPr>
          <w:bCs/>
          <w:szCs w:val="24"/>
        </w:rPr>
        <w:t xml:space="preserve">Smluvní strany prohlašují, že pro právní vztah založený touto smlouvou jsou stejně jako ustanovení této smlouvy právně závazná i ustanovení obsažená v Zásadách poskytování dotací z rozpočtu statutárního města Plzně (dále jen „Zásady“), které jsou k dispozici </w:t>
      </w:r>
      <w:r w:rsidRPr="000D53C8">
        <w:rPr>
          <w:szCs w:val="24"/>
        </w:rPr>
        <w:t>na webových stránkách města Plzně (</w:t>
      </w:r>
      <w:hyperlink r:id="rId8" w:history="1">
        <w:r w:rsidRPr="000D53C8">
          <w:rPr>
            <w:rStyle w:val="Hypertextovodkaz"/>
            <w:szCs w:val="24"/>
          </w:rPr>
          <w:t>www.plzen.eu</w:t>
        </w:r>
      </w:hyperlink>
      <w:r w:rsidRPr="000D53C8">
        <w:rPr>
          <w:szCs w:val="24"/>
        </w:rPr>
        <w:t xml:space="preserve"> – Úřad – Granty a dotace)</w:t>
      </w:r>
      <w:r w:rsidR="00BE7DD7" w:rsidRPr="000D53C8">
        <w:rPr>
          <w:szCs w:val="24"/>
        </w:rPr>
        <w:t xml:space="preserve"> a jsou platné v den podpisu smlouvy</w:t>
      </w:r>
      <w:r w:rsidRPr="000D53C8">
        <w:rPr>
          <w:szCs w:val="24"/>
        </w:rPr>
        <w:t>.</w:t>
      </w:r>
    </w:p>
    <w:p w14:paraId="2CD829EF" w14:textId="77777777" w:rsidR="004A2778" w:rsidRPr="000D53C8" w:rsidRDefault="004A2778" w:rsidP="00FC1F1A">
      <w:pPr>
        <w:pStyle w:val="Zkladntext"/>
        <w:rPr>
          <w:szCs w:val="24"/>
        </w:rPr>
      </w:pPr>
    </w:p>
    <w:p w14:paraId="7BCD829F" w14:textId="77777777" w:rsidR="0089518C" w:rsidRPr="000D53C8" w:rsidRDefault="001B08A0" w:rsidP="00E53E8F">
      <w:pPr>
        <w:pStyle w:val="Nadpis3"/>
        <w:numPr>
          <w:ilvl w:val="0"/>
          <w:numId w:val="25"/>
        </w:numPr>
        <w:rPr>
          <w:rFonts w:ascii="Garamond" w:hAnsi="Garamond"/>
          <w:b/>
          <w:color w:val="auto"/>
        </w:rPr>
      </w:pPr>
      <w:r w:rsidRPr="000D53C8">
        <w:rPr>
          <w:rFonts w:ascii="Garamond" w:hAnsi="Garamond"/>
          <w:b/>
          <w:color w:val="auto"/>
        </w:rPr>
        <w:t>P</w:t>
      </w:r>
      <w:r w:rsidR="0089518C" w:rsidRPr="000D53C8">
        <w:rPr>
          <w:rFonts w:ascii="Garamond" w:hAnsi="Garamond"/>
          <w:b/>
          <w:color w:val="auto"/>
        </w:rPr>
        <w:t>ŘEDMĚT SMLOUVY</w:t>
      </w:r>
    </w:p>
    <w:p w14:paraId="161914EF" w14:textId="77777777" w:rsidR="0089518C" w:rsidRPr="000D53C8" w:rsidRDefault="0089518C" w:rsidP="0089518C">
      <w:pPr>
        <w:pStyle w:val="Zkladntext"/>
        <w:tabs>
          <w:tab w:val="left" w:pos="0"/>
          <w:tab w:val="left" w:pos="7040"/>
        </w:tabs>
        <w:jc w:val="left"/>
        <w:rPr>
          <w:b/>
          <w:szCs w:val="24"/>
        </w:rPr>
      </w:pPr>
    </w:p>
    <w:p w14:paraId="5B44E260" w14:textId="20A18196" w:rsidR="00B67299" w:rsidRPr="00CE7748" w:rsidRDefault="0089518C" w:rsidP="00F23B8B">
      <w:pPr>
        <w:pStyle w:val="Zkladntext"/>
        <w:numPr>
          <w:ilvl w:val="0"/>
          <w:numId w:val="27"/>
        </w:numPr>
        <w:tabs>
          <w:tab w:val="left" w:pos="0"/>
        </w:tabs>
        <w:spacing w:after="60"/>
        <w:rPr>
          <w:szCs w:val="24"/>
        </w:rPr>
      </w:pPr>
      <w:r w:rsidRPr="00CE7748">
        <w:rPr>
          <w:szCs w:val="24"/>
        </w:rPr>
        <w:t>Posky</w:t>
      </w:r>
      <w:r w:rsidR="004A157C" w:rsidRPr="00CE7748">
        <w:rPr>
          <w:szCs w:val="24"/>
        </w:rPr>
        <w:t>tov</w:t>
      </w:r>
      <w:r w:rsidR="00D5601E" w:rsidRPr="00CE7748">
        <w:rPr>
          <w:szCs w:val="24"/>
        </w:rPr>
        <w:t>atel poskytne příjemci dotaci ve</w:t>
      </w:r>
      <w:r w:rsidR="004A157C" w:rsidRPr="00CE7748">
        <w:rPr>
          <w:szCs w:val="24"/>
        </w:rPr>
        <w:t xml:space="preserve"> výši </w:t>
      </w:r>
      <w:r w:rsidR="003D0334">
        <w:rPr>
          <w:b/>
          <w:szCs w:val="24"/>
        </w:rPr>
        <w:t xml:space="preserve">200 </w:t>
      </w:r>
      <w:r w:rsidR="005818B5" w:rsidRPr="00CE7748">
        <w:rPr>
          <w:b/>
          <w:szCs w:val="24"/>
        </w:rPr>
        <w:t>000</w:t>
      </w:r>
      <w:r w:rsidR="004664DC" w:rsidRPr="00CE7748">
        <w:rPr>
          <w:b/>
          <w:szCs w:val="24"/>
        </w:rPr>
        <w:t xml:space="preserve"> </w:t>
      </w:r>
      <w:r w:rsidR="004A157C" w:rsidRPr="00CE7748">
        <w:rPr>
          <w:b/>
          <w:szCs w:val="24"/>
        </w:rPr>
        <w:t>Kč</w:t>
      </w:r>
      <w:r w:rsidR="00EF0B15" w:rsidRPr="00CE7748">
        <w:rPr>
          <w:b/>
          <w:szCs w:val="24"/>
        </w:rPr>
        <w:t xml:space="preserve"> </w:t>
      </w:r>
      <w:r w:rsidRPr="00CE7748">
        <w:rPr>
          <w:b/>
          <w:szCs w:val="24"/>
        </w:rPr>
        <w:t>(</w:t>
      </w:r>
      <w:r w:rsidRPr="00CE7748">
        <w:rPr>
          <w:b/>
          <w:i/>
          <w:szCs w:val="24"/>
        </w:rPr>
        <w:t>slovy</w:t>
      </w:r>
      <w:r w:rsidR="001A7A3D" w:rsidRPr="00CE7748">
        <w:rPr>
          <w:b/>
          <w:i/>
          <w:szCs w:val="24"/>
        </w:rPr>
        <w:t>:</w:t>
      </w:r>
      <w:r w:rsidR="00FC1F1A" w:rsidRPr="00CE7748">
        <w:rPr>
          <w:b/>
          <w:i/>
          <w:szCs w:val="24"/>
        </w:rPr>
        <w:t xml:space="preserve"> </w:t>
      </w:r>
      <w:r w:rsidR="003D0334">
        <w:rPr>
          <w:b/>
          <w:i/>
          <w:szCs w:val="24"/>
        </w:rPr>
        <w:t>dvě stě</w:t>
      </w:r>
      <w:r w:rsidR="001034F9">
        <w:rPr>
          <w:b/>
          <w:i/>
          <w:szCs w:val="24"/>
        </w:rPr>
        <w:t xml:space="preserve"> tisíc</w:t>
      </w:r>
      <w:r w:rsidR="00D5601E" w:rsidRPr="00CE7748">
        <w:rPr>
          <w:b/>
          <w:i/>
          <w:szCs w:val="24"/>
        </w:rPr>
        <w:t xml:space="preserve"> </w:t>
      </w:r>
      <w:r w:rsidR="00FC1F1A" w:rsidRPr="00CE7748">
        <w:rPr>
          <w:b/>
          <w:i/>
          <w:szCs w:val="24"/>
        </w:rPr>
        <w:t>korun českých</w:t>
      </w:r>
      <w:r w:rsidRPr="00CE7748">
        <w:rPr>
          <w:b/>
          <w:szCs w:val="24"/>
        </w:rPr>
        <w:t>)</w:t>
      </w:r>
      <w:r w:rsidRPr="00CE7748">
        <w:rPr>
          <w:szCs w:val="24"/>
        </w:rPr>
        <w:t>, kterou příjemce za podmínek stanovených touto smlouvou a uvedených v</w:t>
      </w:r>
      <w:r w:rsidR="00492764" w:rsidRPr="00CE7748">
        <w:rPr>
          <w:szCs w:val="24"/>
        </w:rPr>
        <w:t> </w:t>
      </w:r>
      <w:r w:rsidRPr="00CE7748">
        <w:rPr>
          <w:szCs w:val="24"/>
        </w:rPr>
        <w:t>Zásadách</w:t>
      </w:r>
      <w:r w:rsidR="00492764" w:rsidRPr="00CE7748">
        <w:rPr>
          <w:szCs w:val="24"/>
        </w:rPr>
        <w:t>,</w:t>
      </w:r>
      <w:r w:rsidRPr="00CE7748">
        <w:rPr>
          <w:szCs w:val="24"/>
        </w:rPr>
        <w:t xml:space="preserve"> přijímá.</w:t>
      </w:r>
    </w:p>
    <w:p w14:paraId="7CAD56A3" w14:textId="3AE16F60" w:rsidR="00B67299" w:rsidRPr="00CE7748" w:rsidRDefault="0089518C" w:rsidP="00CD70B9">
      <w:pPr>
        <w:pStyle w:val="Zkladntext"/>
        <w:numPr>
          <w:ilvl w:val="0"/>
          <w:numId w:val="27"/>
        </w:numPr>
        <w:tabs>
          <w:tab w:val="left" w:pos="0"/>
        </w:tabs>
        <w:spacing w:after="60"/>
        <w:rPr>
          <w:szCs w:val="24"/>
        </w:rPr>
      </w:pPr>
      <w:r w:rsidRPr="00CE7748">
        <w:rPr>
          <w:szCs w:val="24"/>
        </w:rPr>
        <w:t>Dotace je určena na tento účel:</w:t>
      </w:r>
      <w:r w:rsidR="00BE7DD7" w:rsidRPr="00CE7748">
        <w:rPr>
          <w:szCs w:val="24"/>
        </w:rPr>
        <w:t xml:space="preserve"> </w:t>
      </w:r>
      <w:r w:rsidR="00C6675A">
        <w:rPr>
          <w:b/>
          <w:szCs w:val="24"/>
        </w:rPr>
        <w:t xml:space="preserve">Zdravotní péče </w:t>
      </w:r>
      <w:r w:rsidR="004E55F1">
        <w:rPr>
          <w:b/>
          <w:szCs w:val="24"/>
        </w:rPr>
        <w:t>na stacionáři</w:t>
      </w:r>
      <w:r w:rsidR="004664DC" w:rsidRPr="00CE7748">
        <w:rPr>
          <w:b/>
          <w:szCs w:val="24"/>
        </w:rPr>
        <w:t xml:space="preserve">, </w:t>
      </w:r>
      <w:r w:rsidR="004664DC" w:rsidRPr="00CE7748">
        <w:rPr>
          <w:szCs w:val="24"/>
        </w:rPr>
        <w:t>dále jen projekt</w:t>
      </w:r>
      <w:r w:rsidR="001C6D98" w:rsidRPr="00CE7748">
        <w:rPr>
          <w:szCs w:val="24"/>
        </w:rPr>
        <w:t>.</w:t>
      </w:r>
    </w:p>
    <w:p w14:paraId="20E19C49" w14:textId="202101F9" w:rsidR="0089518C" w:rsidRDefault="0089518C" w:rsidP="00CD70B9">
      <w:pPr>
        <w:pStyle w:val="Zkladntext"/>
        <w:numPr>
          <w:ilvl w:val="0"/>
          <w:numId w:val="27"/>
        </w:numPr>
        <w:tabs>
          <w:tab w:val="left" w:pos="0"/>
        </w:tabs>
        <w:spacing w:after="60"/>
        <w:rPr>
          <w:szCs w:val="24"/>
        </w:rPr>
      </w:pPr>
      <w:r w:rsidRPr="00CE7748">
        <w:rPr>
          <w:szCs w:val="24"/>
        </w:rPr>
        <w:t>Příjemce je povinen realizovat projekt v souladu s p</w:t>
      </w:r>
      <w:r w:rsidR="004A157C" w:rsidRPr="00CE7748">
        <w:rPr>
          <w:szCs w:val="24"/>
        </w:rPr>
        <w:t>ředloženou Žád</w:t>
      </w:r>
      <w:r w:rsidR="00BE7DD7" w:rsidRPr="00CE7748">
        <w:rPr>
          <w:szCs w:val="24"/>
        </w:rPr>
        <w:t xml:space="preserve">ostí v období od 1. ledna </w:t>
      </w:r>
      <w:r w:rsidR="00F15522" w:rsidRPr="00CE7748">
        <w:rPr>
          <w:szCs w:val="24"/>
        </w:rPr>
        <w:t>202</w:t>
      </w:r>
      <w:r w:rsidR="00AE7EC0" w:rsidRPr="00CE7748">
        <w:rPr>
          <w:szCs w:val="24"/>
        </w:rPr>
        <w:t>2</w:t>
      </w:r>
      <w:r w:rsidR="00BE7DD7" w:rsidRPr="00CE7748">
        <w:rPr>
          <w:szCs w:val="24"/>
        </w:rPr>
        <w:t xml:space="preserve"> do 31. prosince 20</w:t>
      </w:r>
      <w:r w:rsidR="00F15522" w:rsidRPr="00CE7748">
        <w:rPr>
          <w:szCs w:val="24"/>
        </w:rPr>
        <w:t>2</w:t>
      </w:r>
      <w:r w:rsidR="00E22599" w:rsidRPr="00CE7748">
        <w:rPr>
          <w:szCs w:val="24"/>
        </w:rPr>
        <w:t>2</w:t>
      </w:r>
      <w:r w:rsidR="004A157C" w:rsidRPr="00CE7748">
        <w:rPr>
          <w:szCs w:val="24"/>
        </w:rPr>
        <w:t>.</w:t>
      </w:r>
    </w:p>
    <w:p w14:paraId="2D5566C7" w14:textId="77777777" w:rsidR="00C6675A" w:rsidRPr="00CE7748" w:rsidRDefault="00C6675A" w:rsidP="00C6675A">
      <w:pPr>
        <w:pStyle w:val="Zkladntext"/>
        <w:tabs>
          <w:tab w:val="left" w:pos="0"/>
        </w:tabs>
        <w:spacing w:after="60"/>
        <w:rPr>
          <w:szCs w:val="24"/>
        </w:rPr>
      </w:pPr>
    </w:p>
    <w:p w14:paraId="0A3553BF" w14:textId="77777777" w:rsidR="0089518C" w:rsidRPr="000D53C8" w:rsidRDefault="0089518C" w:rsidP="00F23B8B">
      <w:pPr>
        <w:pStyle w:val="Nadpis3"/>
        <w:numPr>
          <w:ilvl w:val="0"/>
          <w:numId w:val="25"/>
        </w:numPr>
        <w:rPr>
          <w:rFonts w:ascii="Garamond" w:hAnsi="Garamond"/>
          <w:b/>
          <w:color w:val="auto"/>
        </w:rPr>
      </w:pPr>
      <w:r w:rsidRPr="000D53C8">
        <w:rPr>
          <w:rFonts w:ascii="Garamond" w:hAnsi="Garamond"/>
          <w:b/>
          <w:color w:val="auto"/>
        </w:rPr>
        <w:lastRenderedPageBreak/>
        <w:t>PODMÍNKY ČERPÁNÍ DOTACE</w:t>
      </w:r>
    </w:p>
    <w:p w14:paraId="3ADA74D8" w14:textId="77777777" w:rsidR="003A1E94" w:rsidRPr="000D53C8" w:rsidRDefault="003A1E94" w:rsidP="003A1E94">
      <w:pPr>
        <w:rPr>
          <w:sz w:val="24"/>
          <w:szCs w:val="24"/>
        </w:rPr>
      </w:pPr>
    </w:p>
    <w:p w14:paraId="69C14D9F" w14:textId="77777777" w:rsidR="006146A6" w:rsidRPr="000D53C8" w:rsidRDefault="00BB61E7" w:rsidP="006146A6">
      <w:pPr>
        <w:pStyle w:val="Zkladntext"/>
        <w:numPr>
          <w:ilvl w:val="0"/>
          <w:numId w:val="2"/>
        </w:numPr>
        <w:tabs>
          <w:tab w:val="clear" w:pos="360"/>
          <w:tab w:val="num" w:pos="426"/>
        </w:tabs>
        <w:spacing w:after="60"/>
        <w:ind w:left="426" w:hanging="426"/>
        <w:rPr>
          <w:szCs w:val="24"/>
        </w:rPr>
      </w:pPr>
      <w:r w:rsidRPr="000D53C8">
        <w:rPr>
          <w:szCs w:val="24"/>
        </w:rPr>
        <w:t>Příjemce se zavazuje řídit se při použití a vyúčtování poskytnuté dotace touto smlouvou, podmínkami uvedenými v Zásadách, právními předpisy a používat dotaci výhradně k účelům podle čl. III. odst. 2</w:t>
      </w:r>
      <w:r w:rsidR="00554BA4" w:rsidRPr="000D53C8">
        <w:rPr>
          <w:szCs w:val="24"/>
        </w:rPr>
        <w:t>.</w:t>
      </w:r>
      <w:r w:rsidRPr="000D53C8">
        <w:rPr>
          <w:szCs w:val="24"/>
        </w:rPr>
        <w:t xml:space="preserve"> této smlouvy</w:t>
      </w:r>
      <w:r w:rsidR="00A2193C" w:rsidRPr="000D53C8">
        <w:rPr>
          <w:szCs w:val="24"/>
        </w:rPr>
        <w:t>.</w:t>
      </w:r>
    </w:p>
    <w:p w14:paraId="37CBADB8" w14:textId="361064B7" w:rsidR="006146A6" w:rsidRPr="000D53C8" w:rsidRDefault="0089518C" w:rsidP="006146A6">
      <w:pPr>
        <w:pStyle w:val="Zkladntext"/>
        <w:numPr>
          <w:ilvl w:val="0"/>
          <w:numId w:val="2"/>
        </w:numPr>
        <w:tabs>
          <w:tab w:val="clear" w:pos="360"/>
          <w:tab w:val="num" w:pos="426"/>
        </w:tabs>
        <w:spacing w:after="60"/>
        <w:ind w:left="426" w:hanging="426"/>
        <w:rPr>
          <w:szCs w:val="24"/>
        </w:rPr>
      </w:pPr>
      <w:r w:rsidRPr="000D53C8">
        <w:rPr>
          <w:szCs w:val="24"/>
        </w:rPr>
        <w:t>Nesplnění podmínek</w:t>
      </w:r>
      <w:r w:rsidR="00CA2E2D" w:rsidRPr="000D53C8">
        <w:rPr>
          <w:szCs w:val="24"/>
        </w:rPr>
        <w:t>,</w:t>
      </w:r>
      <w:r w:rsidRPr="000D53C8">
        <w:rPr>
          <w:szCs w:val="24"/>
        </w:rPr>
        <w:t xml:space="preserve"> uveden</w:t>
      </w:r>
      <w:r w:rsidR="00D003FE" w:rsidRPr="000D53C8">
        <w:rPr>
          <w:szCs w:val="24"/>
        </w:rPr>
        <w:t xml:space="preserve">ých v tomto článku v odst. </w:t>
      </w:r>
      <w:r w:rsidR="00CC0A5F" w:rsidRPr="000D53C8">
        <w:rPr>
          <w:szCs w:val="24"/>
        </w:rPr>
        <w:t>3–</w:t>
      </w:r>
      <w:r w:rsidR="00182C7E">
        <w:rPr>
          <w:szCs w:val="24"/>
        </w:rPr>
        <w:t>5</w:t>
      </w:r>
      <w:r w:rsidR="00CA2E2D" w:rsidRPr="000D53C8">
        <w:rPr>
          <w:szCs w:val="24"/>
        </w:rPr>
        <w:t>,</w:t>
      </w:r>
      <w:r w:rsidRPr="000D53C8">
        <w:rPr>
          <w:szCs w:val="24"/>
        </w:rPr>
        <w:t xml:space="preserve"> je považováno za porušení závažné povinnosti ve smyslu ustanovení § 22 odst. 5 zákona č. 250/2000 Sb., o rozpočtových pravidlech územních rozpočtů, v platném změní. Odvod za toto porušení rozpočtové kázně se stanoví ve výši, v jaké byla rozpočtová kázeň porušena, a to za každý jednotlivý případ.</w:t>
      </w:r>
    </w:p>
    <w:p w14:paraId="1BD44755" w14:textId="53356D91" w:rsidR="006146A6" w:rsidRDefault="0089518C" w:rsidP="006146A6">
      <w:pPr>
        <w:pStyle w:val="Zkladntext"/>
        <w:numPr>
          <w:ilvl w:val="0"/>
          <w:numId w:val="2"/>
        </w:numPr>
        <w:tabs>
          <w:tab w:val="clear" w:pos="360"/>
          <w:tab w:val="num" w:pos="426"/>
        </w:tabs>
        <w:spacing w:after="60"/>
        <w:ind w:left="426" w:hanging="426"/>
        <w:rPr>
          <w:szCs w:val="24"/>
        </w:rPr>
      </w:pPr>
      <w:r w:rsidRPr="000D53C8">
        <w:rPr>
          <w:szCs w:val="24"/>
        </w:rPr>
        <w:t xml:space="preserve">Příjemce </w:t>
      </w:r>
      <w:r w:rsidR="004A157C" w:rsidRPr="000D53C8">
        <w:rPr>
          <w:szCs w:val="24"/>
        </w:rPr>
        <w:t xml:space="preserve">použije dotaci </w:t>
      </w:r>
      <w:r w:rsidR="004A157C" w:rsidRPr="006B4C8C">
        <w:rPr>
          <w:szCs w:val="24"/>
        </w:rPr>
        <w:t>na úhradu</w:t>
      </w:r>
      <w:r w:rsidR="00A42BA0" w:rsidRPr="006B4C8C">
        <w:rPr>
          <w:szCs w:val="24"/>
        </w:rPr>
        <w:t xml:space="preserve"> </w:t>
      </w:r>
      <w:r w:rsidR="00C4589D" w:rsidRPr="00100CBB">
        <w:rPr>
          <w:b/>
          <w:szCs w:val="24"/>
        </w:rPr>
        <w:t>osobních</w:t>
      </w:r>
      <w:r w:rsidR="00072EE5" w:rsidRPr="00100CBB">
        <w:rPr>
          <w:b/>
          <w:szCs w:val="24"/>
        </w:rPr>
        <w:t xml:space="preserve"> nákladů </w:t>
      </w:r>
      <w:r w:rsidR="004A157C" w:rsidRPr="006B4C8C">
        <w:rPr>
          <w:szCs w:val="24"/>
        </w:rPr>
        <w:t>spojených s realizací projektu</w:t>
      </w:r>
      <w:r w:rsidR="00D5601E" w:rsidRPr="000D53C8">
        <w:rPr>
          <w:szCs w:val="24"/>
        </w:rPr>
        <w:t>.</w:t>
      </w:r>
      <w:r w:rsidR="004A157C" w:rsidRPr="000D53C8">
        <w:rPr>
          <w:szCs w:val="24"/>
        </w:rPr>
        <w:t xml:space="preserve"> </w:t>
      </w:r>
    </w:p>
    <w:p w14:paraId="39C15967" w14:textId="77777777" w:rsidR="006146A6" w:rsidRPr="000D53C8" w:rsidRDefault="00897828" w:rsidP="006146A6">
      <w:pPr>
        <w:pStyle w:val="Zkladntext"/>
        <w:numPr>
          <w:ilvl w:val="0"/>
          <w:numId w:val="2"/>
        </w:numPr>
        <w:tabs>
          <w:tab w:val="clear" w:pos="360"/>
          <w:tab w:val="num" w:pos="426"/>
        </w:tabs>
        <w:spacing w:after="60"/>
        <w:ind w:left="426" w:hanging="426"/>
        <w:rPr>
          <w:szCs w:val="24"/>
        </w:rPr>
      </w:pPr>
      <w:r w:rsidRPr="000D53C8">
        <w:rPr>
          <w:szCs w:val="24"/>
        </w:rPr>
        <w:t>Změnu podmínek čerpání dotace lze provádět pouze na základě dodatku ke smlouvě. O</w:t>
      </w:r>
      <w:r w:rsidR="004A2778" w:rsidRPr="000D53C8">
        <w:rPr>
          <w:szCs w:val="24"/>
        </w:rPr>
        <w:t> </w:t>
      </w:r>
      <w:r w:rsidRPr="000D53C8">
        <w:rPr>
          <w:szCs w:val="24"/>
        </w:rPr>
        <w:t>změnu příjemce písemně, včetně odůvodnění, požádá poskytovatele prostřednictvím Odboru sociálních služeb MMP, Martinská 2, Plzeň</w:t>
      </w:r>
      <w:r w:rsidR="00574936" w:rsidRPr="000D53C8">
        <w:rPr>
          <w:szCs w:val="24"/>
        </w:rPr>
        <w:t>,</w:t>
      </w:r>
      <w:r w:rsidRPr="000D53C8">
        <w:rPr>
          <w:szCs w:val="24"/>
        </w:rPr>
        <w:t xml:space="preserve"> nejpozději do 31. října 20</w:t>
      </w:r>
      <w:r w:rsidR="00F15522" w:rsidRPr="000D53C8">
        <w:rPr>
          <w:szCs w:val="24"/>
        </w:rPr>
        <w:t>2</w:t>
      </w:r>
      <w:r w:rsidR="00C55D7E" w:rsidRPr="000D53C8">
        <w:rPr>
          <w:szCs w:val="24"/>
        </w:rPr>
        <w:t>2</w:t>
      </w:r>
      <w:r w:rsidRPr="000D53C8">
        <w:rPr>
          <w:szCs w:val="24"/>
        </w:rPr>
        <w:t xml:space="preserve">. </w:t>
      </w:r>
      <w:r w:rsidR="00A42BA0" w:rsidRPr="000D53C8">
        <w:rPr>
          <w:szCs w:val="24"/>
        </w:rPr>
        <w:t xml:space="preserve"> </w:t>
      </w:r>
    </w:p>
    <w:p w14:paraId="498F8FDF" w14:textId="77777777" w:rsidR="0089518C" w:rsidRDefault="0089518C" w:rsidP="006146A6">
      <w:pPr>
        <w:pStyle w:val="Zkladntext"/>
        <w:numPr>
          <w:ilvl w:val="0"/>
          <w:numId w:val="2"/>
        </w:numPr>
        <w:tabs>
          <w:tab w:val="clear" w:pos="360"/>
          <w:tab w:val="num" w:pos="426"/>
        </w:tabs>
        <w:spacing w:after="60"/>
        <w:ind w:left="426" w:hanging="426"/>
        <w:rPr>
          <w:szCs w:val="24"/>
        </w:rPr>
      </w:pPr>
      <w:r w:rsidRPr="000D53C8">
        <w:rPr>
          <w:szCs w:val="24"/>
        </w:rPr>
        <w:t xml:space="preserve">Uznatelnými výdaji projektu jsou takové, které splňují všechny níže uvedené podmínky: </w:t>
      </w:r>
    </w:p>
    <w:p w14:paraId="238F347B" w14:textId="77777777" w:rsidR="0063738B" w:rsidRPr="0063738B" w:rsidRDefault="0063738B" w:rsidP="0063738B">
      <w:pPr>
        <w:pStyle w:val="Zkladntext"/>
        <w:numPr>
          <w:ilvl w:val="1"/>
          <w:numId w:val="2"/>
        </w:numPr>
        <w:spacing w:after="60"/>
        <w:rPr>
          <w:szCs w:val="24"/>
        </w:rPr>
      </w:pPr>
      <w:r w:rsidRPr="0063738B">
        <w:rPr>
          <w:szCs w:val="24"/>
        </w:rPr>
        <w:t xml:space="preserve">jsou vynaloženy v souladu s účelovým určením dle čl. III. této smlouvy a ostatními podmínkami této smlouvy, Zásadami a právními předpisy České republiky; </w:t>
      </w:r>
    </w:p>
    <w:p w14:paraId="47DD1DB0" w14:textId="77777777" w:rsidR="0063738B" w:rsidRPr="0063738B" w:rsidRDefault="0063738B" w:rsidP="0063738B">
      <w:pPr>
        <w:pStyle w:val="Zkladntext"/>
        <w:numPr>
          <w:ilvl w:val="1"/>
          <w:numId w:val="2"/>
        </w:numPr>
        <w:spacing w:after="60"/>
        <w:rPr>
          <w:szCs w:val="24"/>
        </w:rPr>
      </w:pPr>
      <w:r w:rsidRPr="0063738B">
        <w:rPr>
          <w:szCs w:val="24"/>
        </w:rPr>
        <w:t>jsou uvedeny v čl. IV. odst. 3.;</w:t>
      </w:r>
    </w:p>
    <w:p w14:paraId="08C8BBF6" w14:textId="355E18FD" w:rsidR="0063738B" w:rsidRPr="0063738B" w:rsidRDefault="0063738B" w:rsidP="0063738B">
      <w:pPr>
        <w:pStyle w:val="Zkladntext"/>
        <w:numPr>
          <w:ilvl w:val="1"/>
          <w:numId w:val="2"/>
        </w:numPr>
        <w:spacing w:after="60"/>
        <w:rPr>
          <w:szCs w:val="24"/>
        </w:rPr>
      </w:pPr>
      <w:r w:rsidRPr="0063738B">
        <w:rPr>
          <w:szCs w:val="24"/>
        </w:rPr>
        <w:t>vznikly a byly příjemcem uhrazeny v období realizace projektu dle čl. III. odst. 3., s</w:t>
      </w:r>
      <w:r w:rsidR="00844B86">
        <w:rPr>
          <w:szCs w:val="24"/>
        </w:rPr>
        <w:t> </w:t>
      </w:r>
      <w:r w:rsidRPr="0063738B">
        <w:rPr>
          <w:szCs w:val="24"/>
        </w:rPr>
        <w:t>výjimkou úhrady osobních nákladů vztahující se k prosinci, které lze uhradit do</w:t>
      </w:r>
      <w:r w:rsidR="00BD1CBE">
        <w:rPr>
          <w:szCs w:val="24"/>
        </w:rPr>
        <w:t> </w:t>
      </w:r>
      <w:r w:rsidRPr="0063738B">
        <w:rPr>
          <w:szCs w:val="24"/>
        </w:rPr>
        <w:t>15.</w:t>
      </w:r>
      <w:r w:rsidR="00BD1CBE">
        <w:rPr>
          <w:szCs w:val="24"/>
        </w:rPr>
        <w:t> </w:t>
      </w:r>
      <w:r w:rsidRPr="0063738B">
        <w:rPr>
          <w:szCs w:val="24"/>
        </w:rPr>
        <w:t>ledna 2023.</w:t>
      </w:r>
    </w:p>
    <w:p w14:paraId="17DF89BC" w14:textId="3C48C0FC" w:rsidR="0063738B" w:rsidRPr="00657274" w:rsidRDefault="0063738B" w:rsidP="0063738B">
      <w:pPr>
        <w:pStyle w:val="Zkladntext"/>
        <w:numPr>
          <w:ilvl w:val="0"/>
          <w:numId w:val="2"/>
        </w:numPr>
        <w:spacing w:after="60"/>
        <w:rPr>
          <w:szCs w:val="24"/>
        </w:rPr>
      </w:pPr>
      <w:r w:rsidRPr="00657274">
        <w:rPr>
          <w:szCs w:val="24"/>
        </w:rPr>
        <w:t xml:space="preserve">Příjemce je povinen vést písemné záznamy o realizaci projektu tak, aby mohl doložit </w:t>
      </w:r>
      <w:r>
        <w:rPr>
          <w:szCs w:val="24"/>
        </w:rPr>
        <w:t xml:space="preserve">celkový počet klientů, kteří projekt využili </w:t>
      </w:r>
      <w:r w:rsidR="00661C3D">
        <w:rPr>
          <w:szCs w:val="24"/>
        </w:rPr>
        <w:t xml:space="preserve">v souvislosti s </w:t>
      </w:r>
      <w:r w:rsidR="00661C3D" w:rsidRPr="006B4C8C">
        <w:rPr>
          <w:szCs w:val="24"/>
        </w:rPr>
        <w:t xml:space="preserve">poskytovanou </w:t>
      </w:r>
      <w:r w:rsidR="004E55F1">
        <w:rPr>
          <w:szCs w:val="24"/>
        </w:rPr>
        <w:t>sociální službou (</w:t>
      </w:r>
      <w:r w:rsidR="005A1556" w:rsidRPr="005A1556">
        <w:rPr>
          <w:i/>
          <w:szCs w:val="24"/>
        </w:rPr>
        <w:t>týdenní stacionáře, identifikátor: 6093131</w:t>
      </w:r>
      <w:r w:rsidR="005A1556">
        <w:rPr>
          <w:szCs w:val="24"/>
        </w:rPr>
        <w:t>)</w:t>
      </w:r>
      <w:r w:rsidR="006B4C8C">
        <w:rPr>
          <w:szCs w:val="24"/>
        </w:rPr>
        <w:t>.</w:t>
      </w:r>
    </w:p>
    <w:p w14:paraId="75B3C211" w14:textId="10624127" w:rsidR="0063738B" w:rsidRPr="0063738B" w:rsidRDefault="0063738B" w:rsidP="0063738B">
      <w:pPr>
        <w:pStyle w:val="Odstavecseseznamem"/>
        <w:spacing w:before="60"/>
        <w:ind w:left="360"/>
        <w:jc w:val="both"/>
        <w:rPr>
          <w:rFonts w:ascii="Garamond" w:hAnsi="Garamond"/>
        </w:rPr>
      </w:pPr>
      <w:r w:rsidRPr="008D12B3">
        <w:rPr>
          <w:rFonts w:ascii="Garamond" w:hAnsi="Garamond"/>
          <w:sz w:val="24"/>
          <w:szCs w:val="24"/>
        </w:rPr>
        <w:t>Nesplnění této podmínky je považováno za porušení méně závažné povinnosti ve smyslu ustanovení §</w:t>
      </w:r>
      <w:r w:rsidR="00BD1CBE">
        <w:rPr>
          <w:rFonts w:ascii="Garamond" w:hAnsi="Garamond"/>
          <w:sz w:val="24"/>
          <w:szCs w:val="24"/>
        </w:rPr>
        <w:t xml:space="preserve"> </w:t>
      </w:r>
      <w:r w:rsidRPr="008D12B3">
        <w:rPr>
          <w:rFonts w:ascii="Garamond" w:hAnsi="Garamond"/>
          <w:sz w:val="24"/>
          <w:szCs w:val="24"/>
        </w:rPr>
        <w:t xml:space="preserve">22 odst. 5 zákona č. 250/2000 Sb. Odvod za toto porušení rozpočtové kázně </w:t>
      </w:r>
      <w:r>
        <w:rPr>
          <w:rFonts w:ascii="Garamond" w:hAnsi="Garamond"/>
          <w:sz w:val="24"/>
          <w:szCs w:val="24"/>
        </w:rPr>
        <w:br/>
      </w:r>
      <w:r w:rsidRPr="008D12B3">
        <w:rPr>
          <w:rFonts w:ascii="Garamond" w:hAnsi="Garamond"/>
          <w:sz w:val="24"/>
          <w:szCs w:val="24"/>
        </w:rPr>
        <w:t>se stanoví ve výši 0,5</w:t>
      </w:r>
      <w:r>
        <w:rPr>
          <w:rFonts w:ascii="Garamond" w:hAnsi="Garamond"/>
          <w:sz w:val="24"/>
          <w:szCs w:val="24"/>
        </w:rPr>
        <w:t xml:space="preserve"> </w:t>
      </w:r>
      <w:r w:rsidRPr="008D12B3">
        <w:rPr>
          <w:rFonts w:ascii="Garamond" w:hAnsi="Garamond"/>
          <w:sz w:val="24"/>
          <w:szCs w:val="24"/>
        </w:rPr>
        <w:t>% z přidělené dotace za každý jednotlivý případ.</w:t>
      </w:r>
    </w:p>
    <w:p w14:paraId="0C28FF0A" w14:textId="77777777" w:rsidR="00F23B8B" w:rsidRPr="000D53C8" w:rsidRDefault="00F23B8B" w:rsidP="00FA7CB4">
      <w:pPr>
        <w:spacing w:after="60"/>
        <w:jc w:val="both"/>
        <w:rPr>
          <w:rFonts w:ascii="Garamond" w:hAnsi="Garamond"/>
          <w:sz w:val="24"/>
          <w:szCs w:val="24"/>
        </w:rPr>
      </w:pPr>
    </w:p>
    <w:p w14:paraId="1BCCD5A9" w14:textId="77777777" w:rsidR="0089518C" w:rsidRPr="000D53C8" w:rsidRDefault="0089518C" w:rsidP="00F23B8B">
      <w:pPr>
        <w:pStyle w:val="Nadpis3"/>
        <w:numPr>
          <w:ilvl w:val="0"/>
          <w:numId w:val="25"/>
        </w:numPr>
        <w:rPr>
          <w:rFonts w:ascii="Garamond" w:hAnsi="Garamond"/>
          <w:b/>
        </w:rPr>
      </w:pPr>
      <w:r w:rsidRPr="000D53C8">
        <w:rPr>
          <w:rFonts w:ascii="Garamond" w:hAnsi="Garamond"/>
          <w:b/>
          <w:color w:val="auto"/>
        </w:rPr>
        <w:t>PLATEBNÍ PODMÍNKY</w:t>
      </w:r>
    </w:p>
    <w:p w14:paraId="1C2D829F" w14:textId="77777777" w:rsidR="0089518C" w:rsidRPr="000D53C8" w:rsidRDefault="0089518C" w:rsidP="00B67299">
      <w:pPr>
        <w:jc w:val="center"/>
        <w:rPr>
          <w:rFonts w:ascii="Garamond" w:hAnsi="Garamond"/>
          <w:b/>
          <w:sz w:val="24"/>
          <w:szCs w:val="24"/>
        </w:rPr>
      </w:pPr>
    </w:p>
    <w:p w14:paraId="18F8D984" w14:textId="77777777" w:rsidR="0089518C" w:rsidRPr="000D53C8" w:rsidRDefault="00D5601E" w:rsidP="001A7A3D">
      <w:pPr>
        <w:pStyle w:val="Zkladntext"/>
        <w:spacing w:after="60"/>
        <w:ind w:left="426"/>
        <w:rPr>
          <w:szCs w:val="24"/>
        </w:rPr>
      </w:pPr>
      <w:r w:rsidRPr="000D53C8">
        <w:rPr>
          <w:szCs w:val="24"/>
        </w:rPr>
        <w:t>Strany se dohodly, že poskytovatel poskytne v roce 20</w:t>
      </w:r>
      <w:r w:rsidR="00F15522" w:rsidRPr="000D53C8">
        <w:rPr>
          <w:szCs w:val="24"/>
        </w:rPr>
        <w:t>2</w:t>
      </w:r>
      <w:r w:rsidR="00C55D7E" w:rsidRPr="000D53C8">
        <w:rPr>
          <w:szCs w:val="24"/>
        </w:rPr>
        <w:t>2</w:t>
      </w:r>
      <w:r w:rsidRPr="000D53C8">
        <w:rPr>
          <w:szCs w:val="24"/>
        </w:rPr>
        <w:t xml:space="preserve"> na účet příjemce dotaci dle čl. III. odst. 1. této smlouvy jednorázově, do 15 dní od nabytí účinnosti této smlouvy.</w:t>
      </w:r>
    </w:p>
    <w:p w14:paraId="1DBD68EF" w14:textId="77777777" w:rsidR="00BB0CAC" w:rsidRPr="000D53C8" w:rsidRDefault="00BB0CAC" w:rsidP="001A7A3D">
      <w:pPr>
        <w:pStyle w:val="Zkladntext"/>
        <w:spacing w:after="60"/>
        <w:ind w:left="426"/>
        <w:rPr>
          <w:szCs w:val="24"/>
        </w:rPr>
      </w:pPr>
    </w:p>
    <w:p w14:paraId="066F5359" w14:textId="77777777" w:rsidR="0089518C" w:rsidRPr="000D53C8" w:rsidRDefault="0089518C" w:rsidP="00F23B8B">
      <w:pPr>
        <w:pStyle w:val="Nadpis3"/>
        <w:numPr>
          <w:ilvl w:val="0"/>
          <w:numId w:val="25"/>
        </w:numPr>
        <w:rPr>
          <w:rFonts w:ascii="Garamond" w:hAnsi="Garamond"/>
          <w:b/>
          <w:color w:val="auto"/>
        </w:rPr>
      </w:pPr>
      <w:r w:rsidRPr="000D53C8">
        <w:rPr>
          <w:rFonts w:ascii="Garamond" w:hAnsi="Garamond"/>
          <w:b/>
          <w:color w:val="auto"/>
        </w:rPr>
        <w:t>VYÚČTOVÁNÍ DOTACE</w:t>
      </w:r>
    </w:p>
    <w:p w14:paraId="77DD2B7C" w14:textId="77777777" w:rsidR="00157E98" w:rsidRPr="000D53C8" w:rsidRDefault="00157E98" w:rsidP="00157E98">
      <w:pPr>
        <w:rPr>
          <w:sz w:val="24"/>
          <w:szCs w:val="24"/>
        </w:rPr>
      </w:pPr>
    </w:p>
    <w:p w14:paraId="7ADA300D" w14:textId="02D84ADA" w:rsidR="00157E98" w:rsidRPr="000D53C8" w:rsidRDefault="006F573E" w:rsidP="00157E98">
      <w:pPr>
        <w:pStyle w:val="Zkladntext"/>
        <w:numPr>
          <w:ilvl w:val="0"/>
          <w:numId w:val="10"/>
        </w:numPr>
        <w:spacing w:after="60"/>
        <w:rPr>
          <w:szCs w:val="24"/>
        </w:rPr>
      </w:pPr>
      <w:r w:rsidRPr="000D53C8">
        <w:rPr>
          <w:szCs w:val="24"/>
        </w:rPr>
        <w:t xml:space="preserve">Příjemce je povinen zpracovat Závěrečnou zprávu o využití dotace na předepsaném formuláři, který byl zveřejněn na webové stránce </w:t>
      </w:r>
      <w:hyperlink r:id="rId9" w:history="1">
        <w:r w:rsidR="004A2778" w:rsidRPr="000D53C8">
          <w:rPr>
            <w:rStyle w:val="Hypertextovodkaz"/>
            <w:szCs w:val="24"/>
          </w:rPr>
          <w:t>https://socialnisluzby.plzen.eu/</w:t>
        </w:r>
      </w:hyperlink>
      <w:r w:rsidRPr="000D53C8">
        <w:rPr>
          <w:szCs w:val="24"/>
        </w:rPr>
        <w:t>.</w:t>
      </w:r>
      <w:r w:rsidR="00157E98" w:rsidRPr="000D53C8">
        <w:rPr>
          <w:szCs w:val="24"/>
        </w:rPr>
        <w:t xml:space="preserve"> Závěrečnou zprávu v tištěné podobě, včetně všech povinných příloh a podepsanou statutárním zástupcem, je příjemce povinen odevzdat na</w:t>
      </w:r>
      <w:r w:rsidR="00AC5323" w:rsidRPr="000D53C8">
        <w:rPr>
          <w:szCs w:val="24"/>
        </w:rPr>
        <w:t> </w:t>
      </w:r>
      <w:r w:rsidR="00157E98" w:rsidRPr="000D53C8">
        <w:rPr>
          <w:szCs w:val="24"/>
        </w:rPr>
        <w:t xml:space="preserve">Odbor sociálních služeb MMP, Martinská 2, Plzeň nejpozději do </w:t>
      </w:r>
      <w:r w:rsidR="00157E98" w:rsidRPr="000D53C8">
        <w:rPr>
          <w:b/>
          <w:szCs w:val="24"/>
        </w:rPr>
        <w:t>31. ledna 202</w:t>
      </w:r>
      <w:r w:rsidR="00C55D7E" w:rsidRPr="000D53C8">
        <w:rPr>
          <w:b/>
          <w:szCs w:val="24"/>
        </w:rPr>
        <w:t>3</w:t>
      </w:r>
      <w:r w:rsidR="00157E98" w:rsidRPr="000D53C8">
        <w:rPr>
          <w:b/>
          <w:szCs w:val="24"/>
        </w:rPr>
        <w:t>.</w:t>
      </w:r>
      <w:r w:rsidR="00157E98" w:rsidRPr="000D53C8">
        <w:rPr>
          <w:szCs w:val="24"/>
        </w:rPr>
        <w:t xml:space="preserve"> K Závěrečné zprávě je nutné přiložit sestavu analytické evidence dokladů prokazující čerpání dotace (vygenerovaná sestava z účetního programu) – dále jen „kompletní vyúčtování“. </w:t>
      </w:r>
    </w:p>
    <w:p w14:paraId="1F72543E" w14:textId="77777777" w:rsidR="00157E98" w:rsidRPr="000D53C8" w:rsidRDefault="00157E98" w:rsidP="00157E98">
      <w:pPr>
        <w:pStyle w:val="Zkladntext"/>
        <w:spacing w:after="60"/>
        <w:ind w:left="426"/>
        <w:rPr>
          <w:szCs w:val="24"/>
        </w:rPr>
      </w:pPr>
      <w:r w:rsidRPr="000D53C8">
        <w:rPr>
          <w:szCs w:val="24"/>
        </w:rPr>
        <w:t>V případě, že Závěrečná zpráva není podána na správném formuláři nebo neobsahuje všechny povinné přílohy, stanovené v tomto článku, jedná se o nesplnění podmínky předložení kompletního vyúčtování v termínu, uvedeném ve smlouvě a je to považováno za porušení méně závažné povinnosti ve smyslu ustanovení § 22 odst. 5 zákona č. 250/2000 Sb., o</w:t>
      </w:r>
      <w:r w:rsidR="004A2778" w:rsidRPr="000D53C8">
        <w:rPr>
          <w:szCs w:val="24"/>
        </w:rPr>
        <w:t> </w:t>
      </w:r>
      <w:r w:rsidRPr="000D53C8">
        <w:rPr>
          <w:szCs w:val="24"/>
        </w:rPr>
        <w:t>rozpočtových pravidlech územních rozpočtů, v platném znění. Odvod za tato porušení rozpočtové kázně se stanoví ve výši 1 % z poskytnuté dotace na danou službu za každý den prodlení (maximálně však do výše poskytnutí finančních prostředků).</w:t>
      </w:r>
    </w:p>
    <w:p w14:paraId="00168932" w14:textId="77777777" w:rsidR="00157E98" w:rsidRPr="000D53C8" w:rsidRDefault="00157E98" w:rsidP="004A2778">
      <w:pPr>
        <w:pStyle w:val="Zkladntext"/>
        <w:numPr>
          <w:ilvl w:val="0"/>
          <w:numId w:val="10"/>
        </w:numPr>
        <w:spacing w:after="60"/>
        <w:ind w:left="426" w:hanging="426"/>
        <w:rPr>
          <w:szCs w:val="24"/>
        </w:rPr>
      </w:pPr>
      <w:r w:rsidRPr="000D53C8">
        <w:rPr>
          <w:szCs w:val="24"/>
        </w:rPr>
        <w:lastRenderedPageBreak/>
        <w:t xml:space="preserve">Příjemce se zavazuje do </w:t>
      </w:r>
      <w:r w:rsidRPr="000D53C8">
        <w:rPr>
          <w:b/>
          <w:szCs w:val="24"/>
        </w:rPr>
        <w:t>15. ledna 202</w:t>
      </w:r>
      <w:r w:rsidR="00C55D7E" w:rsidRPr="000D53C8">
        <w:rPr>
          <w:b/>
          <w:szCs w:val="24"/>
        </w:rPr>
        <w:t>3</w:t>
      </w:r>
      <w:r w:rsidRPr="000D53C8">
        <w:rPr>
          <w:b/>
          <w:szCs w:val="24"/>
        </w:rPr>
        <w:t xml:space="preserve"> </w:t>
      </w:r>
      <w:r w:rsidRPr="000D53C8">
        <w:rPr>
          <w:szCs w:val="24"/>
        </w:rPr>
        <w:t xml:space="preserve">informovat písemně poskytovatele na </w:t>
      </w:r>
      <w:r w:rsidRPr="000D53C8">
        <w:rPr>
          <w:rStyle w:val="apple-style-span"/>
          <w:szCs w:val="24"/>
        </w:rPr>
        <w:t xml:space="preserve">e-mail: </w:t>
      </w:r>
      <w:hyperlink r:id="rId10" w:history="1">
        <w:r w:rsidRPr="000D53C8">
          <w:rPr>
            <w:rStyle w:val="Hypertextovodkaz"/>
            <w:szCs w:val="24"/>
          </w:rPr>
          <w:t>socialnisluzby@plzen.eu</w:t>
        </w:r>
      </w:hyperlink>
      <w:r w:rsidRPr="000D53C8">
        <w:rPr>
          <w:szCs w:val="24"/>
        </w:rPr>
        <w:t>, o výši dotace, která byla vyčerpána v souladu se smlouvou.</w:t>
      </w:r>
    </w:p>
    <w:p w14:paraId="7B99FF41" w14:textId="720A0323" w:rsidR="00157E98" w:rsidRDefault="00157E98" w:rsidP="004A2778">
      <w:pPr>
        <w:pStyle w:val="Zkladntext"/>
        <w:ind w:left="426"/>
        <w:rPr>
          <w:szCs w:val="24"/>
        </w:rPr>
      </w:pPr>
      <w:r w:rsidRPr="000D53C8">
        <w:rPr>
          <w:szCs w:val="24"/>
        </w:rPr>
        <w:t>Nesplnění této podmínky je považováno za porušení méně závažné povinnosti ve smyslu ustanovení § 22 odst. 5 zákona č. 250/2000 Sb., o rozpočtových pravidlech územních rozpočtů, v platném znění. Odvod za toto porušení rozpočtové kázně se stanovuje ve výši 0,5</w:t>
      </w:r>
      <w:r w:rsidR="004A2778" w:rsidRPr="000D53C8">
        <w:rPr>
          <w:szCs w:val="24"/>
        </w:rPr>
        <w:t> </w:t>
      </w:r>
      <w:r w:rsidRPr="000D53C8">
        <w:rPr>
          <w:szCs w:val="24"/>
        </w:rPr>
        <w:t>% z poskytnuté dotace na danou službu za každý den prodlení (maximálně však do výše poskytnutí finančních prostředků).</w:t>
      </w:r>
    </w:p>
    <w:p w14:paraId="05275579" w14:textId="77777777" w:rsidR="000C21E6" w:rsidRPr="000D53C8" w:rsidRDefault="000C21E6" w:rsidP="004A2778">
      <w:pPr>
        <w:pStyle w:val="Zkladntext"/>
        <w:ind w:left="426"/>
        <w:rPr>
          <w:szCs w:val="24"/>
        </w:rPr>
      </w:pPr>
    </w:p>
    <w:p w14:paraId="5DE25461" w14:textId="3B0DEA46" w:rsidR="00157E98" w:rsidRDefault="006479DF" w:rsidP="00157E98">
      <w:pPr>
        <w:pStyle w:val="Nadpis3"/>
        <w:numPr>
          <w:ilvl w:val="0"/>
          <w:numId w:val="25"/>
        </w:numPr>
        <w:rPr>
          <w:rFonts w:ascii="Garamond" w:hAnsi="Garamond"/>
          <w:b/>
          <w:color w:val="auto"/>
        </w:rPr>
      </w:pPr>
      <w:r w:rsidRPr="000D53C8">
        <w:rPr>
          <w:rFonts w:ascii="Garamond" w:hAnsi="Garamond"/>
          <w:b/>
          <w:color w:val="auto"/>
        </w:rPr>
        <w:t>VRÁCENÍ DOTACE</w:t>
      </w:r>
    </w:p>
    <w:p w14:paraId="1FE15EAA" w14:textId="77777777" w:rsidR="00D9576A" w:rsidRPr="00D9576A" w:rsidRDefault="00D9576A" w:rsidP="00D9576A"/>
    <w:p w14:paraId="4ECBE6C7" w14:textId="77777777" w:rsidR="00157E98" w:rsidRPr="000D53C8" w:rsidRDefault="00157E98" w:rsidP="00157E98">
      <w:pPr>
        <w:pStyle w:val="Zkladntextodsazen2"/>
        <w:numPr>
          <w:ilvl w:val="0"/>
          <w:numId w:val="3"/>
        </w:numPr>
        <w:ind w:left="284" w:hanging="284"/>
        <w:rPr>
          <w:rFonts w:ascii="Garamond" w:hAnsi="Garamond"/>
          <w:szCs w:val="24"/>
        </w:rPr>
      </w:pPr>
      <w:r w:rsidRPr="000D53C8">
        <w:rPr>
          <w:rFonts w:ascii="Garamond" w:hAnsi="Garamond"/>
          <w:szCs w:val="24"/>
        </w:rPr>
        <w:t>Příjemce je povinen poskytnuté finanční prostředky nebo jejich část vrátit na účet poskytovatele i bez písemné výzvy poskytovatele:</w:t>
      </w:r>
    </w:p>
    <w:p w14:paraId="7F613C74" w14:textId="77777777" w:rsidR="00157E98" w:rsidRPr="000D53C8" w:rsidRDefault="00157E98" w:rsidP="00D9576A">
      <w:pPr>
        <w:pStyle w:val="Zkladntextodsazen2"/>
        <w:numPr>
          <w:ilvl w:val="0"/>
          <w:numId w:val="20"/>
        </w:numPr>
        <w:rPr>
          <w:rFonts w:ascii="Garamond" w:hAnsi="Garamond"/>
          <w:szCs w:val="24"/>
        </w:rPr>
      </w:pPr>
      <w:r w:rsidRPr="000D53C8">
        <w:rPr>
          <w:rFonts w:ascii="Garamond" w:hAnsi="Garamond"/>
          <w:szCs w:val="24"/>
        </w:rPr>
        <w:t>z důvodu překážek, bránících v realizaci projektu: neprodleně, nejpozději do termínu zahájení projektu;</w:t>
      </w:r>
    </w:p>
    <w:p w14:paraId="50591803" w14:textId="77777777" w:rsidR="00157E98" w:rsidRPr="000D53C8" w:rsidRDefault="00157E98" w:rsidP="00D9576A">
      <w:pPr>
        <w:pStyle w:val="Zkladntextodsazen2"/>
        <w:numPr>
          <w:ilvl w:val="0"/>
          <w:numId w:val="20"/>
        </w:numPr>
        <w:rPr>
          <w:rFonts w:ascii="Garamond" w:hAnsi="Garamond"/>
          <w:szCs w:val="24"/>
        </w:rPr>
      </w:pPr>
      <w:r w:rsidRPr="000D53C8">
        <w:rPr>
          <w:rFonts w:ascii="Garamond" w:hAnsi="Garamond"/>
          <w:szCs w:val="24"/>
        </w:rPr>
        <w:t>z důvodu zastavení projektu po jeho zahájení: v termínu do 30 dnů od vzniku této skutečnosti;</w:t>
      </w:r>
    </w:p>
    <w:p w14:paraId="04FB1E42" w14:textId="3DB48B17" w:rsidR="00157E98" w:rsidRPr="00212A0A" w:rsidRDefault="00157E98" w:rsidP="00D9576A">
      <w:pPr>
        <w:pStyle w:val="Zkladntextodsazen2"/>
        <w:numPr>
          <w:ilvl w:val="0"/>
          <w:numId w:val="20"/>
        </w:numPr>
        <w:rPr>
          <w:rFonts w:ascii="Garamond" w:hAnsi="Garamond"/>
          <w:szCs w:val="24"/>
        </w:rPr>
      </w:pPr>
      <w:r w:rsidRPr="000D53C8">
        <w:rPr>
          <w:rFonts w:ascii="Garamond" w:hAnsi="Garamond"/>
          <w:szCs w:val="24"/>
        </w:rPr>
        <w:t xml:space="preserve">z důvodu nevyčerpání prostředků v období realizace projektu: neprodleně, nejpozději </w:t>
      </w:r>
      <w:r w:rsidRPr="00212A0A">
        <w:rPr>
          <w:rFonts w:ascii="Garamond" w:hAnsi="Garamond"/>
          <w:szCs w:val="24"/>
        </w:rPr>
        <w:t>v termínu pro vyúčtování dotace</w:t>
      </w:r>
      <w:r w:rsidR="00212A0A" w:rsidRPr="00212A0A">
        <w:rPr>
          <w:rFonts w:ascii="Garamond" w:hAnsi="Garamond"/>
          <w:szCs w:val="24"/>
        </w:rPr>
        <w:t>;</w:t>
      </w:r>
    </w:p>
    <w:p w14:paraId="5248D16A" w14:textId="04225610" w:rsidR="00212A0A" w:rsidRPr="00212A0A" w:rsidRDefault="00212A0A" w:rsidP="00212A0A">
      <w:pPr>
        <w:pStyle w:val="Zkladntextodsazen2"/>
        <w:numPr>
          <w:ilvl w:val="0"/>
          <w:numId w:val="20"/>
        </w:numPr>
        <w:shd w:val="clear" w:color="auto" w:fill="FFFFFF" w:themeFill="background1"/>
        <w:rPr>
          <w:rFonts w:ascii="Garamond" w:hAnsi="Garamond"/>
          <w:szCs w:val="24"/>
        </w:rPr>
      </w:pPr>
      <w:r w:rsidRPr="00212A0A">
        <w:rPr>
          <w:rFonts w:ascii="Garamond" w:hAnsi="Garamond"/>
        </w:rPr>
        <w:t>na základě rozhodnutí Evropské komise dle č. VIII. odst. 3 této smlouvy.</w:t>
      </w:r>
    </w:p>
    <w:p w14:paraId="30C4846C" w14:textId="77777777" w:rsidR="00157E98" w:rsidRPr="000D53C8" w:rsidRDefault="00157E98" w:rsidP="00AC5323">
      <w:pPr>
        <w:pStyle w:val="Zkladntextodsazen2"/>
        <w:numPr>
          <w:ilvl w:val="0"/>
          <w:numId w:val="3"/>
        </w:numPr>
        <w:ind w:left="284" w:hanging="284"/>
        <w:rPr>
          <w:rFonts w:ascii="Garamond" w:hAnsi="Garamond"/>
          <w:szCs w:val="24"/>
        </w:rPr>
      </w:pPr>
      <w:r w:rsidRPr="000D53C8">
        <w:rPr>
          <w:rFonts w:ascii="Garamond" w:hAnsi="Garamond"/>
          <w:szCs w:val="24"/>
        </w:rPr>
        <w:t>V průběhu roku, na který byla dotace určena, se nevyčerpané finanční prostředky vrací na</w:t>
      </w:r>
      <w:r w:rsidR="00AC5323" w:rsidRPr="000D53C8">
        <w:rPr>
          <w:rFonts w:ascii="Garamond" w:hAnsi="Garamond"/>
          <w:szCs w:val="24"/>
        </w:rPr>
        <w:t> </w:t>
      </w:r>
      <w:r w:rsidRPr="000D53C8">
        <w:rPr>
          <w:rFonts w:ascii="Garamond" w:hAnsi="Garamond"/>
          <w:szCs w:val="24"/>
        </w:rPr>
        <w:t>bankovní účet č. 1120311/0100, jako variabilní symbol se uvádí IČ organizace. Po skončení roku, na který byla dotace určena, se nevyčerpané finanční prostředky vrací na bankovní účet č.</w:t>
      </w:r>
      <w:r w:rsidR="00AC5323" w:rsidRPr="000D53C8">
        <w:rPr>
          <w:rFonts w:ascii="Garamond" w:hAnsi="Garamond"/>
          <w:szCs w:val="24"/>
        </w:rPr>
        <w:t> </w:t>
      </w:r>
      <w:r w:rsidRPr="000D53C8">
        <w:rPr>
          <w:rFonts w:ascii="Garamond" w:hAnsi="Garamond"/>
          <w:szCs w:val="24"/>
        </w:rPr>
        <w:t xml:space="preserve">19-1120311/0100, pro vygenerování variabilního symbolu je příjemce povinen kontaktovat Odbor sociálních služeb MMP. </w:t>
      </w:r>
    </w:p>
    <w:p w14:paraId="7E18F0C8" w14:textId="77777777" w:rsidR="00157E98" w:rsidRPr="000D53C8" w:rsidRDefault="00157E98" w:rsidP="00157E98">
      <w:pPr>
        <w:pStyle w:val="Zkladntextodsazen2"/>
        <w:numPr>
          <w:ilvl w:val="0"/>
          <w:numId w:val="3"/>
        </w:numPr>
        <w:ind w:left="284" w:hanging="284"/>
        <w:rPr>
          <w:rFonts w:ascii="Garamond" w:hAnsi="Garamond"/>
          <w:szCs w:val="24"/>
        </w:rPr>
      </w:pPr>
      <w:r w:rsidRPr="000D53C8">
        <w:rPr>
          <w:rFonts w:ascii="Garamond" w:hAnsi="Garamond"/>
          <w:szCs w:val="24"/>
        </w:rPr>
        <w:t>Rozhodným okamžikem vrácení poskytnutých finančních prostředků je den jejich připsání na</w:t>
      </w:r>
      <w:r w:rsidR="00AC5323" w:rsidRPr="000D53C8">
        <w:rPr>
          <w:rFonts w:ascii="Garamond" w:hAnsi="Garamond"/>
          <w:szCs w:val="24"/>
        </w:rPr>
        <w:t> </w:t>
      </w:r>
      <w:r w:rsidRPr="000D53C8">
        <w:rPr>
          <w:rFonts w:ascii="Garamond" w:hAnsi="Garamond"/>
          <w:szCs w:val="24"/>
        </w:rPr>
        <w:t>účet poskytovatele.</w:t>
      </w:r>
    </w:p>
    <w:p w14:paraId="1DDA28C9" w14:textId="77777777" w:rsidR="00EB685A" w:rsidRPr="000D53C8" w:rsidRDefault="00EB685A" w:rsidP="00157E98">
      <w:pPr>
        <w:pStyle w:val="Zkladntextodsazen2"/>
        <w:numPr>
          <w:ilvl w:val="0"/>
          <w:numId w:val="3"/>
        </w:numPr>
        <w:ind w:left="284" w:hanging="284"/>
        <w:rPr>
          <w:rFonts w:ascii="Garamond" w:hAnsi="Garamond"/>
          <w:szCs w:val="24"/>
        </w:rPr>
      </w:pPr>
      <w:r w:rsidRPr="000D53C8">
        <w:rPr>
          <w:rFonts w:ascii="Garamond" w:hAnsi="Garamond"/>
          <w:szCs w:val="24"/>
        </w:rPr>
        <w:t xml:space="preserve">Příjemce je dále povinen dotaci vrátit i v případě, že z jeho strany dojde při průběhu projektu k jakémukoli porušení krizových opatření Vlády ČR a všech dalších mimořádných opatření přijatých v souvislosti s prokázáním výskytu </w:t>
      </w:r>
      <w:proofErr w:type="spellStart"/>
      <w:r w:rsidRPr="000D53C8">
        <w:rPr>
          <w:rFonts w:ascii="Garamond" w:hAnsi="Garamond"/>
          <w:szCs w:val="24"/>
        </w:rPr>
        <w:t>koronaviru</w:t>
      </w:r>
      <w:proofErr w:type="spellEnd"/>
      <w:r w:rsidRPr="000D53C8">
        <w:rPr>
          <w:rFonts w:ascii="Garamond" w:hAnsi="Garamond"/>
          <w:szCs w:val="24"/>
        </w:rPr>
        <w:t xml:space="preserve"> na území ČR, a to za předpokladu, že v době konání projektu budou tato opatření ještě v platnosti.</w:t>
      </w:r>
    </w:p>
    <w:p w14:paraId="555B71DF" w14:textId="77777777" w:rsidR="00157E98" w:rsidRPr="000D53C8" w:rsidRDefault="00157E98" w:rsidP="00157E98">
      <w:pPr>
        <w:rPr>
          <w:sz w:val="24"/>
          <w:szCs w:val="24"/>
        </w:rPr>
      </w:pPr>
    </w:p>
    <w:p w14:paraId="302C6376" w14:textId="23F9746E" w:rsidR="00157E98" w:rsidRDefault="006479DF" w:rsidP="00157E98">
      <w:pPr>
        <w:pStyle w:val="Nadpis3"/>
        <w:numPr>
          <w:ilvl w:val="0"/>
          <w:numId w:val="25"/>
        </w:numPr>
        <w:rPr>
          <w:rFonts w:ascii="Garamond" w:hAnsi="Garamond"/>
          <w:b/>
          <w:color w:val="auto"/>
        </w:rPr>
      </w:pPr>
      <w:r w:rsidRPr="000D53C8">
        <w:rPr>
          <w:rFonts w:ascii="Garamond" w:hAnsi="Garamond"/>
          <w:b/>
          <w:color w:val="auto"/>
        </w:rPr>
        <w:t>DALŠÍ USTANOVENÍ</w:t>
      </w:r>
    </w:p>
    <w:p w14:paraId="33F45D2E" w14:textId="77777777" w:rsidR="00D9576A" w:rsidRPr="00D9576A" w:rsidRDefault="00D9576A" w:rsidP="00D9576A"/>
    <w:p w14:paraId="31F06B7A" w14:textId="77777777" w:rsidR="00157E98" w:rsidRPr="000D53C8" w:rsidRDefault="00157E98" w:rsidP="006479DF">
      <w:pPr>
        <w:pStyle w:val="Odstavecseseznamem"/>
        <w:numPr>
          <w:ilvl w:val="0"/>
          <w:numId w:val="32"/>
        </w:numPr>
        <w:tabs>
          <w:tab w:val="left" w:pos="426"/>
        </w:tabs>
        <w:spacing w:after="60"/>
        <w:jc w:val="both"/>
        <w:rPr>
          <w:rFonts w:ascii="Garamond" w:hAnsi="Garamond"/>
          <w:sz w:val="24"/>
          <w:szCs w:val="24"/>
        </w:rPr>
      </w:pPr>
      <w:r w:rsidRPr="000D53C8">
        <w:rPr>
          <w:rFonts w:ascii="Garamond" w:hAnsi="Garamond"/>
          <w:sz w:val="24"/>
          <w:szCs w:val="24"/>
        </w:rPr>
        <w:t>Příjemce prohlašuje, že nemá vůči městu, jeho organizačním složkám a jeho příspěvkovým organizacím žádné nesplacené závazky po lhůtě splatnosti a že není s městem nebo jeho příspěvkovými organizacemi v soudním sporu – vyjma soudních sporů za zrušení správních rozhodnutí, vydaných v přenesené působnosti.</w:t>
      </w:r>
    </w:p>
    <w:p w14:paraId="6F57F757" w14:textId="7CE2CAD3" w:rsidR="00157E98" w:rsidRDefault="00157E98" w:rsidP="006479DF">
      <w:pPr>
        <w:pStyle w:val="Odstavecseseznamem"/>
        <w:numPr>
          <w:ilvl w:val="0"/>
          <w:numId w:val="32"/>
        </w:numPr>
        <w:tabs>
          <w:tab w:val="left" w:pos="426"/>
        </w:tabs>
        <w:spacing w:after="60"/>
        <w:jc w:val="both"/>
        <w:rPr>
          <w:rFonts w:ascii="Garamond" w:hAnsi="Garamond"/>
          <w:sz w:val="24"/>
          <w:szCs w:val="24"/>
        </w:rPr>
      </w:pPr>
      <w:r w:rsidRPr="000D53C8">
        <w:rPr>
          <w:rFonts w:ascii="Garamond" w:hAnsi="Garamond"/>
          <w:sz w:val="24"/>
          <w:szCs w:val="24"/>
        </w:rPr>
        <w:t>Pokud u příjemce dotace dojde k přeměně jeho právní formy anebo k jeho zrušení dle zákona č. 89/2012 Sb., občanský zákoník, či k jiným změnám souvisejícím s poskytnutím dotace, je příjemce povinen o této skutečnosti informovat poskytovatele do 15 dnů.</w:t>
      </w:r>
    </w:p>
    <w:p w14:paraId="238C0115" w14:textId="50021CDC" w:rsidR="002079FB" w:rsidRPr="002079FB" w:rsidRDefault="002079FB" w:rsidP="00FA7CB4">
      <w:pPr>
        <w:pStyle w:val="Odstavecseseznamem"/>
        <w:numPr>
          <w:ilvl w:val="0"/>
          <w:numId w:val="32"/>
        </w:num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  <w:r w:rsidRPr="00B274E7">
        <w:rPr>
          <w:rFonts w:ascii="Garamond" w:hAnsi="Garamond"/>
          <w:sz w:val="24"/>
          <w:szCs w:val="24"/>
        </w:rPr>
        <w:t>Smluvní strany shodně konstatují, že touto smlouvou dle jejich právního názoru není poskytována veřejná podpora ve smyslu čl. 107 a násl. Smlouvy o fungování Evropské unie. Příjemce bere na vědomí, že jediným orgánem oprávněným rozhodovat ve věcech veřejných podpor je Evropská komise. Příjemce bere na vědomí, že pokud Evropská komise případně zaujme v otázce existence veřejné podpory v této smlouvě odchylné stanovisko, tj. rozhodne, že tato smlouva obsahuje prvek veřejné podpory a tato veřejná podpora není slučitelná s</w:t>
      </w:r>
      <w:r w:rsidR="004D5494">
        <w:rPr>
          <w:rFonts w:ascii="Garamond" w:hAnsi="Garamond"/>
          <w:sz w:val="24"/>
          <w:szCs w:val="24"/>
        </w:rPr>
        <w:t> </w:t>
      </w:r>
      <w:r w:rsidRPr="00B274E7">
        <w:rPr>
          <w:rFonts w:ascii="Garamond" w:hAnsi="Garamond"/>
          <w:sz w:val="24"/>
          <w:szCs w:val="24"/>
        </w:rPr>
        <w:t>pravidly trhu EU, je dle příslušných předpisů EU příjemce povinen vrátit získanou veřejnou podporu poskytovateli. Příjemce prohlašuje, že byl s touto okolností seznámen a je s ní srozuměn.</w:t>
      </w:r>
    </w:p>
    <w:p w14:paraId="1CB8C483" w14:textId="4E2067F4" w:rsidR="00157E98" w:rsidRDefault="00157E98" w:rsidP="00157E98">
      <w:pPr>
        <w:rPr>
          <w:sz w:val="24"/>
          <w:szCs w:val="24"/>
        </w:rPr>
      </w:pPr>
    </w:p>
    <w:p w14:paraId="4C40D567" w14:textId="77777777" w:rsidR="005A1556" w:rsidRPr="000D53C8" w:rsidRDefault="005A1556" w:rsidP="00157E98">
      <w:pPr>
        <w:rPr>
          <w:sz w:val="24"/>
          <w:szCs w:val="24"/>
        </w:rPr>
      </w:pPr>
    </w:p>
    <w:p w14:paraId="77578B76" w14:textId="40A7708C" w:rsidR="00157E98" w:rsidRDefault="006479DF" w:rsidP="00157E98">
      <w:pPr>
        <w:pStyle w:val="Nadpis3"/>
        <w:numPr>
          <w:ilvl w:val="0"/>
          <w:numId w:val="25"/>
        </w:numPr>
        <w:rPr>
          <w:rFonts w:ascii="Garamond" w:hAnsi="Garamond"/>
          <w:b/>
          <w:color w:val="auto"/>
        </w:rPr>
      </w:pPr>
      <w:r w:rsidRPr="000D53C8">
        <w:rPr>
          <w:rFonts w:ascii="Garamond" w:hAnsi="Garamond"/>
          <w:b/>
          <w:color w:val="auto"/>
        </w:rPr>
        <w:lastRenderedPageBreak/>
        <w:t>UKONČENÍ SMLOUVY</w:t>
      </w:r>
    </w:p>
    <w:p w14:paraId="72958598" w14:textId="77777777" w:rsidR="00D9576A" w:rsidRPr="00D9576A" w:rsidRDefault="00D9576A" w:rsidP="00D9576A"/>
    <w:p w14:paraId="748E1EB5" w14:textId="77777777" w:rsidR="006479DF" w:rsidRPr="000D53C8" w:rsidRDefault="006479DF" w:rsidP="006479DF">
      <w:pPr>
        <w:jc w:val="both"/>
        <w:rPr>
          <w:rFonts w:ascii="Garamond" w:hAnsi="Garamond"/>
          <w:sz w:val="24"/>
          <w:szCs w:val="24"/>
        </w:rPr>
      </w:pPr>
      <w:r w:rsidRPr="000D53C8">
        <w:rPr>
          <w:rFonts w:ascii="Garamond" w:hAnsi="Garamond"/>
          <w:sz w:val="24"/>
          <w:szCs w:val="24"/>
        </w:rPr>
        <w:t>Vedle důvodů ukončení smlouvy, uvedených v Zásadách, může poskytovatel z rozhodnutí Zastupitelstva města Plzně odstoupit od smlouvy i v případě, kdy bude zjištěna protiprávní propagace činnosti příjemce nebo propagace jeho činnosti nerespektováním vlastnických práv jiných osob či místně uznávaných pravidel slušnosti. V takovém případě vrátí příjemce již poskytnuté finanční plnění z této smlouvy do 30 dnů od doručení usnesení Zastupitelstva města Plzně o odstoupení.</w:t>
      </w:r>
    </w:p>
    <w:p w14:paraId="0B3CF4E0" w14:textId="77777777" w:rsidR="006479DF" w:rsidRPr="000D53C8" w:rsidRDefault="006479DF" w:rsidP="006479DF">
      <w:pPr>
        <w:jc w:val="both"/>
        <w:rPr>
          <w:sz w:val="24"/>
          <w:szCs w:val="24"/>
        </w:rPr>
      </w:pPr>
    </w:p>
    <w:p w14:paraId="3C8AF73D" w14:textId="6D331725" w:rsidR="00157E98" w:rsidRDefault="006479DF" w:rsidP="00157E98">
      <w:pPr>
        <w:pStyle w:val="Nadpis3"/>
        <w:numPr>
          <w:ilvl w:val="0"/>
          <w:numId w:val="25"/>
        </w:numPr>
        <w:rPr>
          <w:rFonts w:ascii="Garamond" w:hAnsi="Garamond"/>
          <w:b/>
          <w:color w:val="auto"/>
        </w:rPr>
      </w:pPr>
      <w:r w:rsidRPr="000D53C8">
        <w:rPr>
          <w:rFonts w:ascii="Garamond" w:hAnsi="Garamond"/>
          <w:b/>
          <w:color w:val="auto"/>
        </w:rPr>
        <w:t>ZÁVĚREČNÁ USTANOVENÍ</w:t>
      </w:r>
    </w:p>
    <w:p w14:paraId="5C0BDB41" w14:textId="77777777" w:rsidR="00D9576A" w:rsidRPr="00D9576A" w:rsidRDefault="00D9576A" w:rsidP="00D9576A"/>
    <w:p w14:paraId="3A3BAC0A" w14:textId="77777777" w:rsidR="006479DF" w:rsidRPr="000D53C8" w:rsidRDefault="006479DF" w:rsidP="006479DF">
      <w:pPr>
        <w:pStyle w:val="Zkladntextodsazen2"/>
        <w:numPr>
          <w:ilvl w:val="0"/>
          <w:numId w:val="4"/>
        </w:numPr>
        <w:spacing w:after="60"/>
        <w:rPr>
          <w:rFonts w:ascii="Garamond" w:hAnsi="Garamond"/>
          <w:szCs w:val="24"/>
        </w:rPr>
      </w:pPr>
      <w:r w:rsidRPr="000D53C8">
        <w:rPr>
          <w:rFonts w:ascii="Garamond" w:hAnsi="Garamond"/>
          <w:szCs w:val="24"/>
        </w:rPr>
        <w:t>Změny nebo doplnění této smlouvy je možné provádět pouze písemnými, oběma stranami podepsanými dodatky.</w:t>
      </w:r>
    </w:p>
    <w:p w14:paraId="1E43BD0C" w14:textId="77777777" w:rsidR="006479DF" w:rsidRPr="000D53C8" w:rsidRDefault="006479DF" w:rsidP="006479DF">
      <w:pPr>
        <w:pStyle w:val="Zkladntextodsazen2"/>
        <w:numPr>
          <w:ilvl w:val="0"/>
          <w:numId w:val="4"/>
        </w:numPr>
        <w:spacing w:after="60"/>
        <w:rPr>
          <w:rFonts w:ascii="Garamond" w:hAnsi="Garamond"/>
          <w:szCs w:val="24"/>
        </w:rPr>
      </w:pPr>
      <w:r w:rsidRPr="000D53C8">
        <w:rPr>
          <w:rFonts w:ascii="Garamond" w:hAnsi="Garamond"/>
          <w:szCs w:val="24"/>
        </w:rPr>
        <w:t>Tato smlouva se vyhotovuje v počtu tří výtisků, z nichž dva obdrží poskytovatel a jeden příjemce.</w:t>
      </w:r>
    </w:p>
    <w:p w14:paraId="27B83ECA" w14:textId="77777777" w:rsidR="006479DF" w:rsidRPr="000D53C8" w:rsidRDefault="006479DF" w:rsidP="006479DF">
      <w:pPr>
        <w:pStyle w:val="Zkladntextodsazen2"/>
        <w:numPr>
          <w:ilvl w:val="0"/>
          <w:numId w:val="4"/>
        </w:numPr>
        <w:spacing w:after="60"/>
        <w:rPr>
          <w:rFonts w:ascii="Garamond" w:hAnsi="Garamond"/>
          <w:szCs w:val="24"/>
        </w:rPr>
      </w:pPr>
      <w:r w:rsidRPr="000D53C8">
        <w:rPr>
          <w:rFonts w:ascii="Garamond" w:hAnsi="Garamond"/>
          <w:szCs w:val="24"/>
        </w:rPr>
        <w:t>Smluvní strany shodně prohlašují, že s obsahem této smlouvy a Zásadami jsou srozuměny. Obě smluvní strany dále konstatují, že smlouvu uzavírají na základě své pravé a svobodné vůle, prosté jakékoli tísně či nátlaku. Strany považují tuto smlouvu a jí sjednávané podmínky za</w:t>
      </w:r>
      <w:r w:rsidR="007D77D8" w:rsidRPr="000D53C8">
        <w:rPr>
          <w:rFonts w:ascii="Garamond" w:hAnsi="Garamond"/>
          <w:szCs w:val="24"/>
        </w:rPr>
        <w:t> </w:t>
      </w:r>
      <w:r w:rsidRPr="000D53C8">
        <w:rPr>
          <w:rFonts w:ascii="Garamond" w:hAnsi="Garamond"/>
          <w:szCs w:val="24"/>
        </w:rPr>
        <w:t>oboustranně výhodné.</w:t>
      </w:r>
    </w:p>
    <w:p w14:paraId="624DA585" w14:textId="77777777" w:rsidR="006479DF" w:rsidRPr="000D53C8" w:rsidRDefault="006479DF" w:rsidP="006479DF">
      <w:pPr>
        <w:pStyle w:val="Zkladntextodsazen2"/>
        <w:numPr>
          <w:ilvl w:val="0"/>
          <w:numId w:val="5"/>
        </w:numPr>
        <w:spacing w:after="60"/>
        <w:rPr>
          <w:rFonts w:ascii="Garamond" w:hAnsi="Garamond"/>
          <w:szCs w:val="24"/>
        </w:rPr>
      </w:pPr>
      <w:r w:rsidRPr="000D53C8">
        <w:rPr>
          <w:rFonts w:ascii="Garamond" w:hAnsi="Garamond"/>
          <w:szCs w:val="24"/>
        </w:rPr>
        <w:t>Za poskytovatele bude při plnění této smlouvy jednat Odbor sociálních služeb Magistrátu města Plzně.</w:t>
      </w:r>
    </w:p>
    <w:p w14:paraId="57D3CCDC" w14:textId="77777777" w:rsidR="006479DF" w:rsidRPr="000D53C8" w:rsidRDefault="006479DF" w:rsidP="006479DF">
      <w:pPr>
        <w:pStyle w:val="Zkladntext"/>
        <w:numPr>
          <w:ilvl w:val="0"/>
          <w:numId w:val="5"/>
        </w:numPr>
        <w:tabs>
          <w:tab w:val="left" w:pos="709"/>
        </w:tabs>
        <w:spacing w:after="60"/>
        <w:rPr>
          <w:szCs w:val="24"/>
        </w:rPr>
      </w:pPr>
      <w:r w:rsidRPr="000D53C8">
        <w:rPr>
          <w:szCs w:val="24"/>
        </w:rPr>
        <w:t>Tato smlouva nabývá účinnosti dnem jejího uveřejnění prostřednictvím registru smluv dle zákona č. 340/2015 Sb., o registru smluv.</w:t>
      </w:r>
    </w:p>
    <w:p w14:paraId="4A72018C" w14:textId="77777777" w:rsidR="004750BB" w:rsidRPr="000D53C8" w:rsidRDefault="004750BB" w:rsidP="004750BB">
      <w:pPr>
        <w:pStyle w:val="Zkladntext"/>
        <w:numPr>
          <w:ilvl w:val="0"/>
          <w:numId w:val="5"/>
        </w:numPr>
        <w:tabs>
          <w:tab w:val="left" w:pos="709"/>
        </w:tabs>
        <w:spacing w:after="60"/>
        <w:rPr>
          <w:szCs w:val="24"/>
        </w:rPr>
      </w:pPr>
      <w:r w:rsidRPr="000D53C8">
        <w:rPr>
          <w:szCs w:val="24"/>
        </w:rPr>
        <w:t>Smluvní strany berou na vědomí, že tato smlouva dle zákona č. 340/2015 Sb., o registru smluv, podléhá uveřejnění prostřednictvím registru smluv. Smluvní strany se dohodly, že smlouvu k uveřejnění prostřednictvím registru smluv zašle správci registru statutární město Plzeň.</w:t>
      </w:r>
    </w:p>
    <w:p w14:paraId="55557EB5" w14:textId="77777777" w:rsidR="00C117B7" w:rsidRPr="000D53C8" w:rsidRDefault="00C117B7" w:rsidP="00C117B7">
      <w:pPr>
        <w:pStyle w:val="Zkladntextodsazen2"/>
        <w:numPr>
          <w:ilvl w:val="0"/>
          <w:numId w:val="5"/>
        </w:numPr>
        <w:tabs>
          <w:tab w:val="clear" w:pos="360"/>
        </w:tabs>
        <w:spacing w:after="60"/>
        <w:rPr>
          <w:rFonts w:ascii="Garamond" w:hAnsi="Garamond"/>
          <w:szCs w:val="24"/>
        </w:rPr>
      </w:pPr>
      <w:r w:rsidRPr="000D53C8">
        <w:rPr>
          <w:rFonts w:ascii="Garamond" w:hAnsi="Garamond"/>
          <w:szCs w:val="24"/>
        </w:rPr>
        <w:t>Pokud není ve smlouvě uvedeno jinak, řídí se platnými právními předpisy České republiky.</w:t>
      </w:r>
    </w:p>
    <w:p w14:paraId="4BEAD266" w14:textId="77777777" w:rsidR="00DE0317" w:rsidRPr="001A3BB6" w:rsidRDefault="00DE0317" w:rsidP="00DE0317">
      <w:pPr>
        <w:rPr>
          <w:sz w:val="24"/>
          <w:szCs w:val="24"/>
        </w:rPr>
      </w:pPr>
    </w:p>
    <w:p w14:paraId="0A967B6F" w14:textId="77777777" w:rsidR="0089518C" w:rsidRPr="001A3BB6" w:rsidRDefault="0089518C" w:rsidP="006479DF">
      <w:pPr>
        <w:pStyle w:val="Zkladntext"/>
        <w:rPr>
          <w:rFonts w:ascii="Times New Roman" w:hAnsi="Times New Roman"/>
          <w:smallCaps/>
          <w:spacing w:val="2"/>
          <w:szCs w:val="24"/>
        </w:rPr>
      </w:pPr>
    </w:p>
    <w:p w14:paraId="4A0A05C6" w14:textId="77777777" w:rsidR="0089518C" w:rsidRPr="001A3BB6" w:rsidRDefault="0089518C" w:rsidP="001A3BB6">
      <w:pPr>
        <w:pStyle w:val="Zkladntextodsazen2"/>
        <w:rPr>
          <w:szCs w:val="24"/>
        </w:rPr>
      </w:pPr>
    </w:p>
    <w:p w14:paraId="7D8C5C76" w14:textId="77777777" w:rsidR="0089518C" w:rsidRPr="001A3BB6" w:rsidRDefault="0089518C" w:rsidP="001A3BB6">
      <w:pPr>
        <w:rPr>
          <w:smallCaps/>
          <w:spacing w:val="2"/>
          <w:sz w:val="24"/>
          <w:szCs w:val="24"/>
        </w:rPr>
      </w:pPr>
    </w:p>
    <w:p w14:paraId="0CC40B6A" w14:textId="77777777" w:rsidR="001A7A3D" w:rsidRPr="001A3BB6" w:rsidRDefault="001A7A3D" w:rsidP="001A3BB6">
      <w:pPr>
        <w:pStyle w:val="Zkladntext"/>
        <w:tabs>
          <w:tab w:val="center" w:pos="709"/>
          <w:tab w:val="center" w:pos="5812"/>
        </w:tabs>
        <w:rPr>
          <w:rFonts w:ascii="Times New Roman" w:hAnsi="Times New Roman"/>
          <w:szCs w:val="24"/>
        </w:rPr>
      </w:pPr>
    </w:p>
    <w:p w14:paraId="57F68E64" w14:textId="3B14A028" w:rsidR="005777DF" w:rsidRPr="000D53C8" w:rsidRDefault="001A3BB6" w:rsidP="001A3BB6">
      <w:pPr>
        <w:pStyle w:val="Zkladntext"/>
        <w:tabs>
          <w:tab w:val="left" w:pos="426"/>
          <w:tab w:val="center" w:pos="5812"/>
        </w:tabs>
        <w:spacing w:after="120"/>
        <w:rPr>
          <w:szCs w:val="24"/>
        </w:rPr>
      </w:pPr>
      <w:r>
        <w:rPr>
          <w:szCs w:val="24"/>
        </w:rPr>
        <w:tab/>
      </w:r>
      <w:r w:rsidR="005777DF" w:rsidRPr="000D53C8">
        <w:rPr>
          <w:szCs w:val="24"/>
        </w:rPr>
        <w:t xml:space="preserve">V Plzni dne </w:t>
      </w:r>
      <w:r w:rsidR="00FA7CB4" w:rsidRPr="000D53C8">
        <w:rPr>
          <w:szCs w:val="24"/>
        </w:rPr>
        <w:t>…………………………</w:t>
      </w:r>
      <w:r w:rsidR="005777DF" w:rsidRPr="000D53C8">
        <w:rPr>
          <w:szCs w:val="24"/>
        </w:rPr>
        <w:t xml:space="preserve">           V Plzni dne </w:t>
      </w:r>
      <w:r w:rsidR="00FA7CB4" w:rsidRPr="000D53C8">
        <w:rPr>
          <w:szCs w:val="24"/>
        </w:rPr>
        <w:t>……………………………….</w:t>
      </w:r>
      <w:r w:rsidR="005777DF" w:rsidRPr="000D53C8">
        <w:rPr>
          <w:szCs w:val="24"/>
        </w:rPr>
        <w:t xml:space="preserve"> </w:t>
      </w:r>
    </w:p>
    <w:p w14:paraId="28C1649A" w14:textId="77777777" w:rsidR="00472874" w:rsidRPr="000D53C8" w:rsidRDefault="00472874" w:rsidP="001A3BB6">
      <w:pPr>
        <w:pStyle w:val="Zkladntext"/>
        <w:tabs>
          <w:tab w:val="center" w:pos="2268"/>
          <w:tab w:val="center" w:pos="6804"/>
        </w:tabs>
        <w:rPr>
          <w:szCs w:val="24"/>
        </w:rPr>
      </w:pPr>
    </w:p>
    <w:p w14:paraId="1E3D2C5B" w14:textId="77777777" w:rsidR="00472874" w:rsidRDefault="00472874" w:rsidP="001A3BB6">
      <w:pPr>
        <w:pStyle w:val="Zkladntext"/>
        <w:tabs>
          <w:tab w:val="center" w:pos="2268"/>
          <w:tab w:val="center" w:pos="6804"/>
        </w:tabs>
        <w:rPr>
          <w:szCs w:val="24"/>
        </w:rPr>
      </w:pPr>
    </w:p>
    <w:p w14:paraId="2BDB72AE" w14:textId="77777777" w:rsidR="001A3BB6" w:rsidRDefault="001A3BB6" w:rsidP="001A3BB6">
      <w:pPr>
        <w:pStyle w:val="Zkladntext"/>
        <w:tabs>
          <w:tab w:val="center" w:pos="2268"/>
          <w:tab w:val="center" w:pos="6804"/>
        </w:tabs>
        <w:rPr>
          <w:szCs w:val="24"/>
        </w:rPr>
      </w:pPr>
    </w:p>
    <w:p w14:paraId="1CCB4BF7" w14:textId="77777777" w:rsidR="001A3BB6" w:rsidRDefault="001A3BB6" w:rsidP="001A3BB6">
      <w:pPr>
        <w:pStyle w:val="Zkladntext"/>
        <w:tabs>
          <w:tab w:val="center" w:pos="2268"/>
          <w:tab w:val="center" w:pos="6804"/>
        </w:tabs>
        <w:rPr>
          <w:szCs w:val="24"/>
        </w:rPr>
      </w:pPr>
    </w:p>
    <w:p w14:paraId="3E2DF289" w14:textId="77777777" w:rsidR="001A3BB6" w:rsidRPr="000D53C8" w:rsidRDefault="001A3BB6" w:rsidP="001A3BB6">
      <w:pPr>
        <w:pStyle w:val="Zkladntext"/>
        <w:tabs>
          <w:tab w:val="center" w:pos="2268"/>
          <w:tab w:val="center" w:pos="6804"/>
        </w:tabs>
        <w:rPr>
          <w:szCs w:val="24"/>
        </w:rPr>
      </w:pPr>
    </w:p>
    <w:p w14:paraId="03BE4744" w14:textId="77777777" w:rsidR="005777DF" w:rsidRPr="000D53C8" w:rsidRDefault="005777DF" w:rsidP="005777DF">
      <w:pPr>
        <w:pStyle w:val="Zkladntext"/>
        <w:tabs>
          <w:tab w:val="center" w:pos="2268"/>
          <w:tab w:val="center" w:pos="6804"/>
        </w:tabs>
        <w:spacing w:after="120"/>
        <w:rPr>
          <w:szCs w:val="24"/>
        </w:rPr>
      </w:pPr>
      <w:r w:rsidRPr="000D53C8">
        <w:rPr>
          <w:szCs w:val="24"/>
        </w:rPr>
        <w:t xml:space="preserve">         ..</w:t>
      </w:r>
      <w:r w:rsidRPr="000D53C8">
        <w:rPr>
          <w:szCs w:val="24"/>
        </w:rPr>
        <w:tab/>
        <w:t>………………………………..                              ……………………………….</w:t>
      </w:r>
    </w:p>
    <w:p w14:paraId="35C0B8D8" w14:textId="77E1ADFD" w:rsidR="005777DF" w:rsidRPr="002B5893" w:rsidRDefault="00944210" w:rsidP="005777DF">
      <w:pPr>
        <w:pStyle w:val="Zkladntext"/>
        <w:tabs>
          <w:tab w:val="center" w:pos="2268"/>
          <w:tab w:val="center" w:pos="6804"/>
        </w:tabs>
        <w:rPr>
          <w:b/>
          <w:szCs w:val="24"/>
        </w:rPr>
      </w:pPr>
      <w:r w:rsidRPr="000D53C8">
        <w:rPr>
          <w:szCs w:val="24"/>
        </w:rPr>
        <w:t xml:space="preserve">               </w:t>
      </w:r>
      <w:r w:rsidRPr="000D53C8">
        <w:rPr>
          <w:b/>
          <w:szCs w:val="24"/>
        </w:rPr>
        <w:t>Mgr. Eliška Bartáková</w:t>
      </w:r>
      <w:r w:rsidR="005777DF" w:rsidRPr="000D53C8">
        <w:rPr>
          <w:szCs w:val="24"/>
        </w:rPr>
        <w:tab/>
      </w:r>
      <w:r w:rsidR="00917D18">
        <w:rPr>
          <w:szCs w:val="24"/>
        </w:rPr>
        <w:t xml:space="preserve">   </w:t>
      </w:r>
      <w:r w:rsidR="00725BB2">
        <w:rPr>
          <w:b/>
          <w:szCs w:val="24"/>
        </w:rPr>
        <w:t>Mgr. Bohumila Hajšmanová</w:t>
      </w:r>
    </w:p>
    <w:p w14:paraId="3D8018B3" w14:textId="59C611D6" w:rsidR="005777DF" w:rsidRPr="002B5893" w:rsidRDefault="00944210" w:rsidP="005777DF">
      <w:pPr>
        <w:pStyle w:val="Zkladntext"/>
        <w:tabs>
          <w:tab w:val="center" w:pos="2268"/>
          <w:tab w:val="center" w:pos="6804"/>
        </w:tabs>
        <w:rPr>
          <w:i/>
          <w:szCs w:val="24"/>
        </w:rPr>
      </w:pPr>
      <w:r w:rsidRPr="002B5893">
        <w:rPr>
          <w:szCs w:val="24"/>
        </w:rPr>
        <w:t xml:space="preserve">                 </w:t>
      </w:r>
      <w:r w:rsidR="005777DF" w:rsidRPr="002B5893">
        <w:rPr>
          <w:i/>
          <w:szCs w:val="24"/>
        </w:rPr>
        <w:t>náměstkyně primátora</w:t>
      </w:r>
      <w:r w:rsidR="005777DF" w:rsidRPr="002B5893">
        <w:rPr>
          <w:i/>
          <w:szCs w:val="24"/>
        </w:rPr>
        <w:tab/>
      </w:r>
      <w:r w:rsidR="004750BB">
        <w:rPr>
          <w:i/>
          <w:szCs w:val="24"/>
        </w:rPr>
        <w:t>ředitel</w:t>
      </w:r>
      <w:r w:rsidR="00725BB2">
        <w:rPr>
          <w:i/>
          <w:szCs w:val="24"/>
        </w:rPr>
        <w:t>ka</w:t>
      </w:r>
    </w:p>
    <w:p w14:paraId="764069E2" w14:textId="4974120A" w:rsidR="00966171" w:rsidRPr="000D53C8" w:rsidRDefault="00C91804" w:rsidP="0089518C">
      <w:pPr>
        <w:pStyle w:val="Zkladntext"/>
        <w:tabs>
          <w:tab w:val="center" w:pos="2268"/>
          <w:tab w:val="center" w:pos="6804"/>
        </w:tabs>
        <w:rPr>
          <w:szCs w:val="24"/>
        </w:rPr>
        <w:sectPr w:rsidR="00966171" w:rsidRPr="000D53C8" w:rsidSect="00481C5A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304" w:right="1134" w:bottom="1304" w:left="1701" w:header="567" w:footer="1077" w:gutter="0"/>
          <w:cols w:space="708"/>
          <w:titlePg/>
          <w:docGrid w:linePitch="272"/>
        </w:sectPr>
      </w:pPr>
      <w:r w:rsidRPr="002B5893">
        <w:rPr>
          <w:szCs w:val="24"/>
        </w:rPr>
        <w:t xml:space="preserve">               </w:t>
      </w:r>
      <w:r w:rsidR="00944210" w:rsidRPr="002B5893">
        <w:rPr>
          <w:szCs w:val="24"/>
        </w:rPr>
        <w:t xml:space="preserve"> </w:t>
      </w:r>
      <w:r w:rsidR="005777DF" w:rsidRPr="002B5893">
        <w:rPr>
          <w:szCs w:val="24"/>
        </w:rPr>
        <w:t xml:space="preserve">statutární město </w:t>
      </w:r>
      <w:r w:rsidR="006146A6" w:rsidRPr="002B5893">
        <w:rPr>
          <w:szCs w:val="24"/>
        </w:rPr>
        <w:t>Plzeň</w:t>
      </w:r>
      <w:r w:rsidR="005777DF" w:rsidRPr="002B5893">
        <w:rPr>
          <w:szCs w:val="24"/>
        </w:rPr>
        <w:t xml:space="preserve">                    </w:t>
      </w:r>
      <w:r w:rsidR="005777DF" w:rsidRPr="002B5893">
        <w:rPr>
          <w:szCs w:val="24"/>
        </w:rPr>
        <w:tab/>
      </w:r>
      <w:r w:rsidR="00917D18">
        <w:rPr>
          <w:szCs w:val="24"/>
        </w:rPr>
        <w:t xml:space="preserve">      </w:t>
      </w:r>
      <w:r w:rsidR="00725BB2">
        <w:rPr>
          <w:szCs w:val="24"/>
        </w:rPr>
        <w:t>D</w:t>
      </w:r>
      <w:r w:rsidR="007D0C05">
        <w:rPr>
          <w:szCs w:val="24"/>
        </w:rPr>
        <w:t xml:space="preserve">OMOVINKA </w:t>
      </w:r>
      <w:r w:rsidR="00725BB2">
        <w:rPr>
          <w:szCs w:val="24"/>
        </w:rPr>
        <w:t>– sociální služby, o.p.s.</w:t>
      </w:r>
    </w:p>
    <w:p w14:paraId="61C122EF" w14:textId="77777777" w:rsidR="007D09F1" w:rsidRDefault="007D09F1" w:rsidP="001A3BB6">
      <w:pPr>
        <w:pStyle w:val="Zkladntext"/>
        <w:tabs>
          <w:tab w:val="center" w:pos="2268"/>
          <w:tab w:val="center" w:pos="6804"/>
        </w:tabs>
        <w:rPr>
          <w:szCs w:val="24"/>
        </w:rPr>
      </w:pPr>
      <w:bookmarkStart w:id="0" w:name="_GoBack"/>
      <w:bookmarkEnd w:id="0"/>
    </w:p>
    <w:sectPr w:rsidR="007D09F1">
      <w:headerReference w:type="default" r:id="rId15"/>
      <w:footerReference w:type="default" r:id="rId16"/>
      <w:pgSz w:w="11906" w:h="16838" w:code="9"/>
      <w:pgMar w:top="1304" w:right="1134" w:bottom="1304" w:left="1701" w:header="567" w:footer="10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4A8CD" w14:textId="77777777" w:rsidR="00886B07" w:rsidRDefault="00886B07">
      <w:r>
        <w:separator/>
      </w:r>
    </w:p>
  </w:endnote>
  <w:endnote w:type="continuationSeparator" w:id="0">
    <w:p w14:paraId="2DB09F67" w14:textId="77777777" w:rsidR="00886B07" w:rsidRDefault="0088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9A8FF" w14:textId="77777777" w:rsidR="00710AD8" w:rsidRDefault="00BF6DDE">
    <w:pPr>
      <w:pStyle w:val="Zpat"/>
      <w:jc w:val="center"/>
      <w:rPr>
        <w:i/>
      </w:rPr>
    </w:pPr>
    <w:r>
      <w:rPr>
        <w:i/>
      </w:rPr>
      <w:t xml:space="preserve">str. </w:t>
    </w:r>
    <w:r>
      <w:rPr>
        <w:b/>
        <w:i/>
      </w:rPr>
      <w:fldChar w:fldCharType="begin"/>
    </w:r>
    <w:r>
      <w:rPr>
        <w:b/>
        <w:i/>
      </w:rPr>
      <w:instrText xml:space="preserve"> PAGE </w:instrText>
    </w:r>
    <w:r>
      <w:rPr>
        <w:b/>
        <w:i/>
      </w:rPr>
      <w:fldChar w:fldCharType="separate"/>
    </w:r>
    <w:r w:rsidR="00D37CD1">
      <w:rPr>
        <w:b/>
        <w:i/>
        <w:noProof/>
      </w:rPr>
      <w:t>2</w:t>
    </w:r>
    <w:r>
      <w:rPr>
        <w:b/>
        <w:i/>
      </w:rPr>
      <w:fldChar w:fldCharType="end"/>
    </w:r>
    <w:r>
      <w:rPr>
        <w:i/>
      </w:rPr>
      <w:t xml:space="preserve"> ze 4 stran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75FEC" w14:textId="77777777" w:rsidR="00481C5A" w:rsidRDefault="00481C5A" w:rsidP="00481C5A">
    <w:pPr>
      <w:pStyle w:val="Zpat"/>
      <w:jc w:val="center"/>
      <w:rPr>
        <w:i/>
      </w:rPr>
    </w:pPr>
    <w:r>
      <w:rPr>
        <w:i/>
      </w:rPr>
      <w:t xml:space="preserve">str. </w:t>
    </w:r>
    <w:r>
      <w:rPr>
        <w:b/>
        <w:i/>
      </w:rPr>
      <w:fldChar w:fldCharType="begin"/>
    </w:r>
    <w:r>
      <w:rPr>
        <w:b/>
        <w:i/>
      </w:rPr>
      <w:instrText xml:space="preserve"> PAGE </w:instrText>
    </w:r>
    <w:r>
      <w:rPr>
        <w:b/>
        <w:i/>
      </w:rPr>
      <w:fldChar w:fldCharType="separate"/>
    </w:r>
    <w:r w:rsidR="00D37CD1">
      <w:rPr>
        <w:b/>
        <w:i/>
        <w:noProof/>
      </w:rPr>
      <w:t>1</w:t>
    </w:r>
    <w:r>
      <w:rPr>
        <w:b/>
        <w:i/>
      </w:rPr>
      <w:fldChar w:fldCharType="end"/>
    </w:r>
    <w:r>
      <w:rPr>
        <w:i/>
      </w:rPr>
      <w:t xml:space="preserve"> ze 4 stran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16639" w14:textId="77777777" w:rsidR="007D09F1" w:rsidRPr="007D09F1" w:rsidRDefault="007D09F1" w:rsidP="007D09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C6DBC" w14:textId="77777777" w:rsidR="00886B07" w:rsidRDefault="00886B07">
      <w:r>
        <w:separator/>
      </w:r>
    </w:p>
  </w:footnote>
  <w:footnote w:type="continuationSeparator" w:id="0">
    <w:p w14:paraId="19CBD787" w14:textId="77777777" w:rsidR="00886B07" w:rsidRDefault="00886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42FC0" w14:textId="776FB0EF" w:rsidR="00C452E4" w:rsidRPr="00C452E4" w:rsidRDefault="00C452E4" w:rsidP="00C452E4">
    <w:pPr>
      <w:pStyle w:val="Zhlav"/>
      <w:rPr>
        <w:rFonts w:ascii="Times New Roman" w:hAnsi="Times New Roman"/>
        <w:i/>
        <w:sz w:val="16"/>
      </w:rPr>
    </w:pPr>
    <w:r w:rsidRPr="00C452E4">
      <w:rPr>
        <w:rFonts w:ascii="Times New Roman" w:hAnsi="Times New Roman"/>
        <w:i/>
        <w:sz w:val="16"/>
      </w:rPr>
      <w:t xml:space="preserve">statutární město Plzeň                                                                                                                                 </w:t>
    </w:r>
    <w:r w:rsidR="007D0C05" w:rsidRPr="007D0C05">
      <w:rPr>
        <w:rFonts w:ascii="Times New Roman" w:hAnsi="Times New Roman"/>
        <w:i/>
        <w:sz w:val="16"/>
      </w:rPr>
      <w:t>DOMOVINKA – sociální služby, o.p.s.</w:t>
    </w:r>
  </w:p>
  <w:p w14:paraId="4FACA7E8" w14:textId="5E10FC8F" w:rsidR="00710AD8" w:rsidRPr="00C452E4" w:rsidRDefault="0001763B" w:rsidP="0001763B">
    <w:pPr>
      <w:pStyle w:val="Zhlav"/>
    </w:pPr>
    <w:r w:rsidRPr="0001763B">
      <w:rPr>
        <w:rFonts w:ascii="Times New Roman" w:hAnsi="Times New Roman"/>
        <w:i/>
        <w:sz w:val="16"/>
      </w:rPr>
      <w:t>2022/004946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3CB9" w14:textId="77777777" w:rsidR="00481C5A" w:rsidRDefault="00481C5A" w:rsidP="00481C5A">
    <w:pPr>
      <w:pStyle w:val="Zhlav"/>
      <w:rPr>
        <w:rFonts w:ascii="Times New Roman" w:hAnsi="Times New Roman"/>
        <w:i/>
        <w:sz w:val="16"/>
      </w:rPr>
    </w:pPr>
  </w:p>
  <w:p w14:paraId="283881D1" w14:textId="77777777" w:rsidR="00481C5A" w:rsidRDefault="00481C5A" w:rsidP="00481C5A">
    <w:pPr>
      <w:pStyle w:val="Zhlav"/>
      <w:rPr>
        <w:rFonts w:ascii="Times New Roman" w:hAnsi="Times New Roman"/>
        <w:i/>
        <w:sz w:val="16"/>
      </w:rPr>
    </w:pPr>
  </w:p>
  <w:p w14:paraId="1AD8E51A" w14:textId="77777777" w:rsidR="00481C5A" w:rsidRDefault="00481C5A" w:rsidP="00481C5A">
    <w:pPr>
      <w:pStyle w:val="Zhlav"/>
      <w:rPr>
        <w:rFonts w:ascii="Times New Roman" w:hAnsi="Times New Roman"/>
        <w:i/>
        <w:sz w:val="16"/>
      </w:rPr>
    </w:pPr>
  </w:p>
  <w:p w14:paraId="0DD9D670" w14:textId="77777777" w:rsidR="00481C5A" w:rsidRDefault="00481C5A" w:rsidP="00481C5A">
    <w:pPr>
      <w:pStyle w:val="Zhlav"/>
      <w:rPr>
        <w:rFonts w:ascii="Times New Roman" w:hAnsi="Times New Roman"/>
        <w:i/>
        <w:sz w:val="16"/>
      </w:rPr>
    </w:pPr>
  </w:p>
  <w:p w14:paraId="79043ECE" w14:textId="77777777" w:rsidR="00481C5A" w:rsidRDefault="00481C5A" w:rsidP="00481C5A">
    <w:pPr>
      <w:pStyle w:val="Zhlav"/>
      <w:rPr>
        <w:rFonts w:ascii="Times New Roman" w:hAnsi="Times New Roman"/>
        <w:i/>
        <w:sz w:val="16"/>
      </w:rPr>
    </w:pPr>
  </w:p>
  <w:p w14:paraId="32EA66EA" w14:textId="77777777" w:rsidR="00481C5A" w:rsidRDefault="00481C5A" w:rsidP="00481C5A">
    <w:pPr>
      <w:pStyle w:val="Zhlav"/>
      <w:rPr>
        <w:rFonts w:ascii="Times New Roman" w:hAnsi="Times New Roman"/>
        <w:i/>
        <w:sz w:val="16"/>
      </w:rPr>
    </w:pPr>
  </w:p>
  <w:p w14:paraId="657ADF12" w14:textId="21965C42" w:rsidR="00481C5A" w:rsidRPr="00C452E4" w:rsidRDefault="00481C5A" w:rsidP="00481C5A">
    <w:pPr>
      <w:pStyle w:val="Zhlav"/>
      <w:rPr>
        <w:rFonts w:ascii="Times New Roman" w:hAnsi="Times New Roman"/>
        <w:i/>
        <w:sz w:val="16"/>
      </w:rPr>
    </w:pPr>
    <w:r w:rsidRPr="00C452E4">
      <w:rPr>
        <w:rFonts w:ascii="Times New Roman" w:hAnsi="Times New Roman"/>
        <w:i/>
        <w:sz w:val="16"/>
      </w:rPr>
      <w:t xml:space="preserve">statutární město Plzeň                                                                                                                                 </w:t>
    </w:r>
    <w:r w:rsidR="007D0C05" w:rsidRPr="007D0C05">
      <w:rPr>
        <w:rFonts w:ascii="Times New Roman" w:hAnsi="Times New Roman"/>
        <w:i/>
        <w:sz w:val="16"/>
      </w:rPr>
      <w:t>DOMOVINKA – sociální služby, o.p.s</w:t>
    </w:r>
    <w:r w:rsidR="00C10566">
      <w:rPr>
        <w:rFonts w:ascii="Times New Roman" w:hAnsi="Times New Roman"/>
        <w:i/>
        <w:sz w:val="16"/>
      </w:rPr>
      <w:t>.</w:t>
    </w:r>
  </w:p>
  <w:p w14:paraId="5956041E" w14:textId="5C549D81" w:rsidR="004D5494" w:rsidRDefault="0001763B" w:rsidP="00481C5A">
    <w:pPr>
      <w:pStyle w:val="Zhlav"/>
      <w:rPr>
        <w:rFonts w:ascii="Times New Roman" w:hAnsi="Times New Roman"/>
        <w:i/>
        <w:sz w:val="16"/>
      </w:rPr>
    </w:pPr>
    <w:r w:rsidRPr="0001763B">
      <w:rPr>
        <w:rFonts w:ascii="Times New Roman" w:hAnsi="Times New Roman"/>
        <w:i/>
        <w:sz w:val="16"/>
      </w:rPr>
      <w:t>2022/004946</w:t>
    </w:r>
  </w:p>
  <w:p w14:paraId="352B46EA" w14:textId="77777777" w:rsidR="0001763B" w:rsidRDefault="0001763B" w:rsidP="00481C5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07074" w14:textId="77777777" w:rsidR="007D09F1" w:rsidRPr="003855AA" w:rsidRDefault="007D09F1">
    <w:pPr>
      <w:pStyle w:val="Zhlav"/>
      <w:rPr>
        <w:rFonts w:ascii="Times New Roman" w:hAnsi="Times New Roman"/>
        <w:sz w:val="16"/>
      </w:rPr>
    </w:pPr>
    <w:r w:rsidRPr="003855AA">
      <w:rPr>
        <w:rFonts w:ascii="Times New Roman" w:hAnsi="Times New Roman"/>
        <w:sz w:val="16"/>
      </w:rPr>
      <w:tab/>
    </w:r>
    <w:r w:rsidRPr="003855AA">
      <w:rPr>
        <w:rFonts w:ascii="Times New Roman" w:hAnsi="Times New Roman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237E"/>
    <w:multiLevelType w:val="hybridMultilevel"/>
    <w:tmpl w:val="C1A2E2E6"/>
    <w:lvl w:ilvl="0" w:tplc="C96CCBB2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265A3"/>
    <w:multiLevelType w:val="hybridMultilevel"/>
    <w:tmpl w:val="EEC6AF86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C077B"/>
    <w:multiLevelType w:val="hybridMultilevel"/>
    <w:tmpl w:val="62524562"/>
    <w:lvl w:ilvl="0" w:tplc="A860F20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2B7154D9"/>
    <w:multiLevelType w:val="hybridMultilevel"/>
    <w:tmpl w:val="47BA24B0"/>
    <w:lvl w:ilvl="0" w:tplc="EDE6192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62DCA"/>
    <w:multiLevelType w:val="hybridMultilevel"/>
    <w:tmpl w:val="0E80C504"/>
    <w:lvl w:ilvl="0" w:tplc="8BD4D6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DC668F"/>
    <w:multiLevelType w:val="hybridMultilevel"/>
    <w:tmpl w:val="B51ECBE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71FDF"/>
    <w:multiLevelType w:val="hybridMultilevel"/>
    <w:tmpl w:val="8A463594"/>
    <w:lvl w:ilvl="0" w:tplc="E1E0CF94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  <w:color w:val="auto"/>
      </w:rPr>
    </w:lvl>
    <w:lvl w:ilvl="1" w:tplc="EDDC99E8">
      <w:start w:val="1"/>
      <w:numFmt w:val="lowerLetter"/>
      <w:lvlText w:val="%2)"/>
      <w:lvlJc w:val="left"/>
      <w:pPr>
        <w:tabs>
          <w:tab w:val="num" w:pos="6456"/>
        </w:tabs>
        <w:ind w:left="6456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971E3B"/>
    <w:multiLevelType w:val="hybridMultilevel"/>
    <w:tmpl w:val="0B08B4FE"/>
    <w:lvl w:ilvl="0" w:tplc="6090F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548C94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C72B5A4">
      <w:start w:val="2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A35151"/>
    <w:multiLevelType w:val="hybridMultilevel"/>
    <w:tmpl w:val="B538AB3E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E95814"/>
    <w:multiLevelType w:val="hybridMultilevel"/>
    <w:tmpl w:val="390AAFDC"/>
    <w:lvl w:ilvl="0" w:tplc="2D8CC8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427848"/>
    <w:multiLevelType w:val="hybridMultilevel"/>
    <w:tmpl w:val="1CB46DC0"/>
    <w:lvl w:ilvl="0" w:tplc="D572F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223A6936">
      <w:start w:val="27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hAnsi="Times New Roman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0E858C3"/>
    <w:multiLevelType w:val="hybridMultilevel"/>
    <w:tmpl w:val="FF9805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772AB4"/>
    <w:multiLevelType w:val="hybridMultilevel"/>
    <w:tmpl w:val="4CB2D1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A46ED9"/>
    <w:multiLevelType w:val="singleLevel"/>
    <w:tmpl w:val="87683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 w15:restartNumberingAfterBreak="0">
    <w:nsid w:val="46533438"/>
    <w:multiLevelType w:val="hybridMultilevel"/>
    <w:tmpl w:val="EF8C5F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14B80"/>
    <w:multiLevelType w:val="hybridMultilevel"/>
    <w:tmpl w:val="4928D1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3C7E86"/>
    <w:multiLevelType w:val="hybridMultilevel"/>
    <w:tmpl w:val="3924A738"/>
    <w:lvl w:ilvl="0" w:tplc="7B0CF128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8143355"/>
    <w:multiLevelType w:val="hybridMultilevel"/>
    <w:tmpl w:val="F6466F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B4939"/>
    <w:multiLevelType w:val="hybridMultilevel"/>
    <w:tmpl w:val="778236F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91975"/>
    <w:multiLevelType w:val="hybridMultilevel"/>
    <w:tmpl w:val="9B7C590E"/>
    <w:lvl w:ilvl="0" w:tplc="2684D7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8402AB"/>
    <w:multiLevelType w:val="hybridMultilevel"/>
    <w:tmpl w:val="2556AA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D51AB"/>
    <w:multiLevelType w:val="hybridMultilevel"/>
    <w:tmpl w:val="B0345A0C"/>
    <w:lvl w:ilvl="0" w:tplc="C8D2B2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7492E87"/>
    <w:multiLevelType w:val="hybridMultilevel"/>
    <w:tmpl w:val="432C7DEC"/>
    <w:lvl w:ilvl="0" w:tplc="D77E9E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AEE7DF0"/>
    <w:multiLevelType w:val="hybridMultilevel"/>
    <w:tmpl w:val="270AEEE0"/>
    <w:lvl w:ilvl="0" w:tplc="02885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9C40E4"/>
    <w:multiLevelType w:val="hybridMultilevel"/>
    <w:tmpl w:val="7EDAD2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CB4F96"/>
    <w:multiLevelType w:val="hybridMultilevel"/>
    <w:tmpl w:val="3392BB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2B1302"/>
    <w:multiLevelType w:val="hybridMultilevel"/>
    <w:tmpl w:val="6736DD7E"/>
    <w:lvl w:ilvl="0" w:tplc="85BCE28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F52F74"/>
    <w:multiLevelType w:val="hybridMultilevel"/>
    <w:tmpl w:val="3FEEDFF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B4A3D"/>
    <w:multiLevelType w:val="hybridMultilevel"/>
    <w:tmpl w:val="CB0C0320"/>
    <w:lvl w:ilvl="0" w:tplc="3C3E8230">
      <w:start w:val="1"/>
      <w:numFmt w:val="upperRoman"/>
      <w:lvlText w:val="%1."/>
      <w:lvlJc w:val="right"/>
      <w:pPr>
        <w:ind w:left="3192" w:hanging="360"/>
      </w:pPr>
      <w:rPr>
        <w:rFonts w:ascii="Garamond" w:hAnsi="Garamond" w:hint="default"/>
        <w:b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9" w15:restartNumberingAfterBreak="0">
    <w:nsid w:val="7F35647F"/>
    <w:multiLevelType w:val="hybridMultilevel"/>
    <w:tmpl w:val="2C5E7F1A"/>
    <w:lvl w:ilvl="0" w:tplc="E1E0CF94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6"/>
  </w:num>
  <w:num w:numId="9">
    <w:abstractNumId w:val="21"/>
  </w:num>
  <w:num w:numId="10">
    <w:abstractNumId w:val="12"/>
  </w:num>
  <w:num w:numId="11">
    <w:abstractNumId w:val="5"/>
  </w:num>
  <w:num w:numId="12">
    <w:abstractNumId w:val="2"/>
  </w:num>
  <w:num w:numId="1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4"/>
  </w:num>
  <w:num w:numId="16">
    <w:abstractNumId w:val="13"/>
  </w:num>
  <w:num w:numId="17">
    <w:abstractNumId w:val="25"/>
  </w:num>
  <w:num w:numId="18">
    <w:abstractNumId w:val="14"/>
  </w:num>
  <w:num w:numId="19">
    <w:abstractNumId w:val="2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0"/>
  </w:num>
  <w:num w:numId="23">
    <w:abstractNumId w:val="20"/>
  </w:num>
  <w:num w:numId="24">
    <w:abstractNumId w:val="17"/>
  </w:num>
  <w:num w:numId="25">
    <w:abstractNumId w:val="28"/>
  </w:num>
  <w:num w:numId="26">
    <w:abstractNumId w:val="27"/>
  </w:num>
  <w:num w:numId="27">
    <w:abstractNumId w:val="11"/>
  </w:num>
  <w:num w:numId="28">
    <w:abstractNumId w:val="1"/>
  </w:num>
  <w:num w:numId="29">
    <w:abstractNumId w:val="18"/>
  </w:num>
  <w:num w:numId="30">
    <w:abstractNumId w:val="8"/>
  </w:num>
  <w:num w:numId="31">
    <w:abstractNumId w:val="29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8C"/>
    <w:rsid w:val="0001763B"/>
    <w:rsid w:val="000207C2"/>
    <w:rsid w:val="00036E3F"/>
    <w:rsid w:val="00036EA0"/>
    <w:rsid w:val="000377DB"/>
    <w:rsid w:val="0004025B"/>
    <w:rsid w:val="00072EE5"/>
    <w:rsid w:val="00085AA3"/>
    <w:rsid w:val="000A3B63"/>
    <w:rsid w:val="000C21E6"/>
    <w:rsid w:val="000D53C8"/>
    <w:rsid w:val="00100CBB"/>
    <w:rsid w:val="001034F9"/>
    <w:rsid w:val="00131B17"/>
    <w:rsid w:val="00154BD8"/>
    <w:rsid w:val="00157E98"/>
    <w:rsid w:val="00182C7E"/>
    <w:rsid w:val="001A3BB6"/>
    <w:rsid w:val="001A7A3D"/>
    <w:rsid w:val="001B08A0"/>
    <w:rsid w:val="001C6D98"/>
    <w:rsid w:val="002079FB"/>
    <w:rsid w:val="00212A0A"/>
    <w:rsid w:val="00230443"/>
    <w:rsid w:val="002319F1"/>
    <w:rsid w:val="0026018E"/>
    <w:rsid w:val="00286807"/>
    <w:rsid w:val="002B5893"/>
    <w:rsid w:val="002D4803"/>
    <w:rsid w:val="002E3815"/>
    <w:rsid w:val="002F3DD3"/>
    <w:rsid w:val="003007AA"/>
    <w:rsid w:val="00314137"/>
    <w:rsid w:val="00360731"/>
    <w:rsid w:val="00364DF1"/>
    <w:rsid w:val="0036646E"/>
    <w:rsid w:val="003A1B84"/>
    <w:rsid w:val="003A1E94"/>
    <w:rsid w:val="003A3539"/>
    <w:rsid w:val="003D0334"/>
    <w:rsid w:val="003D324A"/>
    <w:rsid w:val="0042176A"/>
    <w:rsid w:val="0042432D"/>
    <w:rsid w:val="004432F0"/>
    <w:rsid w:val="00464BA7"/>
    <w:rsid w:val="004664DC"/>
    <w:rsid w:val="00466ADE"/>
    <w:rsid w:val="00472874"/>
    <w:rsid w:val="00474137"/>
    <w:rsid w:val="004750BB"/>
    <w:rsid w:val="00481C5A"/>
    <w:rsid w:val="00492764"/>
    <w:rsid w:val="004A122F"/>
    <w:rsid w:val="004A157C"/>
    <w:rsid w:val="004A2778"/>
    <w:rsid w:val="004A4879"/>
    <w:rsid w:val="004D5494"/>
    <w:rsid w:val="004E55F1"/>
    <w:rsid w:val="00546CA2"/>
    <w:rsid w:val="00550FDE"/>
    <w:rsid w:val="00554BA4"/>
    <w:rsid w:val="00574936"/>
    <w:rsid w:val="00575575"/>
    <w:rsid w:val="005777DF"/>
    <w:rsid w:val="005818B5"/>
    <w:rsid w:val="00582DD8"/>
    <w:rsid w:val="005A1556"/>
    <w:rsid w:val="005D7EB3"/>
    <w:rsid w:val="005E4F5E"/>
    <w:rsid w:val="005E6370"/>
    <w:rsid w:val="006146A6"/>
    <w:rsid w:val="0062292C"/>
    <w:rsid w:val="00635324"/>
    <w:rsid w:val="00635672"/>
    <w:rsid w:val="0063738B"/>
    <w:rsid w:val="00640052"/>
    <w:rsid w:val="006479DF"/>
    <w:rsid w:val="006530E8"/>
    <w:rsid w:val="00661C3D"/>
    <w:rsid w:val="006B4C8C"/>
    <w:rsid w:val="006C541A"/>
    <w:rsid w:val="006C7E4F"/>
    <w:rsid w:val="006D498C"/>
    <w:rsid w:val="006F573E"/>
    <w:rsid w:val="00702E3F"/>
    <w:rsid w:val="00724251"/>
    <w:rsid w:val="00725BB2"/>
    <w:rsid w:val="00732163"/>
    <w:rsid w:val="00732DA9"/>
    <w:rsid w:val="007734BE"/>
    <w:rsid w:val="007918E0"/>
    <w:rsid w:val="007C2610"/>
    <w:rsid w:val="007D09F1"/>
    <w:rsid w:val="007D0C05"/>
    <w:rsid w:val="007D77D8"/>
    <w:rsid w:val="007F2119"/>
    <w:rsid w:val="007F569E"/>
    <w:rsid w:val="00844B86"/>
    <w:rsid w:val="00847FBD"/>
    <w:rsid w:val="00874D2E"/>
    <w:rsid w:val="00886B07"/>
    <w:rsid w:val="00887C40"/>
    <w:rsid w:val="0089518C"/>
    <w:rsid w:val="00897828"/>
    <w:rsid w:val="008D749C"/>
    <w:rsid w:val="0090566A"/>
    <w:rsid w:val="00917D18"/>
    <w:rsid w:val="009269FF"/>
    <w:rsid w:val="00944210"/>
    <w:rsid w:val="00947B50"/>
    <w:rsid w:val="00966171"/>
    <w:rsid w:val="009A2F2B"/>
    <w:rsid w:val="009B2749"/>
    <w:rsid w:val="009C5F37"/>
    <w:rsid w:val="009E1782"/>
    <w:rsid w:val="00A12B2E"/>
    <w:rsid w:val="00A2193C"/>
    <w:rsid w:val="00A22AEB"/>
    <w:rsid w:val="00A42BA0"/>
    <w:rsid w:val="00A770D6"/>
    <w:rsid w:val="00A851C5"/>
    <w:rsid w:val="00A90097"/>
    <w:rsid w:val="00AC132A"/>
    <w:rsid w:val="00AC22E8"/>
    <w:rsid w:val="00AC5323"/>
    <w:rsid w:val="00AC67DD"/>
    <w:rsid w:val="00AE7EC0"/>
    <w:rsid w:val="00B51268"/>
    <w:rsid w:val="00B67299"/>
    <w:rsid w:val="00B70267"/>
    <w:rsid w:val="00B86174"/>
    <w:rsid w:val="00BB0CAC"/>
    <w:rsid w:val="00BB61E7"/>
    <w:rsid w:val="00BC0F3D"/>
    <w:rsid w:val="00BC6731"/>
    <w:rsid w:val="00BD1CBE"/>
    <w:rsid w:val="00BD507B"/>
    <w:rsid w:val="00BE6D94"/>
    <w:rsid w:val="00BE7DD7"/>
    <w:rsid w:val="00BF231C"/>
    <w:rsid w:val="00BF6DDE"/>
    <w:rsid w:val="00C02502"/>
    <w:rsid w:val="00C10566"/>
    <w:rsid w:val="00C117B7"/>
    <w:rsid w:val="00C1720C"/>
    <w:rsid w:val="00C452E4"/>
    <w:rsid w:val="00C4589D"/>
    <w:rsid w:val="00C55D7E"/>
    <w:rsid w:val="00C56585"/>
    <w:rsid w:val="00C6675A"/>
    <w:rsid w:val="00C66BA3"/>
    <w:rsid w:val="00C91804"/>
    <w:rsid w:val="00C936E7"/>
    <w:rsid w:val="00CA2E2D"/>
    <w:rsid w:val="00CA457B"/>
    <w:rsid w:val="00CB337E"/>
    <w:rsid w:val="00CB3B9C"/>
    <w:rsid w:val="00CC0A5F"/>
    <w:rsid w:val="00CD70B9"/>
    <w:rsid w:val="00CE3FEE"/>
    <w:rsid w:val="00CE7748"/>
    <w:rsid w:val="00D003FE"/>
    <w:rsid w:val="00D0599D"/>
    <w:rsid w:val="00D37CD1"/>
    <w:rsid w:val="00D5601E"/>
    <w:rsid w:val="00D64481"/>
    <w:rsid w:val="00D71B48"/>
    <w:rsid w:val="00D8506D"/>
    <w:rsid w:val="00D9576A"/>
    <w:rsid w:val="00DB2DFE"/>
    <w:rsid w:val="00DB5C3B"/>
    <w:rsid w:val="00DC22E1"/>
    <w:rsid w:val="00DC3E59"/>
    <w:rsid w:val="00DC5A79"/>
    <w:rsid w:val="00DE0317"/>
    <w:rsid w:val="00E03610"/>
    <w:rsid w:val="00E22599"/>
    <w:rsid w:val="00E53E8F"/>
    <w:rsid w:val="00E70184"/>
    <w:rsid w:val="00EB685A"/>
    <w:rsid w:val="00ED349C"/>
    <w:rsid w:val="00EF0B15"/>
    <w:rsid w:val="00EF3EDD"/>
    <w:rsid w:val="00EF5495"/>
    <w:rsid w:val="00F15522"/>
    <w:rsid w:val="00F23B8B"/>
    <w:rsid w:val="00F31E0F"/>
    <w:rsid w:val="00F37E59"/>
    <w:rsid w:val="00F40A30"/>
    <w:rsid w:val="00F51E17"/>
    <w:rsid w:val="00F579B6"/>
    <w:rsid w:val="00F8469A"/>
    <w:rsid w:val="00FA7CB4"/>
    <w:rsid w:val="00FB3765"/>
    <w:rsid w:val="00FC1F1A"/>
    <w:rsid w:val="00FC22A5"/>
    <w:rsid w:val="00FE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5854A5F8"/>
  <w15:docId w15:val="{A4AB419C-2CFB-4521-82DB-51D33B22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51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9518C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B37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951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9518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8951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89518C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89518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89518C"/>
    <w:pPr>
      <w:jc w:val="both"/>
    </w:pPr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rsid w:val="0089518C"/>
    <w:rPr>
      <w:rFonts w:ascii="Garamond" w:eastAsia="Times New Roman" w:hAnsi="Garamond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89518C"/>
    <w:pPr>
      <w:tabs>
        <w:tab w:val="center" w:pos="4536"/>
        <w:tab w:val="right" w:pos="9072"/>
      </w:tabs>
    </w:pPr>
    <w:rPr>
      <w:rFonts w:ascii="TimesE" w:hAnsi="TimesE"/>
      <w:color w:val="000000"/>
    </w:rPr>
  </w:style>
  <w:style w:type="character" w:customStyle="1" w:styleId="ZhlavChar">
    <w:name w:val="Záhlaví Char"/>
    <w:basedOn w:val="Standardnpsmoodstavce"/>
    <w:link w:val="Zhlav"/>
    <w:rsid w:val="0089518C"/>
    <w:rPr>
      <w:rFonts w:ascii="TimesE" w:eastAsia="Times New Roman" w:hAnsi="TimesE" w:cs="Times New Roman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8951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51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89518C"/>
    <w:pPr>
      <w:ind w:left="567" w:hanging="567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9518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89518C"/>
    <w:pPr>
      <w:tabs>
        <w:tab w:val="num" w:pos="567"/>
      </w:tabs>
      <w:spacing w:after="120"/>
      <w:ind w:left="705" w:hanging="639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89518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89518C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95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518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51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1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18C"/>
    <w:rPr>
      <w:rFonts w:ascii="Tahoma" w:eastAsia="Times New Roman" w:hAnsi="Tahoma" w:cs="Tahoma"/>
      <w:sz w:val="16"/>
      <w:szCs w:val="1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A2F2B"/>
    <w:rPr>
      <w:color w:val="800080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33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337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apple-style-span">
    <w:name w:val="apple-style-span"/>
    <w:basedOn w:val="Standardnpsmoodstavce"/>
    <w:rsid w:val="005777DF"/>
  </w:style>
  <w:style w:type="paragraph" w:styleId="Revize">
    <w:name w:val="Revision"/>
    <w:hidden/>
    <w:uiPriority w:val="99"/>
    <w:semiHidden/>
    <w:rsid w:val="00554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B37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B376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A2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8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.eu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ocialnisluzby@plzen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cialnisluzby.plzen.e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593A-BA18-4457-B589-0BFE2E53F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1493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Koželuhová Barbora</dc:creator>
  <cp:lastModifiedBy>Kovaříková Barbora</cp:lastModifiedBy>
  <cp:revision>2</cp:revision>
  <cp:lastPrinted>2022-07-19T08:43:00Z</cp:lastPrinted>
  <dcterms:created xsi:type="dcterms:W3CDTF">2022-07-28T09:05:00Z</dcterms:created>
  <dcterms:modified xsi:type="dcterms:W3CDTF">2022-07-28T09:05:00Z</dcterms:modified>
</cp:coreProperties>
</file>