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62519" w14:textId="77777777" w:rsidR="00816EA4" w:rsidRPr="0063367B" w:rsidRDefault="00816EA4" w:rsidP="00816EA4">
      <w:pPr>
        <w:pStyle w:val="Nadpis3"/>
        <w:jc w:val="center"/>
        <w:rPr>
          <w:sz w:val="28"/>
          <w:szCs w:val="28"/>
        </w:rPr>
      </w:pPr>
      <w:r w:rsidRPr="0063367B">
        <w:rPr>
          <w:sz w:val="28"/>
          <w:szCs w:val="28"/>
        </w:rPr>
        <w:t xml:space="preserve">Kupní smlouva </w:t>
      </w:r>
    </w:p>
    <w:p w14:paraId="594A2438" w14:textId="18B8B1D0" w:rsidR="00816EA4" w:rsidRPr="00F30C15" w:rsidRDefault="00816EA4" w:rsidP="00816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Dodávka konvektomatu</w:t>
      </w:r>
    </w:p>
    <w:p w14:paraId="0C5C672B" w14:textId="77777777" w:rsidR="00816EA4" w:rsidRPr="00DA0002" w:rsidRDefault="00816EA4" w:rsidP="00816EA4">
      <w:pPr>
        <w:jc w:val="center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1"/>
      </w:tblGrid>
      <w:tr w:rsidR="00816EA4" w:rsidRPr="00DA0002" w14:paraId="4064474B" w14:textId="77777777" w:rsidTr="003E2636">
        <w:tc>
          <w:tcPr>
            <w:tcW w:w="4890" w:type="dxa"/>
          </w:tcPr>
          <w:p w14:paraId="4FEE8289" w14:textId="77777777" w:rsidR="00816EA4" w:rsidRPr="00DA0002" w:rsidRDefault="00816EA4" w:rsidP="003E2636">
            <w:r w:rsidRPr="00DA0002">
              <w:t xml:space="preserve">Číslo </w:t>
            </w:r>
            <w:r>
              <w:t>smlouvy prodávajícího</w:t>
            </w:r>
            <w:r w:rsidRPr="00DA0002">
              <w:t xml:space="preserve">: </w:t>
            </w:r>
          </w:p>
        </w:tc>
        <w:tc>
          <w:tcPr>
            <w:tcW w:w="4961" w:type="dxa"/>
          </w:tcPr>
          <w:p w14:paraId="0C12982A" w14:textId="77777777" w:rsidR="00816EA4" w:rsidRPr="00DA0002" w:rsidRDefault="00816EA4" w:rsidP="003E2636">
            <w:pPr>
              <w:jc w:val="left"/>
            </w:pPr>
            <w:r w:rsidRPr="00402829">
              <w:t>Číslo smlouvy kupujícího:</w:t>
            </w:r>
          </w:p>
        </w:tc>
      </w:tr>
    </w:tbl>
    <w:p w14:paraId="620FDF63" w14:textId="77777777" w:rsidR="00816EA4" w:rsidRPr="00DA0002" w:rsidRDefault="00816EA4" w:rsidP="00816EA4">
      <w:pPr>
        <w:jc w:val="center"/>
      </w:pPr>
      <w:r w:rsidRPr="00DA0002">
        <w:t xml:space="preserve">uzavřená mezi níže uvedenými smluvními stranami dle § </w:t>
      </w:r>
      <w:r>
        <w:t>2079</w:t>
      </w:r>
      <w:r w:rsidRPr="00DA0002">
        <w:t xml:space="preserve"> a</w:t>
      </w:r>
      <w:r>
        <w:t xml:space="preserve"> násl. zákona č. 89/2012 Sb., občanského</w:t>
      </w:r>
      <w:r w:rsidRPr="00DA0002">
        <w:t xml:space="preserve"> zákoníku </w:t>
      </w:r>
    </w:p>
    <w:p w14:paraId="15F9BC53" w14:textId="77777777" w:rsidR="00816EA4" w:rsidRPr="00DA0002" w:rsidRDefault="00816EA4" w:rsidP="00816EA4">
      <w:pPr>
        <w:jc w:val="center"/>
      </w:pPr>
      <w:r w:rsidRPr="00DA0002">
        <w:t>ve znění pozdějších předpisů</w:t>
      </w:r>
    </w:p>
    <w:p w14:paraId="28BA6A16" w14:textId="77777777" w:rsidR="00816EA4" w:rsidRDefault="00816EA4" w:rsidP="00816EA4"/>
    <w:p w14:paraId="12848EBC" w14:textId="77777777" w:rsidR="00816EA4" w:rsidRPr="00DA0002" w:rsidRDefault="00816EA4" w:rsidP="00816EA4"/>
    <w:p w14:paraId="02647361" w14:textId="7C428AAB" w:rsidR="00816EA4" w:rsidRDefault="00816EA4" w:rsidP="008D6CA7">
      <w:pPr>
        <w:pStyle w:val="Nadpis1"/>
        <w:numPr>
          <w:ilvl w:val="0"/>
          <w:numId w:val="7"/>
        </w:numPr>
        <w:tabs>
          <w:tab w:val="clear" w:pos="540"/>
          <w:tab w:val="num" w:pos="360"/>
        </w:tabs>
        <w:ind w:left="4973" w:hanging="720"/>
        <w:jc w:val="both"/>
      </w:pPr>
      <w:r w:rsidRPr="00E97ADB">
        <w:t>Smluvní strany</w:t>
      </w:r>
    </w:p>
    <w:p w14:paraId="1FCEABFF" w14:textId="56A92270" w:rsidR="008D6CA7" w:rsidRDefault="008D6CA7" w:rsidP="008D6CA7"/>
    <w:p w14:paraId="319B037F" w14:textId="321902B0" w:rsidR="008D6CA7" w:rsidRPr="008D6CA7" w:rsidRDefault="008D6CA7" w:rsidP="008D6CA7">
      <w:pPr>
        <w:pStyle w:val="Odstavecseseznamem"/>
        <w:numPr>
          <w:ilvl w:val="2"/>
          <w:numId w:val="7"/>
        </w:numPr>
        <w:rPr>
          <w:b/>
          <w:bCs/>
        </w:rPr>
      </w:pPr>
      <w:r w:rsidRPr="008D6CA7">
        <w:rPr>
          <w:b/>
          <w:bCs/>
        </w:rPr>
        <w:t>Kupující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4290"/>
      </w:tblGrid>
      <w:tr w:rsidR="00816EA4" w:rsidRPr="00DA0002" w14:paraId="4ECE48FB" w14:textId="77777777" w:rsidTr="003E2636">
        <w:tc>
          <w:tcPr>
            <w:tcW w:w="1630" w:type="dxa"/>
          </w:tcPr>
          <w:p w14:paraId="75890204" w14:textId="241F5C33" w:rsidR="00816EA4" w:rsidRPr="00FD31C2" w:rsidRDefault="00816EA4" w:rsidP="008D6CA7">
            <w:pPr>
              <w:pStyle w:val="Odstavecseseznamem"/>
              <w:numPr>
                <w:ilvl w:val="2"/>
                <w:numId w:val="7"/>
              </w:numPr>
              <w:rPr>
                <w:b/>
                <w:highlight w:val="black"/>
              </w:rPr>
            </w:pPr>
            <w:r w:rsidRPr="00FD31C2">
              <w:rPr>
                <w:b/>
                <w:highlight w:val="black"/>
              </w:rPr>
              <w:t>Kupující:</w:t>
            </w:r>
          </w:p>
          <w:p w14:paraId="62AB02BD" w14:textId="23790A33" w:rsidR="008D6CA7" w:rsidRPr="00FD31C2" w:rsidRDefault="008D6CA7" w:rsidP="008D6CA7">
            <w:pPr>
              <w:pStyle w:val="Odstavecseseznamem"/>
              <w:numPr>
                <w:ilvl w:val="2"/>
                <w:numId w:val="7"/>
              </w:numPr>
              <w:rPr>
                <w:highlight w:val="black"/>
              </w:rPr>
            </w:pPr>
          </w:p>
        </w:tc>
        <w:tc>
          <w:tcPr>
            <w:tcW w:w="8221" w:type="dxa"/>
            <w:gridSpan w:val="2"/>
          </w:tcPr>
          <w:p w14:paraId="4C43AF6A" w14:textId="3F859700" w:rsidR="00816EA4" w:rsidRPr="00FD31C2" w:rsidRDefault="00816EA4" w:rsidP="003E2636">
            <w:pPr>
              <w:jc w:val="left"/>
              <w:rPr>
                <w:highlight w:val="black"/>
              </w:rPr>
            </w:pPr>
            <w:r w:rsidRPr="00FD31C2">
              <w:rPr>
                <w:highlight w:val="black"/>
              </w:rPr>
              <w:t>Domov Větrný Mlýn Skalička</w:t>
            </w:r>
          </w:p>
          <w:p w14:paraId="0A46BDB5" w14:textId="77777777" w:rsidR="00816EA4" w:rsidRPr="00FD31C2" w:rsidRDefault="00816EA4" w:rsidP="003E2636">
            <w:pPr>
              <w:jc w:val="left"/>
              <w:rPr>
                <w:highlight w:val="black"/>
              </w:rPr>
            </w:pPr>
            <w:r w:rsidRPr="00FD31C2">
              <w:rPr>
                <w:highlight w:val="black"/>
              </w:rPr>
              <w:t>Příspěvková organizace</w:t>
            </w:r>
          </w:p>
          <w:p w14:paraId="047C9620" w14:textId="77777777" w:rsidR="00B2279F" w:rsidRPr="00FD31C2" w:rsidRDefault="00B2279F" w:rsidP="003E2636">
            <w:pPr>
              <w:jc w:val="left"/>
              <w:rPr>
                <w:highlight w:val="black"/>
              </w:rPr>
            </w:pPr>
            <w:r w:rsidRPr="00FD31C2">
              <w:rPr>
                <w:highlight w:val="black"/>
              </w:rPr>
              <w:t xml:space="preserve">Domov pro osoby se </w:t>
            </w:r>
            <w:proofErr w:type="spellStart"/>
            <w:r w:rsidRPr="00FD31C2">
              <w:rPr>
                <w:highlight w:val="black"/>
              </w:rPr>
              <w:t>zdr</w:t>
            </w:r>
            <w:proofErr w:type="spellEnd"/>
            <w:r w:rsidRPr="00FD31C2">
              <w:rPr>
                <w:highlight w:val="black"/>
              </w:rPr>
              <w:t xml:space="preserve">. </w:t>
            </w:r>
            <w:proofErr w:type="spellStart"/>
            <w:r w:rsidRPr="00FD31C2">
              <w:rPr>
                <w:highlight w:val="black"/>
              </w:rPr>
              <w:t>Pos</w:t>
            </w:r>
            <w:proofErr w:type="spellEnd"/>
            <w:r w:rsidRPr="00FD31C2">
              <w:rPr>
                <w:highlight w:val="black"/>
              </w:rPr>
              <w:t>.</w:t>
            </w:r>
          </w:p>
          <w:p w14:paraId="32316A3D" w14:textId="77777777" w:rsidR="00B2279F" w:rsidRPr="00FD31C2" w:rsidRDefault="00B2279F" w:rsidP="003E2636">
            <w:pPr>
              <w:jc w:val="left"/>
              <w:rPr>
                <w:highlight w:val="black"/>
              </w:rPr>
            </w:pPr>
            <w:r w:rsidRPr="00FD31C2">
              <w:rPr>
                <w:highlight w:val="black"/>
              </w:rPr>
              <w:t>Skalička 1</w:t>
            </w:r>
          </w:p>
          <w:p w14:paraId="20B20CF2" w14:textId="77777777" w:rsidR="00B2279F" w:rsidRPr="00FD31C2" w:rsidRDefault="00B2279F" w:rsidP="003E2636">
            <w:pPr>
              <w:jc w:val="left"/>
              <w:rPr>
                <w:highlight w:val="black"/>
              </w:rPr>
            </w:pPr>
            <w:r w:rsidRPr="00FD31C2">
              <w:rPr>
                <w:highlight w:val="black"/>
              </w:rPr>
              <w:t xml:space="preserve">Skalička u Hranic </w:t>
            </w:r>
          </w:p>
          <w:p w14:paraId="5594F6D6" w14:textId="04623AAE" w:rsidR="00B2279F" w:rsidRPr="00FD31C2" w:rsidRDefault="00B2279F" w:rsidP="003E2636">
            <w:pPr>
              <w:jc w:val="left"/>
              <w:rPr>
                <w:highlight w:val="black"/>
              </w:rPr>
            </w:pPr>
            <w:r w:rsidRPr="00FD31C2">
              <w:rPr>
                <w:highlight w:val="black"/>
              </w:rPr>
              <w:t>Přerov</w:t>
            </w:r>
          </w:p>
        </w:tc>
      </w:tr>
      <w:tr w:rsidR="00816EA4" w:rsidRPr="00DA0002" w14:paraId="111D91E4" w14:textId="77777777" w:rsidTr="003E2636">
        <w:trPr>
          <w:cantSplit/>
          <w:trHeight w:val="305"/>
        </w:trPr>
        <w:tc>
          <w:tcPr>
            <w:tcW w:w="1630" w:type="dxa"/>
            <w:vMerge w:val="restart"/>
          </w:tcPr>
          <w:p w14:paraId="5AD2ABD6" w14:textId="77777777" w:rsidR="00816EA4" w:rsidRPr="00DA0002" w:rsidRDefault="00816EA4" w:rsidP="003E2636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5F1704BC" w14:textId="16919F63" w:rsidR="00816EA4" w:rsidRPr="00DA0002" w:rsidRDefault="00816EA4" w:rsidP="003E2636">
            <w:pPr>
              <w:jc w:val="left"/>
            </w:pPr>
          </w:p>
        </w:tc>
      </w:tr>
      <w:tr w:rsidR="00816EA4" w:rsidRPr="00DA0002" w14:paraId="4893CA3E" w14:textId="77777777" w:rsidTr="003E2636">
        <w:trPr>
          <w:cantSplit/>
          <w:trHeight w:val="352"/>
        </w:trPr>
        <w:tc>
          <w:tcPr>
            <w:tcW w:w="1630" w:type="dxa"/>
            <w:vMerge/>
          </w:tcPr>
          <w:p w14:paraId="36729964" w14:textId="77777777" w:rsidR="00816EA4" w:rsidRPr="00DA0002" w:rsidRDefault="00816EA4" w:rsidP="003E2636"/>
        </w:tc>
        <w:tc>
          <w:tcPr>
            <w:tcW w:w="3931" w:type="dxa"/>
          </w:tcPr>
          <w:p w14:paraId="657368B1" w14:textId="13AE02D4" w:rsidR="00816EA4" w:rsidRPr="00421870" w:rsidRDefault="00816EA4" w:rsidP="003E2636">
            <w:r w:rsidRPr="00421870">
              <w:t>IČ:</w:t>
            </w:r>
            <w:r w:rsidRPr="006E714C">
              <w:rPr>
                <w:rStyle w:val="nowrap"/>
                <w:bCs/>
              </w:rPr>
              <w:t xml:space="preserve"> </w:t>
            </w:r>
            <w:r w:rsidR="00B2279F">
              <w:rPr>
                <w:rStyle w:val="nowrap"/>
                <w:bCs/>
              </w:rPr>
              <w:t>0061985902</w:t>
            </w:r>
          </w:p>
        </w:tc>
        <w:tc>
          <w:tcPr>
            <w:tcW w:w="4290" w:type="dxa"/>
          </w:tcPr>
          <w:p w14:paraId="17844690" w14:textId="141013DD" w:rsidR="00816EA4" w:rsidRPr="00421870" w:rsidRDefault="00816EA4" w:rsidP="003E2636">
            <w:r w:rsidRPr="00421870">
              <w:t xml:space="preserve">DIČ: </w:t>
            </w:r>
          </w:p>
        </w:tc>
      </w:tr>
    </w:tbl>
    <w:p w14:paraId="68C294BF" w14:textId="77777777" w:rsidR="00816EA4" w:rsidRDefault="00816EA4" w:rsidP="00816EA4">
      <w:pPr>
        <w:ind w:left="1985" w:hanging="1985"/>
      </w:pPr>
      <w:r w:rsidRPr="00DA0002">
        <w:tab/>
      </w:r>
    </w:p>
    <w:p w14:paraId="0BD156A1" w14:textId="77777777" w:rsidR="00816EA4" w:rsidRPr="00DA0002" w:rsidRDefault="00816EA4" w:rsidP="00816EA4">
      <w:pPr>
        <w:rPr>
          <w:b/>
        </w:rPr>
      </w:pPr>
    </w:p>
    <w:tbl>
      <w:tblPr>
        <w:tblpPr w:leftFromText="141" w:rightFromText="141" w:vertAnchor="text" w:tblpXSpec="right" w:tblpY="1"/>
        <w:tblOverlap w:val="never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142"/>
        <w:gridCol w:w="1701"/>
        <w:gridCol w:w="407"/>
        <w:gridCol w:w="727"/>
        <w:gridCol w:w="3402"/>
      </w:tblGrid>
      <w:tr w:rsidR="00816EA4" w:rsidRPr="00DA0002" w14:paraId="6ED5AA58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78F51FE6" w14:textId="77777777" w:rsidR="00816EA4" w:rsidRPr="00421870" w:rsidRDefault="00816EA4" w:rsidP="00FD31C2">
            <w:pPr>
              <w:rPr>
                <w:b/>
              </w:rPr>
            </w:pPr>
            <w:r w:rsidRPr="00421870">
              <w:rPr>
                <w:b/>
              </w:rPr>
              <w:t>Zástupce statutárního orgánu:</w:t>
            </w:r>
          </w:p>
        </w:tc>
      </w:tr>
      <w:tr w:rsidR="00816EA4" w:rsidRPr="00DA0002" w14:paraId="7106D336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15F4F279" w14:textId="77777777" w:rsidR="00816EA4" w:rsidRPr="00421870" w:rsidRDefault="00816EA4" w:rsidP="00FD31C2">
            <w:pPr>
              <w:rPr>
                <w:b/>
              </w:rPr>
            </w:pPr>
            <w:r w:rsidRPr="008D6CA7">
              <w:rPr>
                <w:u w:val="single"/>
              </w:rPr>
              <w:t>- ve věcech smluvních:</w:t>
            </w:r>
          </w:p>
        </w:tc>
      </w:tr>
      <w:tr w:rsidR="00816EA4" w:rsidRPr="00FD31C2" w14:paraId="46E40150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2DE1B4DB" w14:textId="389D0168" w:rsidR="00816EA4" w:rsidRPr="00FD31C2" w:rsidRDefault="00816EA4" w:rsidP="00FD31C2">
            <w:pPr>
              <w:rPr>
                <w:highlight w:val="black"/>
              </w:rPr>
            </w:pPr>
            <w:r w:rsidRPr="00FD31C2">
              <w:rPr>
                <w:highlight w:val="black"/>
              </w:rPr>
              <w:t xml:space="preserve">Mgr. </w:t>
            </w:r>
            <w:r w:rsidR="00B2279F" w:rsidRPr="00FD31C2">
              <w:rPr>
                <w:highlight w:val="black"/>
              </w:rPr>
              <w:t>Antonín Němec</w:t>
            </w:r>
          </w:p>
        </w:tc>
      </w:tr>
      <w:tr w:rsidR="00816EA4" w:rsidRPr="00DA0002" w14:paraId="71B05278" w14:textId="77777777" w:rsidTr="00FD31C2">
        <w:trPr>
          <w:gridBefore w:val="1"/>
          <w:wBefore w:w="1560" w:type="dxa"/>
          <w:cantSplit/>
        </w:trPr>
        <w:tc>
          <w:tcPr>
            <w:tcW w:w="3685" w:type="dxa"/>
            <w:gridSpan w:val="4"/>
          </w:tcPr>
          <w:p w14:paraId="3413260A" w14:textId="0709527D" w:rsidR="00816EA4" w:rsidRPr="00FD31C2" w:rsidRDefault="00816EA4" w:rsidP="00FD31C2">
            <w:pPr>
              <w:jc w:val="left"/>
              <w:rPr>
                <w:b/>
                <w:highlight w:val="black"/>
              </w:rPr>
            </w:pPr>
            <w:r w:rsidRPr="00FD31C2">
              <w:rPr>
                <w:highlight w:val="black"/>
              </w:rPr>
              <w:t>tel.: 581</w:t>
            </w:r>
            <w:r w:rsidR="00B2279F" w:rsidRPr="00FD31C2">
              <w:rPr>
                <w:highlight w:val="black"/>
              </w:rPr>
              <w:t> 670 202</w:t>
            </w:r>
          </w:p>
        </w:tc>
        <w:tc>
          <w:tcPr>
            <w:tcW w:w="4536" w:type="dxa"/>
            <w:gridSpan w:val="3"/>
          </w:tcPr>
          <w:p w14:paraId="5DA72E83" w14:textId="13C50108" w:rsidR="00816EA4" w:rsidRPr="00421870" w:rsidRDefault="00816EA4" w:rsidP="00FD31C2">
            <w:pPr>
              <w:jc w:val="left"/>
              <w:rPr>
                <w:lang w:val="en-US"/>
              </w:rPr>
            </w:pPr>
            <w:r w:rsidRPr="00FD31C2">
              <w:rPr>
                <w:highlight w:val="black"/>
              </w:rPr>
              <w:t xml:space="preserve">email: </w:t>
            </w:r>
            <w:hyperlink r:id="rId8" w:history="1">
              <w:r w:rsidR="00B2279F" w:rsidRPr="00FD31C2">
                <w:rPr>
                  <w:rStyle w:val="Hypertextovodkaz"/>
                  <w:highlight w:val="black"/>
                </w:rPr>
                <w:t>reditel@uspskalicka.cz</w:t>
              </w:r>
            </w:hyperlink>
            <w:r>
              <w:rPr>
                <w:color w:val="1F497D"/>
              </w:rPr>
              <w:t xml:space="preserve"> </w:t>
            </w:r>
          </w:p>
        </w:tc>
      </w:tr>
      <w:tr w:rsidR="00816EA4" w:rsidRPr="00FD31C2" w14:paraId="6329571E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1458C19A" w14:textId="77777777" w:rsidR="00816EA4" w:rsidRDefault="00816EA4" w:rsidP="00FD31C2">
            <w:pPr>
              <w:jc w:val="left"/>
              <w:rPr>
                <w:u w:val="single"/>
              </w:rPr>
            </w:pPr>
          </w:p>
          <w:p w14:paraId="2C07FC1A" w14:textId="77777777" w:rsidR="00816EA4" w:rsidRPr="00FD31C2" w:rsidRDefault="00816EA4" w:rsidP="00FD31C2">
            <w:pPr>
              <w:jc w:val="left"/>
              <w:rPr>
                <w:highlight w:val="black"/>
                <w:u w:val="single"/>
              </w:rPr>
            </w:pPr>
            <w:r w:rsidRPr="00FD31C2">
              <w:rPr>
                <w:highlight w:val="black"/>
                <w:u w:val="single"/>
              </w:rPr>
              <w:t>- ve věcech technických:</w:t>
            </w:r>
          </w:p>
          <w:p w14:paraId="495F2C0A" w14:textId="464816E0" w:rsidR="00816EA4" w:rsidRPr="00FD31C2" w:rsidRDefault="00B2279F" w:rsidP="00FD31C2">
            <w:pPr>
              <w:jc w:val="left"/>
              <w:rPr>
                <w:highlight w:val="black"/>
              </w:rPr>
            </w:pPr>
            <w:r w:rsidRPr="00FD31C2">
              <w:rPr>
                <w:highlight w:val="black"/>
              </w:rPr>
              <w:t xml:space="preserve">Zdeněk </w:t>
            </w:r>
            <w:proofErr w:type="spellStart"/>
            <w:r w:rsidRPr="00FD31C2">
              <w:rPr>
                <w:highlight w:val="black"/>
              </w:rPr>
              <w:t>Stryk</w:t>
            </w:r>
            <w:proofErr w:type="spellEnd"/>
          </w:p>
        </w:tc>
      </w:tr>
      <w:tr w:rsidR="00816EA4" w:rsidRPr="00DA0002" w14:paraId="0BE9479B" w14:textId="77777777" w:rsidTr="00FD31C2">
        <w:trPr>
          <w:gridBefore w:val="1"/>
          <w:wBefore w:w="1560" w:type="dxa"/>
          <w:cantSplit/>
        </w:trPr>
        <w:tc>
          <w:tcPr>
            <w:tcW w:w="567" w:type="dxa"/>
          </w:tcPr>
          <w:p w14:paraId="440011C9" w14:textId="77777777" w:rsidR="00816EA4" w:rsidRPr="00FD31C2" w:rsidRDefault="00816EA4" w:rsidP="00FD31C2">
            <w:pPr>
              <w:jc w:val="left"/>
              <w:rPr>
                <w:b/>
                <w:highlight w:val="black"/>
              </w:rPr>
            </w:pPr>
            <w:r w:rsidRPr="00FD31C2">
              <w:rPr>
                <w:highlight w:val="black"/>
              </w:rPr>
              <w:t xml:space="preserve">tel.: </w:t>
            </w:r>
          </w:p>
        </w:tc>
        <w:tc>
          <w:tcPr>
            <w:tcW w:w="3118" w:type="dxa"/>
            <w:gridSpan w:val="3"/>
          </w:tcPr>
          <w:p w14:paraId="51B71779" w14:textId="4F4ECDBE" w:rsidR="00816EA4" w:rsidRPr="00FD31C2" w:rsidRDefault="00816EA4" w:rsidP="00FD31C2">
            <w:pPr>
              <w:jc w:val="left"/>
              <w:rPr>
                <w:highlight w:val="black"/>
              </w:rPr>
            </w:pPr>
            <w:r w:rsidRPr="00FD31C2">
              <w:rPr>
                <w:color w:val="000000"/>
                <w:highlight w:val="black"/>
              </w:rPr>
              <w:t>581</w:t>
            </w:r>
            <w:r w:rsidR="008D6CA7" w:rsidRPr="00FD31C2">
              <w:rPr>
                <w:color w:val="000000"/>
                <w:highlight w:val="black"/>
              </w:rPr>
              <w:t> 670 203</w:t>
            </w:r>
          </w:p>
        </w:tc>
        <w:tc>
          <w:tcPr>
            <w:tcW w:w="4536" w:type="dxa"/>
            <w:gridSpan w:val="3"/>
          </w:tcPr>
          <w:p w14:paraId="780C536C" w14:textId="09B4D257" w:rsidR="00816EA4" w:rsidRPr="005F0BCF" w:rsidRDefault="00816EA4" w:rsidP="00FD31C2">
            <w:pPr>
              <w:jc w:val="left"/>
              <w:rPr>
                <w:b/>
                <w:bCs/>
                <w:u w:val="single"/>
              </w:rPr>
            </w:pPr>
            <w:r w:rsidRPr="00FD31C2">
              <w:rPr>
                <w:highlight w:val="black"/>
              </w:rPr>
              <w:t xml:space="preserve">email: </w:t>
            </w:r>
            <w:hyperlink r:id="rId9" w:history="1">
              <w:r w:rsidR="008D6CA7" w:rsidRPr="00FD31C2">
                <w:rPr>
                  <w:rStyle w:val="Hypertextovodkaz"/>
                  <w:highlight w:val="black"/>
                </w:rPr>
                <w:t>spravce@uspskalicka.cz</w:t>
              </w:r>
            </w:hyperlink>
            <w:r>
              <w:t xml:space="preserve"> </w:t>
            </w:r>
          </w:p>
        </w:tc>
      </w:tr>
      <w:tr w:rsidR="00816EA4" w:rsidRPr="00DA0002" w14:paraId="57F71454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0F6CB20B" w14:textId="77777777" w:rsidR="00816EA4" w:rsidRPr="00DA0002" w:rsidRDefault="00816EA4" w:rsidP="00FD31C2"/>
        </w:tc>
      </w:tr>
      <w:tr w:rsidR="00816EA4" w:rsidRPr="00DA0002" w14:paraId="2480AD47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3CD3CD88" w14:textId="77777777" w:rsidR="00816EA4" w:rsidRDefault="00816EA4" w:rsidP="00FD31C2"/>
        </w:tc>
      </w:tr>
      <w:tr w:rsidR="00816EA4" w:rsidRPr="00DA0002" w14:paraId="5CDE91D0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6AB5D5F9" w14:textId="4902E9EC" w:rsidR="00816EA4" w:rsidRPr="008D6CA7" w:rsidRDefault="008D6CA7" w:rsidP="00FD31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2.    Prodávající:</w:t>
            </w:r>
          </w:p>
        </w:tc>
      </w:tr>
      <w:tr w:rsidR="00816EA4" w:rsidRPr="00F9175F" w14:paraId="01EC95BB" w14:textId="77777777" w:rsidTr="00FD31C2">
        <w:trPr>
          <w:cantSplit/>
        </w:trPr>
        <w:tc>
          <w:tcPr>
            <w:tcW w:w="1560" w:type="dxa"/>
          </w:tcPr>
          <w:p w14:paraId="618CC907" w14:textId="77777777" w:rsidR="00816EA4" w:rsidRPr="00FD31C2" w:rsidRDefault="00816EA4" w:rsidP="00FD31C2">
            <w:pPr>
              <w:jc w:val="left"/>
              <w:rPr>
                <w:b/>
                <w:highlight w:val="black"/>
              </w:rPr>
            </w:pPr>
          </w:p>
        </w:tc>
        <w:tc>
          <w:tcPr>
            <w:tcW w:w="8221" w:type="dxa"/>
            <w:gridSpan w:val="7"/>
          </w:tcPr>
          <w:p w14:paraId="6D5B941E" w14:textId="77777777" w:rsidR="00816EA4" w:rsidRPr="00FD31C2" w:rsidRDefault="008D6CA7" w:rsidP="00FD31C2">
            <w:pPr>
              <w:jc w:val="left"/>
              <w:rPr>
                <w:highlight w:val="black"/>
              </w:rPr>
            </w:pPr>
            <w:r w:rsidRPr="00FD31C2">
              <w:rPr>
                <w:highlight w:val="black"/>
              </w:rPr>
              <w:t>Jiří Ruček SET-ES Olomouc</w:t>
            </w:r>
          </w:p>
          <w:p w14:paraId="71090408" w14:textId="49D8549C" w:rsidR="008D6CA7" w:rsidRPr="00FD31C2" w:rsidRDefault="008D6CA7" w:rsidP="00FD31C2">
            <w:pPr>
              <w:jc w:val="left"/>
              <w:rPr>
                <w:highlight w:val="black"/>
              </w:rPr>
            </w:pPr>
            <w:r w:rsidRPr="00FD31C2">
              <w:rPr>
                <w:highlight w:val="black"/>
              </w:rPr>
              <w:t xml:space="preserve">Tyršova 24 </w:t>
            </w:r>
          </w:p>
        </w:tc>
      </w:tr>
      <w:tr w:rsidR="00816EA4" w:rsidRPr="00F9175F" w14:paraId="3F8C3113" w14:textId="77777777" w:rsidTr="00FD31C2">
        <w:trPr>
          <w:cantSplit/>
        </w:trPr>
        <w:tc>
          <w:tcPr>
            <w:tcW w:w="1560" w:type="dxa"/>
          </w:tcPr>
          <w:p w14:paraId="6C38CCEB" w14:textId="77777777" w:rsidR="00816EA4" w:rsidRPr="00FD31C2" w:rsidRDefault="00816EA4" w:rsidP="00FD31C2">
            <w:pPr>
              <w:rPr>
                <w:b/>
                <w:highlight w:val="black"/>
              </w:rPr>
            </w:pPr>
          </w:p>
        </w:tc>
        <w:tc>
          <w:tcPr>
            <w:tcW w:w="8221" w:type="dxa"/>
            <w:gridSpan w:val="7"/>
          </w:tcPr>
          <w:p w14:paraId="11FC5887" w14:textId="77777777" w:rsidR="00816EA4" w:rsidRPr="00FD31C2" w:rsidRDefault="008D6CA7" w:rsidP="00FD31C2">
            <w:pPr>
              <w:rPr>
                <w:highlight w:val="black"/>
              </w:rPr>
            </w:pPr>
            <w:r w:rsidRPr="00FD31C2">
              <w:rPr>
                <w:highlight w:val="black"/>
              </w:rPr>
              <w:t>772 00 Olomouc</w:t>
            </w:r>
          </w:p>
          <w:p w14:paraId="5A1A5719" w14:textId="28A9396C" w:rsidR="00F4141A" w:rsidRPr="00FD31C2" w:rsidRDefault="00F4141A" w:rsidP="00FD31C2">
            <w:pPr>
              <w:rPr>
                <w:highlight w:val="black"/>
              </w:rPr>
            </w:pPr>
            <w:r w:rsidRPr="00FD31C2">
              <w:rPr>
                <w:highlight w:val="black"/>
              </w:rPr>
              <w:t>Email: set-es@volny.cz</w:t>
            </w:r>
          </w:p>
        </w:tc>
      </w:tr>
      <w:tr w:rsidR="00816EA4" w:rsidRPr="00F9175F" w14:paraId="37DED554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00437B53" w14:textId="77777777" w:rsidR="00816EA4" w:rsidRPr="008D6CA7" w:rsidRDefault="00816EA4" w:rsidP="00FD31C2"/>
        </w:tc>
      </w:tr>
      <w:tr w:rsidR="00816EA4" w:rsidRPr="00F9175F" w14:paraId="59A54083" w14:textId="77777777" w:rsidTr="00FD31C2">
        <w:trPr>
          <w:gridBefore w:val="1"/>
          <w:wBefore w:w="1560" w:type="dxa"/>
        </w:trPr>
        <w:tc>
          <w:tcPr>
            <w:tcW w:w="567" w:type="dxa"/>
          </w:tcPr>
          <w:p w14:paraId="7AAAB781" w14:textId="77777777" w:rsidR="00816EA4" w:rsidRPr="008D6CA7" w:rsidRDefault="00816EA4" w:rsidP="00FD31C2">
            <w:r w:rsidRPr="008D6CA7">
              <w:t>IČ:</w:t>
            </w:r>
          </w:p>
        </w:tc>
        <w:tc>
          <w:tcPr>
            <w:tcW w:w="3525" w:type="dxa"/>
            <w:gridSpan w:val="4"/>
          </w:tcPr>
          <w:p w14:paraId="024EBCBD" w14:textId="0371EFAB" w:rsidR="00816EA4" w:rsidRPr="008D6CA7" w:rsidRDefault="00F4141A" w:rsidP="00FD31C2">
            <w:r w:rsidRPr="00FD31C2">
              <w:rPr>
                <w:highlight w:val="black"/>
              </w:rPr>
              <w:t>11567163</w:t>
            </w:r>
          </w:p>
        </w:tc>
        <w:tc>
          <w:tcPr>
            <w:tcW w:w="727" w:type="dxa"/>
          </w:tcPr>
          <w:p w14:paraId="21AB4F4A" w14:textId="77777777" w:rsidR="00816EA4" w:rsidRPr="008D6CA7" w:rsidRDefault="00816EA4" w:rsidP="00FD31C2">
            <w:r w:rsidRPr="008D6CA7">
              <w:t>DIČ:</w:t>
            </w:r>
          </w:p>
        </w:tc>
        <w:tc>
          <w:tcPr>
            <w:tcW w:w="3402" w:type="dxa"/>
          </w:tcPr>
          <w:p w14:paraId="440D9F4E" w14:textId="7E545527" w:rsidR="00816EA4" w:rsidRPr="008D6CA7" w:rsidRDefault="00F4141A" w:rsidP="00FD31C2">
            <w:r w:rsidRPr="00FD31C2">
              <w:rPr>
                <w:highlight w:val="black"/>
              </w:rPr>
              <w:t>CZ5902280010</w:t>
            </w:r>
          </w:p>
        </w:tc>
      </w:tr>
      <w:tr w:rsidR="00816EA4" w:rsidRPr="00F9175F" w14:paraId="6BAF76AE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33A8BEE0" w14:textId="77777777" w:rsidR="00816EA4" w:rsidRPr="008D6CA7" w:rsidRDefault="00816EA4" w:rsidP="00FD31C2"/>
        </w:tc>
      </w:tr>
      <w:tr w:rsidR="00816EA4" w:rsidRPr="00F9175F" w14:paraId="56282859" w14:textId="77777777" w:rsidTr="00FD31C2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14:paraId="4568F336" w14:textId="1786AF37" w:rsidR="00816EA4" w:rsidRPr="008D6CA7" w:rsidRDefault="00816EA4" w:rsidP="00FD31C2"/>
        </w:tc>
        <w:tc>
          <w:tcPr>
            <w:tcW w:w="6237" w:type="dxa"/>
            <w:gridSpan w:val="4"/>
          </w:tcPr>
          <w:p w14:paraId="66473E26" w14:textId="0279D901" w:rsidR="00816EA4" w:rsidRPr="008D6CA7" w:rsidRDefault="00816EA4" w:rsidP="00FD31C2"/>
        </w:tc>
      </w:tr>
      <w:tr w:rsidR="00816EA4" w:rsidRPr="00F9175F" w14:paraId="01106944" w14:textId="77777777" w:rsidTr="00FD31C2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14:paraId="5DA0B16D" w14:textId="77777777" w:rsidR="00816EA4" w:rsidRPr="008D6CA7" w:rsidRDefault="00816EA4" w:rsidP="00FD31C2"/>
        </w:tc>
        <w:tc>
          <w:tcPr>
            <w:tcW w:w="6237" w:type="dxa"/>
            <w:gridSpan w:val="4"/>
          </w:tcPr>
          <w:p w14:paraId="78C38D4B" w14:textId="77777777" w:rsidR="00816EA4" w:rsidRPr="008D6CA7" w:rsidRDefault="00816EA4" w:rsidP="00FD31C2"/>
        </w:tc>
      </w:tr>
      <w:tr w:rsidR="00816EA4" w:rsidRPr="00F9175F" w14:paraId="219B8749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6DA30248" w14:textId="77777777" w:rsidR="00816EA4" w:rsidRPr="008D6CA7" w:rsidRDefault="00816EA4" w:rsidP="00FD31C2">
            <w:r w:rsidRPr="008D6CA7">
              <w:t xml:space="preserve">                      </w:t>
            </w:r>
          </w:p>
        </w:tc>
      </w:tr>
      <w:tr w:rsidR="00816EA4" w:rsidRPr="00F9175F" w14:paraId="3C6E9C78" w14:textId="77777777" w:rsidTr="00FD31C2">
        <w:trPr>
          <w:gridBefore w:val="1"/>
          <w:wBefore w:w="1560" w:type="dxa"/>
        </w:trPr>
        <w:tc>
          <w:tcPr>
            <w:tcW w:w="3685" w:type="dxa"/>
            <w:gridSpan w:val="4"/>
          </w:tcPr>
          <w:p w14:paraId="66A1B596" w14:textId="77777777" w:rsidR="00816EA4" w:rsidRPr="008D6CA7" w:rsidRDefault="00816EA4" w:rsidP="00FD31C2">
            <w:pPr>
              <w:rPr>
                <w:b/>
              </w:rPr>
            </w:pPr>
            <w:r w:rsidRPr="008D6CA7">
              <w:rPr>
                <w:b/>
              </w:rPr>
              <w:t>Jednající:</w:t>
            </w:r>
          </w:p>
        </w:tc>
        <w:tc>
          <w:tcPr>
            <w:tcW w:w="4536" w:type="dxa"/>
            <w:gridSpan w:val="3"/>
          </w:tcPr>
          <w:p w14:paraId="64C032ED" w14:textId="77777777" w:rsidR="00816EA4" w:rsidRPr="008D6CA7" w:rsidRDefault="00816EA4" w:rsidP="00FD31C2">
            <w:pPr>
              <w:rPr>
                <w:b/>
              </w:rPr>
            </w:pPr>
          </w:p>
        </w:tc>
      </w:tr>
      <w:tr w:rsidR="00816EA4" w:rsidRPr="00F9175F" w14:paraId="0666CE5B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0A71B724" w14:textId="77777777" w:rsidR="00816EA4" w:rsidRDefault="00816EA4" w:rsidP="00FD31C2">
            <w:pPr>
              <w:rPr>
                <w:u w:val="single"/>
              </w:rPr>
            </w:pPr>
            <w:r w:rsidRPr="008D6CA7">
              <w:rPr>
                <w:u w:val="single"/>
              </w:rPr>
              <w:t>- ve věcech smluvních:</w:t>
            </w:r>
          </w:p>
          <w:p w14:paraId="7A75706C" w14:textId="40842C4A" w:rsidR="00F4141A" w:rsidRPr="00F4141A" w:rsidRDefault="00F4141A" w:rsidP="00FD31C2">
            <w:pPr>
              <w:rPr>
                <w:b/>
              </w:rPr>
            </w:pPr>
            <w:r w:rsidRPr="00FD31C2">
              <w:rPr>
                <w:highlight w:val="black"/>
              </w:rPr>
              <w:t>Jiří Ruček     603 485 717</w:t>
            </w:r>
          </w:p>
        </w:tc>
      </w:tr>
      <w:tr w:rsidR="00816EA4" w:rsidRPr="00F9175F" w14:paraId="7D6C3C9B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31073AEC" w14:textId="77777777" w:rsidR="00816EA4" w:rsidRPr="008D6CA7" w:rsidRDefault="00816EA4" w:rsidP="00FD31C2">
            <w:pPr>
              <w:pStyle w:val="Nadpis6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</w:tr>
      <w:tr w:rsidR="00816EA4" w:rsidRPr="00F9175F" w14:paraId="4ECB63C4" w14:textId="77777777" w:rsidTr="00FD31C2">
        <w:trPr>
          <w:gridBefore w:val="1"/>
          <w:wBefore w:w="1560" w:type="dxa"/>
          <w:cantSplit/>
        </w:trPr>
        <w:tc>
          <w:tcPr>
            <w:tcW w:w="567" w:type="dxa"/>
          </w:tcPr>
          <w:p w14:paraId="3C5E1473" w14:textId="1B45E30B" w:rsidR="00816EA4" w:rsidRPr="008D6CA7" w:rsidRDefault="00816EA4" w:rsidP="00FD31C2">
            <w:pPr>
              <w:jc w:val="left"/>
            </w:pPr>
          </w:p>
        </w:tc>
        <w:tc>
          <w:tcPr>
            <w:tcW w:w="1275" w:type="dxa"/>
          </w:tcPr>
          <w:p w14:paraId="00434949" w14:textId="77777777" w:rsidR="00816EA4" w:rsidRPr="008D6CA7" w:rsidRDefault="00816EA4" w:rsidP="00FD31C2">
            <w:pPr>
              <w:jc w:val="left"/>
            </w:pPr>
          </w:p>
        </w:tc>
        <w:tc>
          <w:tcPr>
            <w:tcW w:w="6379" w:type="dxa"/>
            <w:gridSpan w:val="5"/>
          </w:tcPr>
          <w:p w14:paraId="305F3044" w14:textId="502E4CD2" w:rsidR="00816EA4" w:rsidRPr="008D6CA7" w:rsidRDefault="00816EA4" w:rsidP="00FD31C2">
            <w:pPr>
              <w:jc w:val="left"/>
            </w:pPr>
          </w:p>
        </w:tc>
      </w:tr>
      <w:tr w:rsidR="00816EA4" w:rsidRPr="00F9175F" w14:paraId="204F8B6C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6BBF2DDE" w14:textId="77777777" w:rsidR="00816EA4" w:rsidRPr="008D6CA7" w:rsidRDefault="00816EA4" w:rsidP="00FD31C2">
            <w:pPr>
              <w:jc w:val="left"/>
              <w:rPr>
                <w:u w:val="single"/>
              </w:rPr>
            </w:pPr>
            <w:r w:rsidRPr="008D6CA7">
              <w:rPr>
                <w:u w:val="single"/>
              </w:rPr>
              <w:t>- ve věcech technických:</w:t>
            </w:r>
          </w:p>
        </w:tc>
      </w:tr>
      <w:tr w:rsidR="00816EA4" w:rsidRPr="00F9175F" w14:paraId="0BE08DCF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26A465C2" w14:textId="7EF61215" w:rsidR="00F4141A" w:rsidRPr="00F4141A" w:rsidRDefault="00F4141A" w:rsidP="00FD31C2">
            <w:pPr>
              <w:pStyle w:val="Nadpis2"/>
            </w:pPr>
            <w:r w:rsidRPr="00FD31C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highlight w:val="black"/>
                <w:lang w:val="cs-CZ" w:eastAsia="cs-CZ"/>
              </w:rPr>
              <w:t>Jiří Ruček</w:t>
            </w:r>
          </w:p>
        </w:tc>
      </w:tr>
      <w:tr w:rsidR="00816EA4" w:rsidRPr="00F9175F" w14:paraId="40922F72" w14:textId="77777777" w:rsidTr="00FD31C2">
        <w:trPr>
          <w:gridBefore w:val="1"/>
          <w:wBefore w:w="1560" w:type="dxa"/>
          <w:cantSplit/>
        </w:trPr>
        <w:tc>
          <w:tcPr>
            <w:tcW w:w="567" w:type="dxa"/>
          </w:tcPr>
          <w:p w14:paraId="40ACF8DE" w14:textId="3D5704AA" w:rsidR="00816EA4" w:rsidRPr="008D6CA7" w:rsidRDefault="00816EA4" w:rsidP="00FD31C2">
            <w:pPr>
              <w:jc w:val="left"/>
            </w:pPr>
          </w:p>
        </w:tc>
        <w:tc>
          <w:tcPr>
            <w:tcW w:w="1275" w:type="dxa"/>
          </w:tcPr>
          <w:p w14:paraId="46D43F1B" w14:textId="77777777" w:rsidR="00816EA4" w:rsidRPr="008D6CA7" w:rsidRDefault="00816EA4" w:rsidP="00FD31C2">
            <w:pPr>
              <w:jc w:val="left"/>
            </w:pPr>
          </w:p>
        </w:tc>
        <w:tc>
          <w:tcPr>
            <w:tcW w:w="6379" w:type="dxa"/>
            <w:gridSpan w:val="5"/>
          </w:tcPr>
          <w:p w14:paraId="5785BC35" w14:textId="4831E625" w:rsidR="00816EA4" w:rsidRPr="008D6CA7" w:rsidRDefault="00816EA4" w:rsidP="00FD31C2">
            <w:pPr>
              <w:jc w:val="left"/>
            </w:pPr>
          </w:p>
        </w:tc>
      </w:tr>
      <w:tr w:rsidR="00816EA4" w:rsidRPr="00F9175F" w14:paraId="15E1D530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4332FB5C" w14:textId="4E5AC4D3" w:rsidR="00816EA4" w:rsidRPr="008D6CA7" w:rsidRDefault="00816EA4" w:rsidP="00FD31C2">
            <w:pPr>
              <w:jc w:val="left"/>
            </w:pPr>
          </w:p>
        </w:tc>
      </w:tr>
      <w:tr w:rsidR="00816EA4" w:rsidRPr="00F9175F" w14:paraId="38153C37" w14:textId="77777777" w:rsidTr="00FD31C2">
        <w:trPr>
          <w:gridBefore w:val="1"/>
          <w:wBefore w:w="1560" w:type="dxa"/>
          <w:cantSplit/>
          <w:trHeight w:val="138"/>
        </w:trPr>
        <w:tc>
          <w:tcPr>
            <w:tcW w:w="8221" w:type="dxa"/>
            <w:gridSpan w:val="7"/>
          </w:tcPr>
          <w:p w14:paraId="13BC40F9" w14:textId="77777777" w:rsidR="00816EA4" w:rsidRPr="008D6CA7" w:rsidRDefault="00816EA4" w:rsidP="00FD31C2">
            <w:pPr>
              <w:jc w:val="left"/>
            </w:pPr>
          </w:p>
        </w:tc>
      </w:tr>
      <w:tr w:rsidR="00816EA4" w:rsidRPr="00F9175F" w14:paraId="2AAF46D0" w14:textId="77777777" w:rsidTr="00FD31C2">
        <w:trPr>
          <w:gridBefore w:val="1"/>
          <w:wBefore w:w="1560" w:type="dxa"/>
          <w:cantSplit/>
        </w:trPr>
        <w:tc>
          <w:tcPr>
            <w:tcW w:w="567" w:type="dxa"/>
          </w:tcPr>
          <w:p w14:paraId="21B3E6D2" w14:textId="5870EB0C" w:rsidR="00816EA4" w:rsidRPr="008D6CA7" w:rsidRDefault="00816EA4" w:rsidP="00FD31C2">
            <w:pPr>
              <w:jc w:val="left"/>
            </w:pPr>
          </w:p>
        </w:tc>
        <w:tc>
          <w:tcPr>
            <w:tcW w:w="1275" w:type="dxa"/>
          </w:tcPr>
          <w:p w14:paraId="0DAABBCB" w14:textId="77777777" w:rsidR="00816EA4" w:rsidRPr="008D6CA7" w:rsidRDefault="00816EA4" w:rsidP="00FD31C2">
            <w:pPr>
              <w:jc w:val="left"/>
            </w:pPr>
          </w:p>
        </w:tc>
        <w:tc>
          <w:tcPr>
            <w:tcW w:w="6379" w:type="dxa"/>
            <w:gridSpan w:val="5"/>
          </w:tcPr>
          <w:p w14:paraId="69F30262" w14:textId="0B3DAF0B" w:rsidR="00816EA4" w:rsidRPr="008D6CA7" w:rsidRDefault="00816EA4" w:rsidP="00FD31C2">
            <w:pPr>
              <w:jc w:val="left"/>
            </w:pPr>
          </w:p>
        </w:tc>
      </w:tr>
      <w:tr w:rsidR="00816EA4" w:rsidRPr="00F9175F" w14:paraId="26EA8AAE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213C71E8" w14:textId="77777777" w:rsidR="00816EA4" w:rsidRPr="008D6CA7" w:rsidRDefault="00816EA4" w:rsidP="00FD31C2">
            <w:pPr>
              <w:jc w:val="left"/>
            </w:pPr>
          </w:p>
        </w:tc>
      </w:tr>
      <w:tr w:rsidR="00816EA4" w:rsidRPr="00F9175F" w14:paraId="6672B08E" w14:textId="77777777" w:rsidTr="00FD31C2">
        <w:trPr>
          <w:gridBefore w:val="1"/>
          <w:wBefore w:w="1560" w:type="dxa"/>
          <w:cantSplit/>
        </w:trPr>
        <w:tc>
          <w:tcPr>
            <w:tcW w:w="8221" w:type="dxa"/>
            <w:gridSpan w:val="7"/>
          </w:tcPr>
          <w:p w14:paraId="0ED6EDEF" w14:textId="77777777" w:rsidR="00816EA4" w:rsidRPr="008D6CA7" w:rsidRDefault="00816EA4" w:rsidP="00FD31C2">
            <w:r w:rsidRPr="008D6CA7">
              <w:t xml:space="preserve">Bankovní spojení: </w:t>
            </w:r>
          </w:p>
        </w:tc>
      </w:tr>
    </w:tbl>
    <w:p w14:paraId="10C8EB79" w14:textId="62DA8EE0" w:rsidR="00816EA4" w:rsidRDefault="00FD31C2" w:rsidP="00816EA4">
      <w:r>
        <w:br w:type="textWrapping" w:clear="all"/>
      </w:r>
      <w:r w:rsidR="00F4141A">
        <w:tab/>
      </w:r>
      <w:r w:rsidR="00F4141A">
        <w:tab/>
        <w:t xml:space="preserve">       </w:t>
      </w:r>
      <w:r w:rsidR="00F4141A" w:rsidRPr="00FD31C2">
        <w:rPr>
          <w:highlight w:val="black"/>
        </w:rPr>
        <w:t xml:space="preserve">FIO banka    </w:t>
      </w:r>
      <w:proofErr w:type="spellStart"/>
      <w:proofErr w:type="gramStart"/>
      <w:r w:rsidR="00F4141A" w:rsidRPr="00FD31C2">
        <w:rPr>
          <w:highlight w:val="black"/>
        </w:rPr>
        <w:t>č.ú</w:t>
      </w:r>
      <w:proofErr w:type="spellEnd"/>
      <w:r w:rsidR="00F4141A" w:rsidRPr="00FD31C2">
        <w:rPr>
          <w:highlight w:val="black"/>
        </w:rPr>
        <w:t>.    2201697587/2010</w:t>
      </w:r>
      <w:proofErr w:type="gramEnd"/>
      <w:r w:rsidR="00F4141A">
        <w:tab/>
      </w:r>
    </w:p>
    <w:p w14:paraId="06FE2C32" w14:textId="77777777" w:rsidR="00816EA4" w:rsidRDefault="00816EA4" w:rsidP="00816EA4"/>
    <w:p w14:paraId="5FF22638" w14:textId="77777777" w:rsidR="00816EA4" w:rsidRDefault="00816EA4" w:rsidP="00816EA4"/>
    <w:p w14:paraId="67B12B0D" w14:textId="77777777" w:rsidR="00816EA4" w:rsidRDefault="00816EA4" w:rsidP="00816EA4"/>
    <w:p w14:paraId="12CD8378" w14:textId="77777777" w:rsidR="00816EA4" w:rsidRDefault="00816EA4" w:rsidP="00816EA4"/>
    <w:p w14:paraId="71393BBA" w14:textId="77777777" w:rsidR="00816EA4" w:rsidRPr="00F9175F" w:rsidRDefault="00816EA4" w:rsidP="00816EA4"/>
    <w:p w14:paraId="3BB5440F" w14:textId="77777777" w:rsidR="00816EA4" w:rsidRPr="00F9175F" w:rsidRDefault="00816EA4" w:rsidP="00816EA4">
      <w:pPr>
        <w:pStyle w:val="Nadpis1"/>
        <w:numPr>
          <w:ilvl w:val="0"/>
          <w:numId w:val="7"/>
        </w:numPr>
        <w:tabs>
          <w:tab w:val="clear" w:pos="540"/>
          <w:tab w:val="num" w:pos="360"/>
        </w:tabs>
        <w:ind w:left="4973" w:hanging="720"/>
      </w:pPr>
      <w:r w:rsidRPr="00F9175F">
        <w:t xml:space="preserve">Úvodní ustanovení </w:t>
      </w:r>
    </w:p>
    <w:p w14:paraId="3400C619" w14:textId="77777777" w:rsidR="00816EA4" w:rsidRPr="00F9175F" w:rsidRDefault="00816EA4" w:rsidP="00816EA4"/>
    <w:p w14:paraId="1CBC6DF9" w14:textId="3A25FA4C" w:rsidR="00816EA4" w:rsidRPr="00BC7B84" w:rsidRDefault="00816EA4" w:rsidP="007B6AA6">
      <w:r w:rsidRPr="00BC7B84">
        <w:t xml:space="preserve">Účelem této smlouvy je dodání </w:t>
      </w:r>
      <w:r w:rsidR="00F4141A">
        <w:t xml:space="preserve">konvektomatu, vč. </w:t>
      </w:r>
      <w:r w:rsidR="00011AFB">
        <w:t>p</w:t>
      </w:r>
      <w:r w:rsidR="00F4141A">
        <w:t xml:space="preserve">odstavce dle nabídky S – 22/111 ze dne </w:t>
      </w:r>
      <w:proofErr w:type="gramStart"/>
      <w:r w:rsidR="00F4141A">
        <w:t>30.5.2022</w:t>
      </w:r>
      <w:proofErr w:type="gramEnd"/>
      <w:r w:rsidRPr="00BC7B84">
        <w:t xml:space="preserve"> do </w:t>
      </w:r>
      <w:r w:rsidR="007B6AA6">
        <w:t xml:space="preserve">provozu stravování </w:t>
      </w:r>
      <w:r w:rsidR="007B6AA6" w:rsidRPr="00FD31C2">
        <w:rPr>
          <w:highlight w:val="black"/>
        </w:rPr>
        <w:t>Domov Větrný Mlýn Skalička, IČO: IČ:</w:t>
      </w:r>
      <w:r w:rsidR="007B6AA6" w:rsidRPr="00FD31C2">
        <w:rPr>
          <w:rStyle w:val="nowrap"/>
          <w:bCs/>
          <w:highlight w:val="black"/>
        </w:rPr>
        <w:t xml:space="preserve"> 0061985902</w:t>
      </w:r>
      <w:r>
        <w:t xml:space="preserve"> </w:t>
      </w:r>
      <w:r w:rsidRPr="00BC7B84">
        <w:t>dle podmínek sjednaných v této smlouvě, kdy prodávající se zavazuje k dodání tohoto předmětu plnění a převedení vlastnického práva k němu na kupujícího a kupující se zavazuje za něj uhradit touto smlouvou sjednanou kupní cenu.</w:t>
      </w:r>
    </w:p>
    <w:p w14:paraId="03D3A87A" w14:textId="77777777" w:rsidR="00816EA4" w:rsidRDefault="00816EA4" w:rsidP="00816EA4"/>
    <w:p w14:paraId="69F2FA94" w14:textId="77777777" w:rsidR="00816EA4" w:rsidRPr="00B33BA5" w:rsidRDefault="00816EA4" w:rsidP="00816EA4"/>
    <w:p w14:paraId="2983EAB1" w14:textId="77777777" w:rsidR="00816EA4" w:rsidRDefault="00816EA4" w:rsidP="00816EA4">
      <w:pPr>
        <w:pStyle w:val="Nadpis1"/>
        <w:numPr>
          <w:ilvl w:val="0"/>
          <w:numId w:val="7"/>
        </w:numPr>
        <w:tabs>
          <w:tab w:val="clear" w:pos="540"/>
          <w:tab w:val="num" w:pos="360"/>
        </w:tabs>
        <w:ind w:left="4973" w:hanging="720"/>
      </w:pPr>
      <w:r w:rsidRPr="00E97ADB">
        <w:t>Předmět plnění</w:t>
      </w:r>
    </w:p>
    <w:p w14:paraId="44CF437F" w14:textId="77777777" w:rsidR="00816EA4" w:rsidRPr="0049042B" w:rsidRDefault="00816EA4" w:rsidP="00816EA4"/>
    <w:p w14:paraId="5E5D25A5" w14:textId="0F812FF5" w:rsidR="00816EA4" w:rsidRDefault="00816EA4" w:rsidP="00816EA4">
      <w:pPr>
        <w:numPr>
          <w:ilvl w:val="0"/>
          <w:numId w:val="8"/>
        </w:numPr>
      </w:pPr>
      <w:r w:rsidRPr="00BC7B84">
        <w:t xml:space="preserve">Předmětem plnění této smlouvy je dodání </w:t>
      </w:r>
      <w:r w:rsidR="007B6AA6">
        <w:t xml:space="preserve">konvektomatu B 1011 b vč. </w:t>
      </w:r>
      <w:r w:rsidR="009B3E0B">
        <w:t>p</w:t>
      </w:r>
      <w:r w:rsidR="007B6AA6">
        <w:t xml:space="preserve">odstavce </w:t>
      </w:r>
      <w:r w:rsidRPr="00842580">
        <w:t>v souladu</w:t>
      </w:r>
      <w:r w:rsidRPr="00BC7B84">
        <w:t xml:space="preserve"> s technickými </w:t>
      </w:r>
      <w:r w:rsidR="007B6AA6">
        <w:t xml:space="preserve">parametry uvedenými v nabídce S – 22/111 ze dne </w:t>
      </w:r>
      <w:proofErr w:type="gramStart"/>
      <w:r w:rsidR="007B6AA6">
        <w:t>30.5.2022</w:t>
      </w:r>
      <w:proofErr w:type="gramEnd"/>
      <w:r w:rsidRPr="00BC7B84">
        <w:t>.</w:t>
      </w:r>
    </w:p>
    <w:p w14:paraId="367A01DC" w14:textId="77777777" w:rsidR="00816EA4" w:rsidRDefault="00816EA4" w:rsidP="00816EA4"/>
    <w:p w14:paraId="01A62360" w14:textId="01EA7C74" w:rsidR="00816EA4" w:rsidRPr="00BC7B84" w:rsidRDefault="00816EA4" w:rsidP="00816EA4">
      <w:pPr>
        <w:numPr>
          <w:ilvl w:val="0"/>
          <w:numId w:val="8"/>
        </w:numPr>
      </w:pPr>
      <w:r w:rsidRPr="00BC7B84">
        <w:t>Prodávající se zavazuje dodat předmět plnění do místa plnění a v termínu plnění dle této smlouvy a provést jeho umístění, instalaci, uvedení do provozu, odzkoušení jeho funkčnosti a proškolení personálu kupujícího v provozních prostorech místa plnění. Dále je předmětem plnění odvoz veškerého odpadu a nepotřeb</w:t>
      </w:r>
      <w:r>
        <w:t xml:space="preserve">ného materiálu z místa plnění. </w:t>
      </w:r>
      <w:r w:rsidRPr="00FB6446">
        <w:t>Součástí předmětu plněn</w:t>
      </w:r>
      <w:r>
        <w:t>í bude demontáž stávajících</w:t>
      </w:r>
      <w:r w:rsidRPr="00FB6446">
        <w:t xml:space="preserve"> </w:t>
      </w:r>
      <w:r>
        <w:t>gastro zařízení, jejich odvoz a ekologická</w:t>
      </w:r>
      <w:r w:rsidRPr="00FB6446">
        <w:t xml:space="preserve"> likvidace (včetně protokolu o ekologické likvidaci)</w:t>
      </w:r>
      <w:r>
        <w:t>.</w:t>
      </w:r>
    </w:p>
    <w:p w14:paraId="5DA7D42B" w14:textId="77777777" w:rsidR="00816EA4" w:rsidRDefault="00816EA4" w:rsidP="00816EA4"/>
    <w:p w14:paraId="0A835B9A" w14:textId="77777777" w:rsidR="00816EA4" w:rsidRPr="00DA0002" w:rsidRDefault="00816EA4" w:rsidP="00816EA4"/>
    <w:p w14:paraId="6C5DEA0D" w14:textId="6932DAD8" w:rsidR="00816EA4" w:rsidRPr="00DA0002" w:rsidRDefault="00816EA4" w:rsidP="00B970CF">
      <w:pPr>
        <w:pStyle w:val="Nadpis1"/>
        <w:numPr>
          <w:ilvl w:val="0"/>
          <w:numId w:val="7"/>
        </w:numPr>
        <w:tabs>
          <w:tab w:val="clear" w:pos="540"/>
          <w:tab w:val="num" w:pos="360"/>
        </w:tabs>
        <w:ind w:left="4973" w:hanging="720"/>
        <w:jc w:val="both"/>
      </w:pPr>
      <w:r w:rsidRPr="00DA0002">
        <w:t>Termín</w:t>
      </w:r>
      <w:r>
        <w:t xml:space="preserve"> a místo</w:t>
      </w:r>
      <w:r w:rsidRPr="00DA0002">
        <w:t xml:space="preserve"> plnění</w:t>
      </w:r>
    </w:p>
    <w:p w14:paraId="69E8DD05" w14:textId="77777777" w:rsidR="00816EA4" w:rsidRPr="00DA0002" w:rsidRDefault="00816EA4" w:rsidP="00816EA4"/>
    <w:p w14:paraId="25740307" w14:textId="137B3475" w:rsidR="00816EA4" w:rsidRDefault="00816EA4" w:rsidP="00816EA4">
      <w:pPr>
        <w:numPr>
          <w:ilvl w:val="0"/>
          <w:numId w:val="1"/>
        </w:numPr>
        <w:rPr>
          <w:b/>
          <w:bCs/>
        </w:rPr>
      </w:pPr>
      <w:r w:rsidRPr="00DF4A81">
        <w:rPr>
          <w:bCs/>
        </w:rPr>
        <w:t xml:space="preserve">Místem plnění </w:t>
      </w:r>
      <w:r w:rsidRPr="00FD31C2">
        <w:rPr>
          <w:bCs/>
          <w:highlight w:val="black"/>
        </w:rPr>
        <w:t xml:space="preserve">je </w:t>
      </w:r>
      <w:r w:rsidR="009B3E0B" w:rsidRPr="00FD31C2">
        <w:rPr>
          <w:bCs/>
          <w:highlight w:val="black"/>
        </w:rPr>
        <w:t>stravovací provoz Domova Větrný Mlýn Skalička, IČO: 0061985902</w:t>
      </w:r>
      <w:r w:rsidRPr="00FD31C2">
        <w:rPr>
          <w:bCs/>
          <w:highlight w:val="black"/>
        </w:rPr>
        <w:t>.</w:t>
      </w:r>
    </w:p>
    <w:p w14:paraId="6EA4E0D5" w14:textId="0D8B6356" w:rsidR="00816EA4" w:rsidRPr="00DB5515" w:rsidRDefault="00816EA4" w:rsidP="00816EA4">
      <w:pPr>
        <w:numPr>
          <w:ilvl w:val="0"/>
          <w:numId w:val="1"/>
        </w:numPr>
        <w:rPr>
          <w:b/>
        </w:rPr>
      </w:pPr>
      <w:r w:rsidRPr="00DB5515">
        <w:t xml:space="preserve">Prodávající se zavazuje dodat předmět plnění dle čl. III. této smlouvy a uvést jej do provozu </w:t>
      </w:r>
      <w:r w:rsidR="009B3E0B">
        <w:t>v 30. týdnu 2022</w:t>
      </w:r>
      <w:r w:rsidRPr="00DB5515">
        <w:rPr>
          <w:b/>
        </w:rPr>
        <w:t>.</w:t>
      </w:r>
    </w:p>
    <w:p w14:paraId="46523B8C" w14:textId="77777777" w:rsidR="00816EA4" w:rsidRDefault="00816EA4" w:rsidP="00816EA4"/>
    <w:p w14:paraId="5BC3408D" w14:textId="77777777" w:rsidR="00816EA4" w:rsidRPr="006A5FAB" w:rsidRDefault="00816EA4" w:rsidP="00816EA4"/>
    <w:p w14:paraId="6C904121" w14:textId="77777777" w:rsidR="00816EA4" w:rsidRPr="00DA0002" w:rsidRDefault="00816EA4" w:rsidP="00816EA4">
      <w:pPr>
        <w:pStyle w:val="Nadpis1"/>
        <w:numPr>
          <w:ilvl w:val="0"/>
          <w:numId w:val="7"/>
        </w:numPr>
        <w:tabs>
          <w:tab w:val="clear" w:pos="540"/>
          <w:tab w:val="num" w:pos="360"/>
        </w:tabs>
        <w:ind w:left="4973" w:hanging="720"/>
      </w:pPr>
      <w:r>
        <w:t>Cena předmětu plnění</w:t>
      </w:r>
      <w:r w:rsidRPr="00DA0002">
        <w:t xml:space="preserve"> a platební podmínky</w:t>
      </w:r>
    </w:p>
    <w:p w14:paraId="751F7C02" w14:textId="77777777" w:rsidR="00816EA4" w:rsidRPr="004A32B3" w:rsidRDefault="00816EA4" w:rsidP="00816EA4"/>
    <w:p w14:paraId="53E53DA7" w14:textId="281E5294" w:rsidR="00816EA4" w:rsidRDefault="00816EA4" w:rsidP="00816EA4">
      <w:pPr>
        <w:numPr>
          <w:ilvl w:val="0"/>
          <w:numId w:val="4"/>
        </w:numPr>
      </w:pPr>
      <w:r>
        <w:t>Celková c</w:t>
      </w:r>
      <w:r w:rsidRPr="00906944">
        <w:t xml:space="preserve">ena </w:t>
      </w:r>
      <w:r>
        <w:t xml:space="preserve">za dodání předmětu plnění </w:t>
      </w:r>
      <w:r w:rsidRPr="00906944">
        <w:t xml:space="preserve">je stranami sjednána na základě výsledků výběrového řízení předmětné veřejné zakázky ve výši </w:t>
      </w:r>
      <w:r w:rsidR="009B3E0B">
        <w:t>299</w:t>
      </w:r>
      <w:r w:rsidR="00725D63">
        <w:t xml:space="preserve"> 120,- </w:t>
      </w:r>
      <w:r w:rsidRPr="00906944">
        <w:rPr>
          <w:b/>
        </w:rPr>
        <w:t xml:space="preserve">bez DPH, tj. ve výši </w:t>
      </w:r>
      <w:r w:rsidR="00725D63">
        <w:rPr>
          <w:b/>
        </w:rPr>
        <w:t>3</w:t>
      </w:r>
      <w:r w:rsidR="00387BCC">
        <w:rPr>
          <w:b/>
        </w:rPr>
        <w:t>43 98</w:t>
      </w:r>
      <w:r w:rsidR="00617C3D">
        <w:rPr>
          <w:b/>
        </w:rPr>
        <w:t>8</w:t>
      </w:r>
      <w:r w:rsidR="00725D63">
        <w:rPr>
          <w:b/>
        </w:rPr>
        <w:t xml:space="preserve">,- </w:t>
      </w:r>
      <w:r w:rsidRPr="00906944">
        <w:rPr>
          <w:b/>
        </w:rPr>
        <w:t xml:space="preserve">Kč vč. </w:t>
      </w:r>
      <w:r w:rsidR="00387BCC">
        <w:rPr>
          <w:b/>
        </w:rPr>
        <w:t>15</w:t>
      </w:r>
      <w:r w:rsidRPr="00906944">
        <w:rPr>
          <w:b/>
        </w:rPr>
        <w:t xml:space="preserve"> % DPH.</w:t>
      </w:r>
      <w:r w:rsidRPr="00BC7B84">
        <w:t xml:space="preserve"> </w:t>
      </w:r>
      <w:r>
        <w:t>Celková c</w:t>
      </w:r>
      <w:r w:rsidRPr="008B454E">
        <w:t>ena bude uváděna</w:t>
      </w:r>
      <w:r w:rsidRPr="004A32B3">
        <w:t xml:space="preserve"> </w:t>
      </w:r>
      <w:r>
        <w:t xml:space="preserve">s matematickým zaokrouhlením </w:t>
      </w:r>
      <w:r w:rsidRPr="004A32B3">
        <w:t xml:space="preserve">na </w:t>
      </w:r>
      <w:r>
        <w:t>celé koruny</w:t>
      </w:r>
      <w:r w:rsidRPr="004A32B3">
        <w:t xml:space="preserve">. Celková sjednaná cena </w:t>
      </w:r>
      <w:r>
        <w:t>za předmět plnění</w:t>
      </w:r>
      <w:r w:rsidRPr="004A32B3">
        <w:t xml:space="preserve"> </w:t>
      </w:r>
      <w:r w:rsidRPr="004A32B3">
        <w:rPr>
          <w:b/>
        </w:rPr>
        <w:t>bez DPH</w:t>
      </w:r>
      <w:r w:rsidRPr="004A32B3">
        <w:t xml:space="preserve"> je cenou nejvýše přípustnou (dále jen „celková cena“). </w:t>
      </w:r>
    </w:p>
    <w:p w14:paraId="60B3C0E4" w14:textId="1451348D" w:rsidR="00816EA4" w:rsidRPr="004A32B3" w:rsidRDefault="00816EA4" w:rsidP="00816EA4">
      <w:pPr>
        <w:numPr>
          <w:ilvl w:val="0"/>
          <w:numId w:val="4"/>
        </w:numPr>
      </w:pPr>
      <w:r w:rsidRPr="004A32B3">
        <w:t xml:space="preserve">Celková cena obsahuje </w:t>
      </w:r>
      <w:r>
        <w:t>veškeré náklady spojené s dodáním, umístěním, instalací</w:t>
      </w:r>
      <w:r w:rsidRPr="00234075">
        <w:t xml:space="preserve"> </w:t>
      </w:r>
      <w:r>
        <w:t xml:space="preserve">uvedením do provozu, odzkoušením funkčnosti předmětu plnění a proškolením personálu kupujícího k jeho užívání. Součástí celkové ceny je i </w:t>
      </w:r>
      <w:r w:rsidRPr="004A32B3">
        <w:t>odvoz veškerého odpadu</w:t>
      </w:r>
      <w:r>
        <w:t xml:space="preserve"> a nepotřebného materiálu</w:t>
      </w:r>
      <w:r w:rsidRPr="004A32B3">
        <w:t xml:space="preserve"> z místa plnění</w:t>
      </w:r>
      <w:r>
        <w:t xml:space="preserve">. </w:t>
      </w:r>
      <w:r w:rsidRPr="006730C9">
        <w:t>Součástí předmětu plnění bude také demontáž stávající</w:t>
      </w:r>
      <w:r w:rsidR="00725D63">
        <w:t>ho konvektomatu</w:t>
      </w:r>
      <w:r w:rsidRPr="006730C9">
        <w:t>, je</w:t>
      </w:r>
      <w:r w:rsidR="00725D63">
        <w:t>ho</w:t>
      </w:r>
      <w:r w:rsidRPr="006730C9">
        <w:t xml:space="preserve"> odvoz a ekologická likvidace (včetně pr</w:t>
      </w:r>
      <w:r>
        <w:t>otokolu o ekologické likvidaci)</w:t>
      </w:r>
      <w:r w:rsidRPr="003A394E">
        <w:t>.</w:t>
      </w:r>
    </w:p>
    <w:p w14:paraId="6AFBC6C3" w14:textId="77777777" w:rsidR="00816EA4" w:rsidRPr="004A32B3" w:rsidRDefault="00816EA4" w:rsidP="00816EA4">
      <w:pPr>
        <w:numPr>
          <w:ilvl w:val="0"/>
          <w:numId w:val="4"/>
        </w:numPr>
      </w:pPr>
      <w:r w:rsidRPr="004A32B3">
        <w:t>Celková cena je platná po celou dobu realizace předmětu plnění, kryje veškeré náklady nezbytné k řádné</w:t>
      </w:r>
      <w:r>
        <w:t>mu</w:t>
      </w:r>
      <w:r w:rsidRPr="004A32B3">
        <w:t xml:space="preserve"> a včasné</w:t>
      </w:r>
      <w:r>
        <w:t>mu</w:t>
      </w:r>
      <w:r w:rsidRPr="004A32B3">
        <w:t xml:space="preserve"> dodání předmětu plnění. Stejně tak sjednaná cena obsahuje i předpokládané náklady vzniklé vývojem cen v národním hospodářství po dobu realizace předmětu plnění. </w:t>
      </w:r>
    </w:p>
    <w:p w14:paraId="5805222C" w14:textId="77777777" w:rsidR="00816EA4" w:rsidRPr="006B5848" w:rsidRDefault="00816EA4" w:rsidP="00816EA4">
      <w:pPr>
        <w:numPr>
          <w:ilvl w:val="0"/>
          <w:numId w:val="4"/>
        </w:numPr>
      </w:pPr>
      <w:r w:rsidRPr="00572D2E">
        <w:t>Záloha na cenu předmětu plnění</w:t>
      </w:r>
      <w:r w:rsidRPr="004A32B3">
        <w:t xml:space="preserve"> se nesjednává. </w:t>
      </w:r>
    </w:p>
    <w:p w14:paraId="57FCCB39" w14:textId="77777777" w:rsidR="00816EA4" w:rsidRPr="006B5848" w:rsidRDefault="00816EA4" w:rsidP="00816EA4">
      <w:pPr>
        <w:numPr>
          <w:ilvl w:val="0"/>
          <w:numId w:val="4"/>
        </w:numPr>
        <w:rPr>
          <w:b/>
          <w:u w:val="single"/>
        </w:rPr>
      </w:pPr>
      <w:r>
        <w:t>Kupní cena dle odst. 1 tohoto článku smlouvy bude prodávajícímu uhrazena na základě daňového dokladu – faktury, který bude vystaven v souladu s touto smlouvou.</w:t>
      </w:r>
    </w:p>
    <w:p w14:paraId="180D305D" w14:textId="77777777" w:rsidR="00816EA4" w:rsidRPr="00043423" w:rsidRDefault="00816EA4" w:rsidP="00816EA4">
      <w:pPr>
        <w:numPr>
          <w:ilvl w:val="0"/>
          <w:numId w:val="4"/>
        </w:numPr>
        <w:rPr>
          <w:b/>
          <w:u w:val="single"/>
        </w:rPr>
      </w:pPr>
      <w:r w:rsidRPr="00043423">
        <w:t xml:space="preserve">Prodávající je oprávněn vystavit fakturu – daňový doklad po </w:t>
      </w:r>
      <w:r>
        <w:t>převzetí předmětu plnění této smlouvy, tj. po podpisu předávacího protokolu kupujícím, a to v 1 originále.</w:t>
      </w:r>
    </w:p>
    <w:p w14:paraId="4D050D6B" w14:textId="77777777" w:rsidR="00816EA4" w:rsidRPr="00926A42" w:rsidRDefault="00816EA4" w:rsidP="00816EA4">
      <w:pPr>
        <w:numPr>
          <w:ilvl w:val="0"/>
          <w:numId w:val="4"/>
        </w:numPr>
      </w:pPr>
      <w:r w:rsidRPr="00CB587A">
        <w:t>Kupní cena bude prodávajícímu uhrazena</w:t>
      </w:r>
      <w:r>
        <w:t xml:space="preserve"> na základě daňového dokladu</w:t>
      </w:r>
      <w:r w:rsidRPr="00CB587A">
        <w:t xml:space="preserve"> jednorázově bezhotovostním převodem na bankovní účet prodávajícího uvedený v úvodním článku této smlouvy.</w:t>
      </w:r>
    </w:p>
    <w:p w14:paraId="55E08D19" w14:textId="77777777" w:rsidR="00816EA4" w:rsidRPr="00926A42" w:rsidRDefault="00816EA4" w:rsidP="00816EA4">
      <w:pPr>
        <w:numPr>
          <w:ilvl w:val="0"/>
          <w:numId w:val="4"/>
        </w:numPr>
      </w:pPr>
      <w:r w:rsidRPr="00CB587A">
        <w:t xml:space="preserve">Lhůta splatnosti se </w:t>
      </w:r>
      <w:r>
        <w:t>sjednává</w:t>
      </w:r>
      <w:r w:rsidRPr="00CB587A">
        <w:t xml:space="preserve"> v délce 30 dní ode dne doručení daňového dokladu kupujícímu.</w:t>
      </w:r>
      <w:r>
        <w:t xml:space="preserve"> </w:t>
      </w:r>
      <w:r w:rsidRPr="00CB587A">
        <w:t xml:space="preserve">Dnem uskutečnění zdanitelného plnění je </w:t>
      </w:r>
      <w:r>
        <w:t>den převzetí předmětu plnění kupujícím</w:t>
      </w:r>
      <w:r w:rsidRPr="00CB587A">
        <w:t>.</w:t>
      </w:r>
    </w:p>
    <w:p w14:paraId="2291E002" w14:textId="77777777" w:rsidR="00816EA4" w:rsidRPr="00926A42" w:rsidRDefault="00816EA4" w:rsidP="00816EA4">
      <w:pPr>
        <w:numPr>
          <w:ilvl w:val="0"/>
          <w:numId w:val="4"/>
        </w:numPr>
      </w:pPr>
      <w:r>
        <w:lastRenderedPageBreak/>
        <w:t>Daňový doklad</w:t>
      </w:r>
      <w:r w:rsidRPr="00CB587A">
        <w:t xml:space="preserve"> musí obsahovat náležitosti daňového dokladu dle ustanovení zvláštního právního předpisu (zejména zákona č. 235/2004 Sb., o dani z přidané hodnoty, ve znění pozdějších předpisů). V případě, že nebude odpovídat stanoveným požadavkům, je kupující oprávněn zaslat ji ve lhůtě splatnosti zpět prodávajícímu k doplnění, aniž by se tak dostal do prodlení s platbou; lhůta splatnosti počíná běžet znovu od opětovného doručení náležitě doplněných či opravených dokladů kupujícímu. </w:t>
      </w:r>
    </w:p>
    <w:p w14:paraId="514B8418" w14:textId="77777777" w:rsidR="00816EA4" w:rsidRPr="00926A42" w:rsidRDefault="00816EA4" w:rsidP="00816EA4">
      <w:pPr>
        <w:numPr>
          <w:ilvl w:val="0"/>
          <w:numId w:val="4"/>
        </w:numPr>
      </w:pPr>
      <w:r w:rsidRPr="00CB587A">
        <w:t>Daňový doklad se považuje za včas uhrazený, pokud je fakturovaná částka nejpozději v den splatnosti odepsána z účtu kupujícího ve prospěch účtu prodávajícího.</w:t>
      </w:r>
    </w:p>
    <w:p w14:paraId="59175E9D" w14:textId="77777777" w:rsidR="00816EA4" w:rsidRDefault="00816EA4" w:rsidP="00816EA4">
      <w:pPr>
        <w:numPr>
          <w:ilvl w:val="0"/>
          <w:numId w:val="4"/>
        </w:numPr>
      </w:pPr>
      <w:r w:rsidRPr="00907B82">
        <w:t>Příjemce zdanitelného plnění (</w:t>
      </w:r>
      <w:r>
        <w:t>kupující) si vy</w:t>
      </w:r>
      <w:r w:rsidRPr="00907B82">
        <w:t>hrazuje právo uplatnit institut zvláštního způsobu zajištění daně z přidané hodnoty ve smyslu § 109a ZDPH,  pokud poskytovatel zdanitelného plnění (</w:t>
      </w:r>
      <w:r>
        <w:t>prodávající</w:t>
      </w:r>
      <w:r w:rsidRPr="00907B82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plátcem. V případě, že nastanou okolnosti umožňující příjemci zdanitelného plnění uplatnit zvláštní způsob  zajištění daně podle § 109a ZDPH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70959B54" w14:textId="77777777" w:rsidR="00816EA4" w:rsidRDefault="00816EA4" w:rsidP="00816EA4">
      <w:pPr>
        <w:numPr>
          <w:ilvl w:val="0"/>
          <w:numId w:val="4"/>
        </w:numPr>
      </w:pPr>
      <w:r>
        <w:t>Kupující</w:t>
      </w:r>
      <w:r w:rsidRPr="00907B82">
        <w:t xml:space="preserve"> si vyhrazuje právo neuhradit </w:t>
      </w:r>
      <w:r>
        <w:t>prodávajícímu</w:t>
      </w:r>
      <w:r w:rsidRPr="00907B82">
        <w:t xml:space="preserve"> </w:t>
      </w:r>
      <w:r>
        <w:t xml:space="preserve">kupní </w:t>
      </w:r>
      <w:r w:rsidRPr="00907B82">
        <w:t xml:space="preserve">cenu, či její část v případě, že </w:t>
      </w:r>
      <w:r>
        <w:t>prodávající</w:t>
      </w:r>
      <w:r w:rsidRPr="00907B82">
        <w:t xml:space="preserve"> nebude disponovat bankovním účtem zveřejněným v registru plátců. Tímto postupem se </w:t>
      </w:r>
      <w:r>
        <w:t>kupující</w:t>
      </w:r>
      <w:r w:rsidRPr="00907B82">
        <w:t xml:space="preserve"> nedostává do prodlení a </w:t>
      </w:r>
      <w:r>
        <w:t>prodávající</w:t>
      </w:r>
      <w:r w:rsidRPr="00907B82">
        <w:t xml:space="preserve"> není oprávněn domáhat se na </w:t>
      </w:r>
      <w:r>
        <w:t>kupujícím</w:t>
      </w:r>
      <w:r w:rsidRPr="00907B82">
        <w:t xml:space="preserve"> úroků z prodlení.</w:t>
      </w:r>
    </w:p>
    <w:p w14:paraId="3674CDBE" w14:textId="77777777" w:rsidR="00816EA4" w:rsidRDefault="00816EA4" w:rsidP="00816EA4"/>
    <w:p w14:paraId="3A05BEFA" w14:textId="77777777" w:rsidR="00816EA4" w:rsidRPr="00DA0002" w:rsidRDefault="00816EA4" w:rsidP="00816EA4"/>
    <w:p w14:paraId="097C4534" w14:textId="77777777" w:rsidR="00816EA4" w:rsidRDefault="00816EA4" w:rsidP="00816EA4">
      <w:pPr>
        <w:pStyle w:val="Nadpis1"/>
        <w:numPr>
          <w:ilvl w:val="0"/>
          <w:numId w:val="7"/>
        </w:numPr>
        <w:tabs>
          <w:tab w:val="clear" w:pos="540"/>
          <w:tab w:val="num" w:pos="360"/>
        </w:tabs>
        <w:ind w:left="4973" w:hanging="720"/>
      </w:pPr>
      <w:r>
        <w:t xml:space="preserve">Předávací řízení </w:t>
      </w:r>
    </w:p>
    <w:p w14:paraId="7F77A132" w14:textId="77777777" w:rsidR="00816EA4" w:rsidRPr="00B5764D" w:rsidRDefault="00816EA4" w:rsidP="00816EA4"/>
    <w:p w14:paraId="2B6FFC0B" w14:textId="77777777" w:rsidR="00816EA4" w:rsidRDefault="00816EA4" w:rsidP="00816EA4">
      <w:pPr>
        <w:numPr>
          <w:ilvl w:val="0"/>
          <w:numId w:val="5"/>
        </w:numPr>
      </w:pPr>
      <w:r>
        <w:t>Smluvní strany vyhotoví o předání a převzetí předmětu plnění předávací protokol, který bude obsahovat alespoň následující:</w:t>
      </w:r>
    </w:p>
    <w:p w14:paraId="0224F5A9" w14:textId="77777777" w:rsidR="00816EA4" w:rsidRDefault="00816EA4" w:rsidP="00816EA4">
      <w:pPr>
        <w:numPr>
          <w:ilvl w:val="1"/>
          <w:numId w:val="6"/>
        </w:numPr>
      </w:pPr>
      <w:r>
        <w:t>identifikační údaje smluvních stran,</w:t>
      </w:r>
    </w:p>
    <w:p w14:paraId="5EF108B1" w14:textId="77777777" w:rsidR="00816EA4" w:rsidRDefault="00816EA4" w:rsidP="00816EA4">
      <w:pPr>
        <w:numPr>
          <w:ilvl w:val="1"/>
          <w:numId w:val="6"/>
        </w:numPr>
      </w:pPr>
      <w:r>
        <w:t>název předmětné veřejné zakázky,</w:t>
      </w:r>
    </w:p>
    <w:p w14:paraId="5FE76643" w14:textId="77777777" w:rsidR="00816EA4" w:rsidRDefault="00816EA4" w:rsidP="00816EA4">
      <w:pPr>
        <w:numPr>
          <w:ilvl w:val="1"/>
          <w:numId w:val="6"/>
        </w:numPr>
      </w:pPr>
      <w:r>
        <w:t>číslo této smlouvy,</w:t>
      </w:r>
    </w:p>
    <w:p w14:paraId="4B4B01C3" w14:textId="77777777" w:rsidR="00816EA4" w:rsidRDefault="00816EA4" w:rsidP="00816EA4">
      <w:pPr>
        <w:numPr>
          <w:ilvl w:val="1"/>
          <w:numId w:val="6"/>
        </w:numPr>
      </w:pPr>
      <w:r>
        <w:t>technickou specifikaci předávaného předmětu plnění,</w:t>
      </w:r>
    </w:p>
    <w:p w14:paraId="178F857C" w14:textId="77777777" w:rsidR="00816EA4" w:rsidRDefault="00816EA4" w:rsidP="00816EA4">
      <w:pPr>
        <w:numPr>
          <w:ilvl w:val="1"/>
          <w:numId w:val="6"/>
        </w:numPr>
      </w:pPr>
      <w:r>
        <w:t>vady, byly-li shledány, včetně určení termínu pro jejich odstranění,</w:t>
      </w:r>
    </w:p>
    <w:p w14:paraId="7800B23F" w14:textId="77777777" w:rsidR="00816EA4" w:rsidRDefault="00816EA4" w:rsidP="00816EA4">
      <w:pPr>
        <w:numPr>
          <w:ilvl w:val="1"/>
          <w:numId w:val="6"/>
        </w:numPr>
      </w:pPr>
      <w:r>
        <w:t>nejsou-li vady, sdělení, že předmět plnění je bez vad,</w:t>
      </w:r>
    </w:p>
    <w:p w14:paraId="4DC310AC" w14:textId="77777777" w:rsidR="00816EA4" w:rsidRDefault="00816EA4" w:rsidP="00816EA4">
      <w:pPr>
        <w:numPr>
          <w:ilvl w:val="1"/>
          <w:numId w:val="6"/>
        </w:numPr>
      </w:pPr>
      <w:r>
        <w:t>délku záruční doby a datum, odkdy tato doba běží,</w:t>
      </w:r>
    </w:p>
    <w:p w14:paraId="4F638501" w14:textId="77777777" w:rsidR="00816EA4" w:rsidRDefault="00816EA4" w:rsidP="00816EA4">
      <w:pPr>
        <w:numPr>
          <w:ilvl w:val="1"/>
          <w:numId w:val="6"/>
        </w:numPr>
      </w:pPr>
      <w:r>
        <w:t>datum a podpis předávajících a přejímajících osob.</w:t>
      </w:r>
    </w:p>
    <w:p w14:paraId="37F24E22" w14:textId="77777777" w:rsidR="00816EA4" w:rsidRPr="000A0B2E" w:rsidRDefault="00816EA4" w:rsidP="00816EA4">
      <w:pPr>
        <w:numPr>
          <w:ilvl w:val="0"/>
          <w:numId w:val="5"/>
        </w:numPr>
      </w:pPr>
      <w:r w:rsidRPr="000A0B2E">
        <w:t xml:space="preserve">Pokud </w:t>
      </w:r>
      <w:r>
        <w:t xml:space="preserve">kupující </w:t>
      </w:r>
      <w:r w:rsidRPr="000A0B2E">
        <w:t>shledá vady</w:t>
      </w:r>
      <w:r>
        <w:t>,</w:t>
      </w:r>
      <w:r w:rsidRPr="000A0B2E">
        <w:t xml:space="preserve"> je oprávněn nepřevzít předmět plněn</w:t>
      </w:r>
      <w:r>
        <w:t xml:space="preserve">í, až do doby odstranění vad. </w:t>
      </w:r>
    </w:p>
    <w:p w14:paraId="65AC2EDD" w14:textId="77777777" w:rsidR="00816EA4" w:rsidRDefault="00816EA4" w:rsidP="00816EA4">
      <w:pPr>
        <w:numPr>
          <w:ilvl w:val="0"/>
          <w:numId w:val="5"/>
        </w:numPr>
      </w:pPr>
      <w:r>
        <w:t>Prodávající je povinen poskytnout personálu kupujícího odborné proškolení na obsluhu předmětu plnění. Součástí proškolení bude předání návodu na obsluhu předmětu plnění v českém jazyce. Prodávající sepíše o poskytnutém proškolení protokol, který bude podepsán oběma smluvními stranami.</w:t>
      </w:r>
    </w:p>
    <w:p w14:paraId="198EBD30" w14:textId="77777777" w:rsidR="00816EA4" w:rsidRPr="0047278F" w:rsidRDefault="00816EA4" w:rsidP="00816EA4">
      <w:pPr>
        <w:numPr>
          <w:ilvl w:val="0"/>
          <w:numId w:val="5"/>
        </w:numPr>
        <w:tabs>
          <w:tab w:val="num" w:pos="540"/>
        </w:tabs>
        <w:rPr>
          <w:bCs/>
        </w:rPr>
      </w:pPr>
      <w:r>
        <w:rPr>
          <w:bCs/>
        </w:rPr>
        <w:t>Dodání předmětu plnění je dokončeno</w:t>
      </w:r>
      <w:r w:rsidRPr="00BD2C6C">
        <w:rPr>
          <w:bCs/>
        </w:rPr>
        <w:t>, je-li předvedena způsobilost</w:t>
      </w:r>
      <w:r>
        <w:rPr>
          <w:bCs/>
        </w:rPr>
        <w:t xml:space="preserve"> předmětu plnění</w:t>
      </w:r>
      <w:r w:rsidRPr="00BD2C6C">
        <w:rPr>
          <w:bCs/>
        </w:rPr>
        <w:t xml:space="preserve"> sloužit svému účelu. Není-li předvedena způsobilost </w:t>
      </w:r>
      <w:r>
        <w:rPr>
          <w:bCs/>
        </w:rPr>
        <w:t>předmětu plnění</w:t>
      </w:r>
      <w:r w:rsidRPr="00BD2C6C">
        <w:rPr>
          <w:bCs/>
        </w:rPr>
        <w:t xml:space="preserve"> sloužit svému účelu, považuje se</w:t>
      </w:r>
      <w:r>
        <w:rPr>
          <w:bCs/>
        </w:rPr>
        <w:t xml:space="preserve"> dodání předmětu plnění</w:t>
      </w:r>
      <w:r w:rsidRPr="00BD2C6C">
        <w:rPr>
          <w:bCs/>
        </w:rPr>
        <w:t xml:space="preserve"> za nedokončené a kupujícím</w:t>
      </w:r>
      <w:r>
        <w:rPr>
          <w:bCs/>
        </w:rPr>
        <w:t>u</w:t>
      </w:r>
      <w:r w:rsidRPr="00BD2C6C">
        <w:rPr>
          <w:bCs/>
        </w:rPr>
        <w:t xml:space="preserve"> neplyne povinnost </w:t>
      </w:r>
      <w:r>
        <w:rPr>
          <w:bCs/>
        </w:rPr>
        <w:t>předmět plnění</w:t>
      </w:r>
      <w:r w:rsidRPr="00BD2C6C">
        <w:rPr>
          <w:bCs/>
        </w:rPr>
        <w:t xml:space="preserve"> převzít. Je-li předvedena způsobilost </w:t>
      </w:r>
      <w:r>
        <w:rPr>
          <w:bCs/>
        </w:rPr>
        <w:t>předmětu plnění</w:t>
      </w:r>
      <w:r w:rsidRPr="00BD2C6C">
        <w:rPr>
          <w:bCs/>
        </w:rPr>
        <w:t xml:space="preserve"> sloužit svému účelu, kupující</w:t>
      </w:r>
      <w:r>
        <w:rPr>
          <w:bCs/>
        </w:rPr>
        <w:t xml:space="preserve"> převezme dokončený předmět</w:t>
      </w:r>
      <w:r w:rsidRPr="00BD2C6C">
        <w:rPr>
          <w:bCs/>
        </w:rPr>
        <w:t xml:space="preserve"> </w:t>
      </w:r>
      <w:r>
        <w:rPr>
          <w:bCs/>
        </w:rPr>
        <w:t>plnění s </w:t>
      </w:r>
      <w:r w:rsidRPr="00BD2C6C">
        <w:rPr>
          <w:bCs/>
        </w:rPr>
        <w:t>výhradami, nebo bez výhrad.</w:t>
      </w:r>
    </w:p>
    <w:p w14:paraId="13FC994E" w14:textId="77777777" w:rsidR="00816EA4" w:rsidRDefault="00816EA4" w:rsidP="00816EA4"/>
    <w:p w14:paraId="5C920805" w14:textId="77777777" w:rsidR="00816EA4" w:rsidRDefault="00816EA4" w:rsidP="00816EA4"/>
    <w:p w14:paraId="694A9AFB" w14:textId="77777777" w:rsidR="00816EA4" w:rsidRPr="00DD150F" w:rsidRDefault="00816EA4" w:rsidP="00816EA4">
      <w:pPr>
        <w:pStyle w:val="Nadpis1"/>
        <w:numPr>
          <w:ilvl w:val="0"/>
          <w:numId w:val="7"/>
        </w:numPr>
        <w:tabs>
          <w:tab w:val="clear" w:pos="540"/>
          <w:tab w:val="num" w:pos="360"/>
        </w:tabs>
        <w:ind w:left="4973" w:hanging="720"/>
      </w:pPr>
      <w:r>
        <w:t>Z</w:t>
      </w:r>
      <w:r w:rsidRPr="00DA0002">
        <w:t xml:space="preserve">áruční </w:t>
      </w:r>
      <w:r>
        <w:t>podmínky</w:t>
      </w:r>
    </w:p>
    <w:p w14:paraId="6E286FFD" w14:textId="77777777" w:rsidR="00816EA4" w:rsidRDefault="00816EA4" w:rsidP="00816EA4"/>
    <w:p w14:paraId="205D30D4" w14:textId="77777777" w:rsidR="00816EA4" w:rsidRPr="002D3C63" w:rsidRDefault="00816EA4" w:rsidP="00816EA4">
      <w:pPr>
        <w:ind w:left="360" w:hanging="360"/>
        <w:rPr>
          <w:b/>
        </w:rPr>
      </w:pPr>
      <w:r>
        <w:t>1.</w:t>
      </w:r>
      <w:r>
        <w:tab/>
      </w:r>
      <w:r w:rsidRPr="003B6183">
        <w:t xml:space="preserve">Prodávající poskytuje záruku za jakost předmětu plnění v délce </w:t>
      </w:r>
      <w:r w:rsidRPr="003B6183">
        <w:rPr>
          <w:b/>
        </w:rPr>
        <w:t>min</w:t>
      </w:r>
      <w:r>
        <w:rPr>
          <w:b/>
        </w:rPr>
        <w:t>imálně</w:t>
      </w:r>
      <w:r w:rsidRPr="003B6183">
        <w:rPr>
          <w:b/>
        </w:rPr>
        <w:t xml:space="preserve"> </w:t>
      </w:r>
      <w:r>
        <w:rPr>
          <w:b/>
        </w:rPr>
        <w:t>36</w:t>
      </w:r>
      <w:r w:rsidRPr="003B6183">
        <w:rPr>
          <w:b/>
        </w:rPr>
        <w:t xml:space="preserve"> </w:t>
      </w:r>
      <w:r w:rsidRPr="003B6183">
        <w:rPr>
          <w:b/>
          <w:bCs/>
        </w:rPr>
        <w:t>měsíců ode dne uvedeném v předávacím protokolu</w:t>
      </w:r>
      <w:r w:rsidRPr="003B6183">
        <w:rPr>
          <w:b/>
        </w:rPr>
        <w:t>.</w:t>
      </w:r>
    </w:p>
    <w:p w14:paraId="3226E87E" w14:textId="77777777" w:rsidR="00816EA4" w:rsidRDefault="00816EA4" w:rsidP="00816EA4">
      <w:pPr>
        <w:ind w:left="360" w:hanging="360"/>
        <w:rPr>
          <w:i/>
        </w:rPr>
      </w:pPr>
      <w:r>
        <w:t>2.</w:t>
      </w:r>
      <w:r>
        <w:tab/>
      </w:r>
      <w:r w:rsidRPr="00FA2A59">
        <w:t xml:space="preserve">Zárukou za jakost se rozumí, </w:t>
      </w:r>
      <w:r w:rsidRPr="00FA2A59">
        <w:rPr>
          <w:i/>
        </w:rPr>
        <w:t xml:space="preserve">že </w:t>
      </w:r>
      <w:r>
        <w:rPr>
          <w:i/>
        </w:rPr>
        <w:t xml:space="preserve">předmět plnění </w:t>
      </w:r>
      <w:r w:rsidRPr="00FA2A59">
        <w:rPr>
          <w:i/>
        </w:rPr>
        <w:t xml:space="preserve">bude po </w:t>
      </w:r>
      <w:r>
        <w:rPr>
          <w:i/>
        </w:rPr>
        <w:t>trvání záruční doby způsobilý</w:t>
      </w:r>
      <w:r w:rsidRPr="00FA2A59">
        <w:rPr>
          <w:i/>
        </w:rPr>
        <w:t xml:space="preserve"> k použití pro </w:t>
      </w:r>
      <w:r>
        <w:rPr>
          <w:i/>
        </w:rPr>
        <w:t xml:space="preserve">jeho </w:t>
      </w:r>
      <w:r w:rsidRPr="00FA2A59">
        <w:rPr>
          <w:i/>
        </w:rPr>
        <w:t xml:space="preserve">obvyklý účel nebo že si zachová obvyklé </w:t>
      </w:r>
      <w:r>
        <w:rPr>
          <w:i/>
        </w:rPr>
        <w:t>funkční vlastnosti.</w:t>
      </w:r>
    </w:p>
    <w:p w14:paraId="19B1FB73" w14:textId="77777777" w:rsidR="00816EA4" w:rsidRPr="005825A8" w:rsidRDefault="00816EA4" w:rsidP="00816EA4">
      <w:pPr>
        <w:ind w:left="360" w:hanging="360"/>
        <w:rPr>
          <w:i/>
        </w:rPr>
      </w:pPr>
      <w:r>
        <w:rPr>
          <w:i/>
        </w:rPr>
        <w:t>3.</w:t>
      </w:r>
      <w:r>
        <w:rPr>
          <w:i/>
        </w:rPr>
        <w:tab/>
        <w:t>Po dobu trvání záruční doby provede prodávající bezplatné záruční opravy předmětu plnění. Pokud prodávající odstraní vady na předmětu plnění náhradními díly, tyto díly musí být nové.</w:t>
      </w:r>
    </w:p>
    <w:p w14:paraId="5C081DCD" w14:textId="77777777" w:rsidR="00816EA4" w:rsidRPr="00425157" w:rsidRDefault="00816EA4" w:rsidP="00816EA4">
      <w:pPr>
        <w:numPr>
          <w:ilvl w:val="0"/>
          <w:numId w:val="1"/>
        </w:numPr>
      </w:pPr>
      <w:r>
        <w:lastRenderedPageBreak/>
        <w:t>Kontaktní osoby pro případ zajištění servisu budou na straně kupujícího kontaktní osoba ve věcech technických dle čl. I. této smlouvy, a na straně prodávajícího kontaktní osoba ve věcech servisních dle čl. I této smlouvy.</w:t>
      </w:r>
    </w:p>
    <w:p w14:paraId="3E6C3610" w14:textId="77777777" w:rsidR="00816EA4" w:rsidRDefault="00816EA4" w:rsidP="00816EA4">
      <w:pPr>
        <w:numPr>
          <w:ilvl w:val="0"/>
          <w:numId w:val="1"/>
        </w:numPr>
      </w:pPr>
      <w:r w:rsidRPr="00CF1FF7">
        <w:t>Kupující je povinen reklamovat vady bez zbytečného odkladu po jejich zjištění písemně (emailem u kontaktní osoby prodávajícího ve věcech technických nebo servisních) a současně telefonicky u kontaktní osoby prodávajícího ve věcech technických nebo servisních.</w:t>
      </w:r>
      <w:r>
        <w:t xml:space="preserve"> Den nahlášení vady je den, kdy prodávající obdržel od kupujícího telefonické oznámení zjištěných vad.</w:t>
      </w:r>
    </w:p>
    <w:p w14:paraId="5862CF90" w14:textId="77777777" w:rsidR="00816EA4" w:rsidRDefault="00816EA4" w:rsidP="00816EA4">
      <w:pPr>
        <w:numPr>
          <w:ilvl w:val="0"/>
          <w:numId w:val="1"/>
        </w:numPr>
      </w:pPr>
      <w:r>
        <w:t>Pokud kupující nahlásí vadu na předmětu plnění, je prodávající povinen zajistit nástup technika do 24 hodin od nahlášení vady. Technik je po svém nástupu povinen bezodkladně zjistit příčinu závady a následně povinen</w:t>
      </w:r>
      <w:r w:rsidRPr="00FB335B">
        <w:t xml:space="preserve"> </w:t>
      </w:r>
      <w:r>
        <w:t xml:space="preserve">uvést předmět plnění do plného provozu nejpozději </w:t>
      </w:r>
      <w:r w:rsidRPr="003F704B">
        <w:rPr>
          <w:b/>
        </w:rPr>
        <w:t xml:space="preserve">do </w:t>
      </w:r>
      <w:r>
        <w:rPr>
          <w:b/>
        </w:rPr>
        <w:t>5</w:t>
      </w:r>
      <w:r w:rsidRPr="003F704B">
        <w:rPr>
          <w:b/>
        </w:rPr>
        <w:t xml:space="preserve"> pracovních dní</w:t>
      </w:r>
      <w:r>
        <w:t xml:space="preserve"> od svého nástupu Práva a povinnosti smluvních stran vyplývající z odpovědnosti za vady se řídí zákonem č. 89/2012., občanský zákoník ve znění pozdějších předpisů.</w:t>
      </w:r>
    </w:p>
    <w:p w14:paraId="61C1B9A7" w14:textId="77777777" w:rsidR="00816EA4" w:rsidRPr="00494063" w:rsidRDefault="00816EA4" w:rsidP="00816EA4">
      <w:pPr>
        <w:numPr>
          <w:ilvl w:val="0"/>
          <w:numId w:val="1"/>
        </w:numPr>
      </w:pPr>
      <w:r w:rsidRPr="00494063">
        <w:t xml:space="preserve">Pokud nebude předmět plnění uveden do plného provozu </w:t>
      </w:r>
      <w:r w:rsidRPr="00946764">
        <w:rPr>
          <w:b/>
        </w:rPr>
        <w:t>do</w:t>
      </w:r>
      <w:r>
        <w:rPr>
          <w:b/>
        </w:rPr>
        <w:t xml:space="preserve"> 5</w:t>
      </w:r>
      <w:r w:rsidRPr="00946764">
        <w:rPr>
          <w:b/>
        </w:rPr>
        <w:t xml:space="preserve"> pracovních dnů</w:t>
      </w:r>
      <w:r w:rsidRPr="00494063">
        <w:t xml:space="preserve"> od nástupu technika, je prodávající povinen zajistit dovoz, instalaci a zprovoznění náhradního předmětu plnění obdobných parametrů ihned následující pracovní den po uplynutí lhůty pro uvedení předmětu plnění do plného provozu. Pokud bude odstraněna vada na původním předmětu plnění</w:t>
      </w:r>
      <w:r>
        <w:t>,</w:t>
      </w:r>
      <w:r w:rsidRPr="00494063">
        <w:t xml:space="preserve"> je prodávající povinen zajistit jeho dovoz a umístění zpět do provozních prostor kupujícího a zajistit odvoz náhradního předmětu plnění. Pokud prodávající neodstraní vadu na původním předmětu plnění do 30 dnů, je povinen zajistit odvoz náhradního předmětu plnění a zajistit dodání nového předmětu plnění stejných technických parametrů (dle přílohy č. 1 této smlouvy). Záruční doba sjednaná v odst. 1 neběží po celou dobu provozu náhradního předmětu plnění.</w:t>
      </w:r>
    </w:p>
    <w:p w14:paraId="5FFC1C8C" w14:textId="77777777" w:rsidR="00816EA4" w:rsidRDefault="00816EA4" w:rsidP="00816EA4">
      <w:pPr>
        <w:numPr>
          <w:ilvl w:val="0"/>
          <w:numId w:val="1"/>
        </w:numPr>
      </w:pPr>
      <w:r w:rsidRPr="00FB335B">
        <w:t xml:space="preserve">Za předpokladu, že </w:t>
      </w:r>
      <w:r>
        <w:t xml:space="preserve">prodávající </w:t>
      </w:r>
      <w:r w:rsidRPr="00FB335B">
        <w:t>ne</w:t>
      </w:r>
      <w:r>
        <w:t>odstraní</w:t>
      </w:r>
      <w:r w:rsidRPr="00FB335B">
        <w:t xml:space="preserve"> vady</w:t>
      </w:r>
      <w:r>
        <w:t xml:space="preserve"> či nezajistí náhradní předmět plnění ve stanové lhůtě</w:t>
      </w:r>
      <w:r w:rsidRPr="00FB335B">
        <w:t xml:space="preserve">, je </w:t>
      </w:r>
      <w:r>
        <w:t>kupující</w:t>
      </w:r>
      <w:r w:rsidRPr="00FB335B">
        <w:t xml:space="preserve"> oprávněn </w:t>
      </w:r>
      <w:r>
        <w:t xml:space="preserve">si </w:t>
      </w:r>
      <w:r w:rsidRPr="00FB335B">
        <w:t>zaji</w:t>
      </w:r>
      <w:r>
        <w:t>stit</w:t>
      </w:r>
      <w:r w:rsidRPr="00FB335B">
        <w:t xml:space="preserve"> opravy uvedené vady třetí osobou s tím, že náklady spojené s uvedenou opravou vč. smluvní pokuty budou přeúčtovány k tíži </w:t>
      </w:r>
      <w:r>
        <w:t>prodávajícího</w:t>
      </w:r>
      <w:r w:rsidRPr="00FB335B">
        <w:t>.</w:t>
      </w:r>
    </w:p>
    <w:p w14:paraId="65E021BD" w14:textId="77777777" w:rsidR="00816EA4" w:rsidRDefault="00816EA4" w:rsidP="00816EA4">
      <w:pPr>
        <w:numPr>
          <w:ilvl w:val="0"/>
          <w:numId w:val="1"/>
        </w:numPr>
      </w:pPr>
      <w:r>
        <w:t xml:space="preserve">Kus, u nějž se stejná vada objeví </w:t>
      </w:r>
      <w:r w:rsidRPr="008A7532">
        <w:t xml:space="preserve">opakovaně </w:t>
      </w:r>
      <w:r>
        <w:t>tj. min 2</w:t>
      </w:r>
      <w:r w:rsidRPr="008A7532">
        <w:t>krát,</w:t>
      </w:r>
      <w:r>
        <w:t xml:space="preserve"> je zhotovitel povinen vyměnit za kus nový a stejného druhu.</w:t>
      </w:r>
    </w:p>
    <w:p w14:paraId="627B4BAA" w14:textId="77777777" w:rsidR="00816EA4" w:rsidRDefault="00816EA4" w:rsidP="00816EA4"/>
    <w:p w14:paraId="2F12AA33" w14:textId="77777777" w:rsidR="00816EA4" w:rsidRDefault="00816EA4" w:rsidP="00816EA4"/>
    <w:p w14:paraId="7A184083" w14:textId="77777777" w:rsidR="00816EA4" w:rsidRDefault="00816EA4" w:rsidP="00816EA4">
      <w:pPr>
        <w:numPr>
          <w:ilvl w:val="0"/>
          <w:numId w:val="7"/>
        </w:numPr>
        <w:jc w:val="center"/>
        <w:rPr>
          <w:b/>
        </w:rPr>
      </w:pPr>
      <w:r w:rsidRPr="00DD150F">
        <w:rPr>
          <w:b/>
        </w:rPr>
        <w:t>Údržba a servis</w:t>
      </w:r>
    </w:p>
    <w:p w14:paraId="0F6FE791" w14:textId="77777777" w:rsidR="00816EA4" w:rsidRDefault="00816EA4" w:rsidP="00816EA4">
      <w:pPr>
        <w:ind w:left="360"/>
        <w:rPr>
          <w:b/>
        </w:rPr>
      </w:pPr>
    </w:p>
    <w:p w14:paraId="53135076" w14:textId="77777777" w:rsidR="00816EA4" w:rsidRDefault="00816EA4" w:rsidP="00816EA4">
      <w:pPr>
        <w:numPr>
          <w:ilvl w:val="2"/>
          <w:numId w:val="7"/>
        </w:numPr>
        <w:tabs>
          <w:tab w:val="clear" w:pos="2340"/>
        </w:tabs>
        <w:ind w:left="284"/>
      </w:pPr>
      <w:r>
        <w:t>Prodávající se po dobu záruky za jakost zavazuje poskytovat kupujícímu kompletní údržbu a záruční servis předmětu plnění ve smyslu poskytování všech pravidelných prohlídek, ošetřování, seřizování, oprav a zkoušek zboží, které jsou vyžadovány výrobcem nebo příslušnými právními předpisy. V případě, že servisní služby pro předmět plnění nejsou zajišťovány přímo prodávajícím, je prodávající povinen zajistit servisní služby třetí osobou v rozsahu podmínek stanovených touto smlouvou.</w:t>
      </w:r>
    </w:p>
    <w:p w14:paraId="27028DD8" w14:textId="77777777" w:rsidR="00816EA4" w:rsidRDefault="00816EA4" w:rsidP="00816EA4">
      <w:pPr>
        <w:numPr>
          <w:ilvl w:val="2"/>
          <w:numId w:val="7"/>
        </w:numPr>
        <w:tabs>
          <w:tab w:val="clear" w:pos="2340"/>
        </w:tabs>
        <w:ind w:left="284"/>
      </w:pPr>
      <w:r>
        <w:t>Prodávající je povinen sledovat dobu, termíny a lhůty všech výše uvedených prohlídek, ošetřování, seřizování, oprav a zkoušek a nejméně 5 pracovních dní předem telefonicky nahlásit kontaktní osobě kupujícího jejich konání kupujícímu.</w:t>
      </w:r>
    </w:p>
    <w:p w14:paraId="28085C2E" w14:textId="77777777" w:rsidR="00816EA4" w:rsidRDefault="00816EA4" w:rsidP="00816EA4">
      <w:pPr>
        <w:numPr>
          <w:ilvl w:val="2"/>
          <w:numId w:val="7"/>
        </w:numPr>
        <w:tabs>
          <w:tab w:val="clear" w:pos="2340"/>
        </w:tabs>
        <w:ind w:left="284"/>
      </w:pPr>
      <w:r>
        <w:t>Kupující se zavazuje poskytnout prodávajícímu k provádění výše uvedených prohlídek, ošetřování, seřizování, oprav a zkoušek předmětu plnění nezbytnou součinnost, zejména umožnit kupujícímu přístup k předmětu plnění.</w:t>
      </w:r>
    </w:p>
    <w:p w14:paraId="63C519D7" w14:textId="77777777" w:rsidR="00816EA4" w:rsidRDefault="00816EA4" w:rsidP="00816EA4">
      <w:pPr>
        <w:numPr>
          <w:ilvl w:val="2"/>
          <w:numId w:val="7"/>
        </w:numPr>
        <w:tabs>
          <w:tab w:val="clear" w:pos="2340"/>
        </w:tabs>
        <w:ind w:left="284"/>
      </w:pPr>
      <w:r>
        <w:t>Úhrada za poskytování všech výše uvedených prohlídek, ošetřování, seřizování, oprav a zkoušek dle tohoto článku smlouvy je obsažena v celkové ceně dle čl. V. této smlouvy.</w:t>
      </w:r>
    </w:p>
    <w:p w14:paraId="1B7D31BD" w14:textId="77777777" w:rsidR="00816EA4" w:rsidRPr="00BD1B8D" w:rsidRDefault="00816EA4" w:rsidP="00816EA4">
      <w:pPr>
        <w:numPr>
          <w:ilvl w:val="2"/>
          <w:numId w:val="7"/>
        </w:numPr>
        <w:tabs>
          <w:tab w:val="clear" w:pos="2340"/>
        </w:tabs>
        <w:ind w:left="284"/>
      </w:pPr>
      <w:r>
        <w:t xml:space="preserve">Kupující je v případě prodlení prodávajícího s plněním povinností vyplývající z tohoto článku oprávněn zajistit si plnění těchto povinností sám s tím, že náklady budou přeúčtovány k tíži prodávajícího. </w:t>
      </w:r>
    </w:p>
    <w:p w14:paraId="2CE9D0F7" w14:textId="77777777" w:rsidR="00816EA4" w:rsidRDefault="00816EA4" w:rsidP="00816EA4"/>
    <w:p w14:paraId="21025B24" w14:textId="77777777" w:rsidR="00816EA4" w:rsidRDefault="00816EA4" w:rsidP="00816EA4"/>
    <w:p w14:paraId="726F2B86" w14:textId="77777777" w:rsidR="00816EA4" w:rsidRPr="00DD150F" w:rsidRDefault="00816EA4" w:rsidP="00816EA4"/>
    <w:p w14:paraId="2DE59D68" w14:textId="77777777" w:rsidR="00816EA4" w:rsidRPr="00DD150F" w:rsidRDefault="00816EA4" w:rsidP="00816EA4">
      <w:pPr>
        <w:pStyle w:val="Nadpis1"/>
        <w:numPr>
          <w:ilvl w:val="0"/>
          <w:numId w:val="0"/>
        </w:numPr>
        <w:ind w:left="360"/>
      </w:pPr>
      <w:r>
        <w:t xml:space="preserve">IX. </w:t>
      </w:r>
      <w:r w:rsidRPr="004B29CD">
        <w:t>Smluvní pokuty</w:t>
      </w:r>
    </w:p>
    <w:p w14:paraId="5CD45DA5" w14:textId="77777777" w:rsidR="00816EA4" w:rsidRPr="00DA0002" w:rsidRDefault="00816EA4" w:rsidP="00816EA4"/>
    <w:p w14:paraId="5A196BFD" w14:textId="77777777" w:rsidR="00816EA4" w:rsidRDefault="00816EA4" w:rsidP="00816EA4">
      <w:pPr>
        <w:numPr>
          <w:ilvl w:val="0"/>
          <w:numId w:val="9"/>
        </w:numPr>
      </w:pPr>
      <w:r w:rsidRPr="00CB587A">
        <w:t>V případě prodlení prodávajícího s dodáním</w:t>
      </w:r>
      <w:r>
        <w:t xml:space="preserve"> a uvedením do provozu předmětu plnění dle této smlouvy</w:t>
      </w:r>
      <w:r w:rsidRPr="00CB587A">
        <w:t xml:space="preserve"> kupujícímu ve </w:t>
      </w:r>
      <w:r>
        <w:t>sjednaném</w:t>
      </w:r>
      <w:r w:rsidRPr="00CB587A">
        <w:t xml:space="preserve"> místě plnění je prodávající povinen zaplatit kupujícímu smluvní pokutu ve výši 0,05 % z</w:t>
      </w:r>
      <w:r>
        <w:t> kupní ceny</w:t>
      </w:r>
      <w:r w:rsidRPr="00CB587A">
        <w:t xml:space="preserve"> bez DPH</w:t>
      </w:r>
      <w:r>
        <w:t xml:space="preserve"> dle čl. V. odst. 1 této smlouvy</w:t>
      </w:r>
      <w:r w:rsidRPr="00CB587A">
        <w:t>, a to za každý i započatý den prodlení.</w:t>
      </w:r>
    </w:p>
    <w:p w14:paraId="1C50BC14" w14:textId="77777777" w:rsidR="00816EA4" w:rsidRDefault="00816EA4" w:rsidP="00816EA4">
      <w:pPr>
        <w:numPr>
          <w:ilvl w:val="0"/>
          <w:numId w:val="9"/>
        </w:numPr>
      </w:pPr>
      <w:r>
        <w:t xml:space="preserve">V případě prodlení prodávajícího s odstraněním vady, uvedené v předávacím protokolu, či vzniklé a reklamované v průběhu záruční doby je prodávající povinen zaplatit 1.000,- Kč za každou vadu a za každý i započatý den prodlení. </w:t>
      </w:r>
    </w:p>
    <w:p w14:paraId="604C05B5" w14:textId="77777777" w:rsidR="00816EA4" w:rsidRDefault="00816EA4" w:rsidP="00816EA4">
      <w:pPr>
        <w:numPr>
          <w:ilvl w:val="0"/>
          <w:numId w:val="9"/>
        </w:numPr>
      </w:pPr>
      <w:r>
        <w:t>V případě prodlení prodávajícího s nástupem technika po nahlášení závady dle čl. VII. odst. 5 této smlouvy je prodávající povinen zaplatit kupujícímu smluvní pokutu ve výši 1.000,- Kč za každý i započatý den prodlení.</w:t>
      </w:r>
    </w:p>
    <w:p w14:paraId="5F83E4AB" w14:textId="77777777" w:rsidR="00816EA4" w:rsidRPr="00CB587A" w:rsidRDefault="00816EA4" w:rsidP="00816EA4">
      <w:pPr>
        <w:numPr>
          <w:ilvl w:val="0"/>
          <w:numId w:val="9"/>
        </w:numPr>
      </w:pPr>
      <w:r>
        <w:lastRenderedPageBreak/>
        <w:t xml:space="preserve">V případě prodlení prodávajícího s dovozem, instalací a zprovozněním náhradního předmětu plnění dle čl. VII. odst. 6 této smlouvy je prodávající kupujícímu povinen zaplatit smluvní pokutu </w:t>
      </w:r>
      <w:r w:rsidRPr="002B5D32">
        <w:t>ve výši</w:t>
      </w:r>
      <w:r>
        <w:t xml:space="preserve"> 3.000</w:t>
      </w:r>
      <w:r w:rsidRPr="002B5D32">
        <w:t>,- Kč</w:t>
      </w:r>
      <w:r>
        <w:t xml:space="preserve"> za každý i započatý den prodlení.</w:t>
      </w:r>
    </w:p>
    <w:p w14:paraId="61E84DE2" w14:textId="77777777" w:rsidR="00816EA4" w:rsidRPr="009D0FFA" w:rsidRDefault="00816EA4" w:rsidP="00816EA4">
      <w:pPr>
        <w:widowControl w:val="0"/>
        <w:numPr>
          <w:ilvl w:val="0"/>
          <w:numId w:val="9"/>
        </w:numPr>
      </w:pPr>
      <w:r w:rsidRPr="009D0FFA">
        <w:t>Smluvní strany se mezi sebou dohodly ve vztahu k smluvním pokutám dle tohoto článku smlouvy na vyloučení použití § 2050 občanského zákoníku, v platném znění. Smluvní strany se dohodly na tom, že ujednanou smluvní pokutou není dotčeno právo objednatele požadovat po zhotoviteli náhradu škody vzniklou z porušení povinnosti, kterému se vztahuje smluvní pokuta, a to vedle účtované smluvní pokuty. Smluvní pokuta je splatná dnem doručení písemné výzvy k její úhradě zhotoviteli.</w:t>
      </w:r>
    </w:p>
    <w:p w14:paraId="2800C82C" w14:textId="77777777" w:rsidR="00816EA4" w:rsidRDefault="00816EA4" w:rsidP="00816EA4">
      <w:pPr>
        <w:numPr>
          <w:ilvl w:val="0"/>
          <w:numId w:val="9"/>
        </w:numPr>
      </w:pPr>
      <w:r w:rsidRPr="00CB587A">
        <w:t>Pro případ prodlení se splněním peněžitého závazku dle této smlouvy se obě smluvní strany dohodly na zákonném úroku z prodlení.</w:t>
      </w:r>
    </w:p>
    <w:p w14:paraId="410BF722" w14:textId="77777777" w:rsidR="00816EA4" w:rsidRDefault="00816EA4" w:rsidP="00816EA4"/>
    <w:p w14:paraId="0314A135" w14:textId="77777777" w:rsidR="00816EA4" w:rsidRDefault="00816EA4" w:rsidP="00816EA4"/>
    <w:p w14:paraId="4979172A" w14:textId="77777777" w:rsidR="00816EA4" w:rsidRPr="00FB335B" w:rsidRDefault="00816EA4" w:rsidP="00816EA4">
      <w:pPr>
        <w:pStyle w:val="Nadpis1"/>
        <w:numPr>
          <w:ilvl w:val="0"/>
          <w:numId w:val="0"/>
        </w:numPr>
        <w:tabs>
          <w:tab w:val="num" w:pos="4265"/>
        </w:tabs>
        <w:ind w:left="360"/>
      </w:pPr>
      <w:r>
        <w:t xml:space="preserve">X. </w:t>
      </w:r>
      <w:r w:rsidRPr="00FB335B">
        <w:t>Závěrečná ustanovení</w:t>
      </w:r>
    </w:p>
    <w:p w14:paraId="457A86D8" w14:textId="77777777" w:rsidR="00816EA4" w:rsidRPr="00FB335B" w:rsidRDefault="00816EA4" w:rsidP="00816EA4"/>
    <w:p w14:paraId="0893DC1F" w14:textId="77777777" w:rsidR="00816EA4" w:rsidRPr="00FB335B" w:rsidRDefault="00816EA4" w:rsidP="00816EA4">
      <w:pPr>
        <w:numPr>
          <w:ilvl w:val="0"/>
          <w:numId w:val="2"/>
        </w:numPr>
      </w:pPr>
      <w:r w:rsidRPr="00FB335B">
        <w:t>Právní vztahy touto smlouvou neupravené se řídí platnými právními předpisy, zejména občanským zákoníkem.</w:t>
      </w:r>
    </w:p>
    <w:p w14:paraId="2B7047F6" w14:textId="77777777" w:rsidR="00816EA4" w:rsidRPr="00FB335B" w:rsidRDefault="00816EA4" w:rsidP="00816EA4">
      <w:pPr>
        <w:numPr>
          <w:ilvl w:val="0"/>
          <w:numId w:val="2"/>
        </w:numPr>
      </w:pPr>
      <w:r>
        <w:t>Prodávající</w:t>
      </w:r>
      <w:r w:rsidRPr="00FB335B">
        <w:t xml:space="preserve"> potvrzuje, že </w:t>
      </w:r>
      <w:r>
        <w:t xml:space="preserve">jsou </w:t>
      </w:r>
      <w:r w:rsidRPr="00FB335B">
        <w:t xml:space="preserve">mu známy veškeré technické, kvalitativní, kvantitativní a jiné nezbytné podmínky k bezchybné realizaci </w:t>
      </w:r>
      <w:r>
        <w:t>předmětu plnění</w:t>
      </w:r>
      <w:r w:rsidRPr="00FB335B">
        <w:t xml:space="preserve"> a že disponuje takovými kapacitami a odbornými znalostmi, které jsou k provedení </w:t>
      </w:r>
      <w:r>
        <w:t>předmětu plnění</w:t>
      </w:r>
      <w:r w:rsidRPr="00FB335B">
        <w:t xml:space="preserve"> potřebné.</w:t>
      </w:r>
    </w:p>
    <w:p w14:paraId="0D8572C6" w14:textId="77777777" w:rsidR="00816EA4" w:rsidRPr="00FB335B" w:rsidRDefault="00816EA4" w:rsidP="00816EA4">
      <w:pPr>
        <w:numPr>
          <w:ilvl w:val="0"/>
          <w:numId w:val="2"/>
        </w:numPr>
      </w:pPr>
      <w:r w:rsidRPr="00FB335B">
        <w:t xml:space="preserve">Případné škody vzniklé v souvislosti s realizací </w:t>
      </w:r>
      <w:r>
        <w:t>předmětu plnění</w:t>
      </w:r>
      <w:r w:rsidRPr="00FB335B">
        <w:t xml:space="preserve"> budou řešeny dle platných právních předpisů.</w:t>
      </w:r>
    </w:p>
    <w:p w14:paraId="5390D791" w14:textId="77777777" w:rsidR="00816EA4" w:rsidRPr="00FB335B" w:rsidRDefault="00816EA4" w:rsidP="00816EA4">
      <w:pPr>
        <w:numPr>
          <w:ilvl w:val="0"/>
          <w:numId w:val="2"/>
        </w:numPr>
      </w:pPr>
      <w:r w:rsidRPr="00FB335B">
        <w:t xml:space="preserve">Veškeré spory budou smluvní strany řešit především společným jednáním s cílem dosáhnout smírného řešení. V případě, že strany nevyřeší spor smírnou cestou, bude spor řešit věcně a místně příslušný soud ČR. Smluvní strany se dohodly v souladu s § 89a zák. č. 99/1963 Sb., občanský soudní řád, že místní příslušnost soudu se bude řídit dle sídla </w:t>
      </w:r>
      <w:r>
        <w:t>kupujícího</w:t>
      </w:r>
      <w:r w:rsidRPr="00FB335B">
        <w:t>.</w:t>
      </w:r>
    </w:p>
    <w:p w14:paraId="76AAB402" w14:textId="77777777" w:rsidR="00816EA4" w:rsidRPr="00FB335B" w:rsidRDefault="00816EA4" w:rsidP="00816EA4">
      <w:pPr>
        <w:numPr>
          <w:ilvl w:val="0"/>
          <w:numId w:val="2"/>
        </w:numPr>
      </w:pPr>
      <w:r w:rsidRPr="00FB335B">
        <w:t>Změny a doplňky této s</w:t>
      </w:r>
      <w:r>
        <w:t>mlouvy mohou být provedeny na zá</w:t>
      </w:r>
      <w:r w:rsidRPr="00FB335B">
        <w:t>kladě dohody smluvních stran. Dohoda musí mít písemnou formu očíslovaných dodatků, podepsaných</w:t>
      </w:r>
      <w:r w:rsidRPr="00FB335B">
        <w:rPr>
          <w:b/>
          <w:bCs/>
        </w:rPr>
        <w:t xml:space="preserve"> </w:t>
      </w:r>
      <w:r w:rsidRPr="00FB335B">
        <w:t>oprávněnými zástupci</w:t>
      </w:r>
      <w:r w:rsidRPr="00FB335B">
        <w:rPr>
          <w:b/>
          <w:bCs/>
        </w:rPr>
        <w:t xml:space="preserve"> </w:t>
      </w:r>
      <w:r w:rsidRPr="00FB335B">
        <w:t>obou smluvních stran. Veškeré dodatky a přílohy vzniklé po dobu plnění smlouvy se stávají její nedílnou součástí.</w:t>
      </w:r>
    </w:p>
    <w:p w14:paraId="0DC8A4DE" w14:textId="77777777" w:rsidR="00816EA4" w:rsidRDefault="00816EA4" w:rsidP="00816EA4">
      <w:pPr>
        <w:numPr>
          <w:ilvl w:val="0"/>
          <w:numId w:val="2"/>
        </w:numPr>
      </w:pPr>
      <w:r w:rsidRPr="00FB335B">
        <w:t>Účastníci této smlouvy výslovně prohlašují, že jsou  obsahem této smlouvy právně vázáni a že nepodniknou žádné úkony, které by mohly zmařit její účinky. Současně prohlašují, že pro případ objektivních překážek k dosažení účelu této smlouvy si poskytnou vzájemnou součinnost a budou jednat tak, aby i za změněných podmínek mohlo být tohoto účelu dosaženo. Vědomé uvedení nepravdivých skutečností v této smlouvě zakládá druhé straně právo odstoupit od smlouvy a požadovat náhradu škody, včetně ušlého zisku.</w:t>
      </w:r>
      <w:r>
        <w:t xml:space="preserve"> Prodávající bere na vědomí, že obsah smlouvy včetně dodatků může být poskytnut žadateli v režimu zákona č. 106/1999 Sb., o svobodném přístupu k informacím, ve znění pozdějších předpisů, a že tato smlouva včetně všech dodatků bude kupujícím uveřejněna v registru smluv dle zákona č. 340/2015 Sb., o zvláštních podmínkách účinnosti některých smluv, uveřejňování těchto smluv a o registru smluv (zákon o registru smluv).</w:t>
      </w:r>
    </w:p>
    <w:p w14:paraId="6569A11A" w14:textId="77777777" w:rsidR="00816EA4" w:rsidRDefault="00816EA4" w:rsidP="00816EA4">
      <w:pPr>
        <w:numPr>
          <w:ilvl w:val="0"/>
          <w:numId w:val="2"/>
        </w:numPr>
      </w:pPr>
      <w:r>
        <w:t>Smluvní strany prohlašují, že skutečnosti uvedené v této smlouvě nepovažují za obchodní tajemství ve smyslu § 504 zákona č. 89/2012 Sb., občanský zákoník, ve znění pozdějších předpisů.</w:t>
      </w:r>
    </w:p>
    <w:p w14:paraId="20565516" w14:textId="77777777" w:rsidR="00816EA4" w:rsidRDefault="00816EA4" w:rsidP="00816EA4">
      <w:pPr>
        <w:numPr>
          <w:ilvl w:val="0"/>
          <w:numId w:val="2"/>
        </w:numPr>
      </w:pPr>
      <w:r w:rsidRPr="00FB335B">
        <w:t>Tato smlouva nabývá platnosti dnem podpisu oprávněných zástupců obou smluvních stran</w:t>
      </w:r>
      <w:r>
        <w:t xml:space="preserve"> a účinnosti dnem uveřejnění prostřednictvím registru smluv dle příslušných ustanovení zákona o registru smluv.</w:t>
      </w:r>
    </w:p>
    <w:p w14:paraId="2B0B0363" w14:textId="77777777" w:rsidR="00816EA4" w:rsidRDefault="00816EA4" w:rsidP="00816EA4">
      <w:pPr>
        <w:ind w:left="360"/>
      </w:pPr>
    </w:p>
    <w:p w14:paraId="608DB100" w14:textId="3961F432" w:rsidR="00816EA4" w:rsidRPr="00DB5515" w:rsidRDefault="00816EA4" w:rsidP="00816EA4">
      <w:pPr>
        <w:numPr>
          <w:ilvl w:val="0"/>
          <w:numId w:val="2"/>
        </w:numPr>
        <w:rPr>
          <w:i/>
          <w:iCs/>
        </w:rPr>
      </w:pPr>
      <w:r w:rsidRPr="00075A60">
        <w:rPr>
          <w:i/>
        </w:rPr>
        <w:t xml:space="preserve">Příloha č. 1: </w:t>
      </w:r>
      <w:r w:rsidR="004432B5">
        <w:rPr>
          <w:i/>
        </w:rPr>
        <w:t xml:space="preserve">nabídka </w:t>
      </w:r>
      <w:r w:rsidR="00B970CF">
        <w:rPr>
          <w:i/>
        </w:rPr>
        <w:t>S – 22 /111</w:t>
      </w:r>
    </w:p>
    <w:p w14:paraId="36CC2424" w14:textId="77777777" w:rsidR="00816EA4" w:rsidRPr="00DB5515" w:rsidRDefault="00816EA4" w:rsidP="00816EA4">
      <w:pPr>
        <w:ind w:left="360"/>
      </w:pPr>
    </w:p>
    <w:p w14:paraId="50935C6F" w14:textId="77777777" w:rsidR="00816EA4" w:rsidRPr="00075A60" w:rsidRDefault="00816EA4" w:rsidP="00816EA4">
      <w:pPr>
        <w:ind w:firstLine="360"/>
        <w:rPr>
          <w:i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16EA4" w:rsidRPr="00DA0002" w14:paraId="06FBAE81" w14:textId="77777777" w:rsidTr="003E2636">
        <w:tc>
          <w:tcPr>
            <w:tcW w:w="9639" w:type="dxa"/>
            <w:gridSpan w:val="2"/>
          </w:tcPr>
          <w:p w14:paraId="14A091D6" w14:textId="77777777" w:rsidR="00816EA4" w:rsidRDefault="00816EA4" w:rsidP="003E2636">
            <w:pPr>
              <w:jc w:val="center"/>
            </w:pPr>
            <w:r w:rsidRPr="00DA0002">
              <w:t>Podpisy a otisky razítek smluvních stran</w:t>
            </w:r>
          </w:p>
          <w:p w14:paraId="0AAD2BEB" w14:textId="77777777" w:rsidR="00B970CF" w:rsidRDefault="00B970CF" w:rsidP="003E2636">
            <w:pPr>
              <w:jc w:val="center"/>
            </w:pPr>
          </w:p>
          <w:p w14:paraId="404DE29E" w14:textId="6F076B52" w:rsidR="00B970CF" w:rsidRPr="00DA0002" w:rsidRDefault="00B970CF" w:rsidP="003E2636">
            <w:pPr>
              <w:jc w:val="center"/>
            </w:pPr>
          </w:p>
        </w:tc>
      </w:tr>
      <w:tr w:rsidR="00816EA4" w:rsidRPr="003B6183" w14:paraId="18197DAF" w14:textId="77777777" w:rsidTr="003E2636">
        <w:tc>
          <w:tcPr>
            <w:tcW w:w="4819" w:type="dxa"/>
          </w:tcPr>
          <w:p w14:paraId="00623BF2" w14:textId="77777777" w:rsidR="00816EA4" w:rsidRPr="00FD31C2" w:rsidRDefault="00816EA4" w:rsidP="003E2636">
            <w:pPr>
              <w:rPr>
                <w:highlight w:val="black"/>
              </w:rPr>
            </w:pPr>
            <w:r w:rsidRPr="00FD31C2">
              <w:rPr>
                <w:highlight w:val="black"/>
              </w:rPr>
              <w:t xml:space="preserve">V Olomouci, dne        </w:t>
            </w:r>
          </w:p>
        </w:tc>
        <w:tc>
          <w:tcPr>
            <w:tcW w:w="4820" w:type="dxa"/>
          </w:tcPr>
          <w:p w14:paraId="53A2656A" w14:textId="2CB17E2C" w:rsidR="00816EA4" w:rsidRPr="003B6183" w:rsidRDefault="00816EA4" w:rsidP="003E2636">
            <w:r w:rsidRPr="00FD31C2">
              <w:rPr>
                <w:highlight w:val="black"/>
              </w:rPr>
              <w:t>V</w:t>
            </w:r>
            <w:r w:rsidR="00B970CF" w:rsidRPr="00FD31C2">
              <w:rPr>
                <w:highlight w:val="black"/>
              </w:rPr>
              <w:t xml:space="preserve">   </w:t>
            </w:r>
            <w:proofErr w:type="gramStart"/>
            <w:r w:rsidR="00B970CF" w:rsidRPr="00FD31C2">
              <w:rPr>
                <w:highlight w:val="black"/>
              </w:rPr>
              <w:t xml:space="preserve">Skaličce </w:t>
            </w:r>
            <w:r w:rsidRPr="00FD31C2">
              <w:rPr>
                <w:highlight w:val="black"/>
              </w:rPr>
              <w:t>, dne</w:t>
            </w:r>
            <w:proofErr w:type="gramEnd"/>
          </w:p>
        </w:tc>
      </w:tr>
    </w:tbl>
    <w:p w14:paraId="24F77333" w14:textId="77777777" w:rsidR="00816EA4" w:rsidRPr="003B6183" w:rsidRDefault="00816EA4" w:rsidP="00816EA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816EA4" w:rsidRPr="00DA0002" w14:paraId="55E8F0BB" w14:textId="77777777" w:rsidTr="003E2636">
        <w:trPr>
          <w:cantSplit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40B3016" w14:textId="77777777" w:rsidR="00816EA4" w:rsidRPr="003B6183" w:rsidRDefault="00816EA4" w:rsidP="003E2636">
            <w:pPr>
              <w:jc w:val="center"/>
            </w:pPr>
            <w:r w:rsidRPr="003B6183">
              <w:t xml:space="preserve">        Kupující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09D8C" w14:textId="77777777" w:rsidR="00816EA4" w:rsidRPr="00714CF9" w:rsidRDefault="00816EA4" w:rsidP="003E2636">
            <w:pPr>
              <w:jc w:val="center"/>
              <w:rPr>
                <w:highlight w:val="green"/>
              </w:rPr>
            </w:pPr>
            <w:r w:rsidRPr="00002F82">
              <w:t>Prodávající</w:t>
            </w:r>
          </w:p>
        </w:tc>
      </w:tr>
      <w:tr w:rsidR="00816EA4" w14:paraId="39DB8B23" w14:textId="77777777" w:rsidTr="003E2636">
        <w:trPr>
          <w:trHeight w:val="1799"/>
        </w:trPr>
        <w:tc>
          <w:tcPr>
            <w:tcW w:w="4535" w:type="dxa"/>
          </w:tcPr>
          <w:p w14:paraId="64680CEC" w14:textId="77777777" w:rsidR="00816EA4" w:rsidRDefault="00816EA4" w:rsidP="003E2636">
            <w:r w:rsidRPr="00DA0002">
              <w:t xml:space="preserve"> </w:t>
            </w:r>
          </w:p>
          <w:p w14:paraId="06C4B585" w14:textId="77777777" w:rsidR="00816EA4" w:rsidRDefault="00816EA4" w:rsidP="003E2636"/>
          <w:p w14:paraId="4374657D" w14:textId="77777777" w:rsidR="00816EA4" w:rsidRDefault="00816EA4" w:rsidP="003E2636"/>
          <w:p w14:paraId="636652C3" w14:textId="77777777" w:rsidR="00816EA4" w:rsidRDefault="00816EA4" w:rsidP="003E2636"/>
          <w:p w14:paraId="6781E153" w14:textId="77777777" w:rsidR="00816EA4" w:rsidRPr="00FD31C2" w:rsidRDefault="00816EA4" w:rsidP="003E2636">
            <w:pPr>
              <w:rPr>
                <w:highlight w:val="black"/>
              </w:rPr>
            </w:pPr>
            <w:r>
              <w:t xml:space="preserve">                  </w:t>
            </w:r>
            <w:r w:rsidRPr="00FD31C2">
              <w:rPr>
                <w:highlight w:val="black"/>
              </w:rPr>
              <w:t>……………………………………</w:t>
            </w:r>
          </w:p>
          <w:p w14:paraId="7CAE08DC" w14:textId="5B826108" w:rsidR="00816EA4" w:rsidRPr="00FD31C2" w:rsidRDefault="00816EA4" w:rsidP="003E2636">
            <w:pPr>
              <w:jc w:val="center"/>
              <w:rPr>
                <w:highlight w:val="black"/>
              </w:rPr>
            </w:pPr>
            <w:r w:rsidRPr="00FD31C2">
              <w:rPr>
                <w:highlight w:val="black"/>
              </w:rPr>
              <w:t xml:space="preserve">     Mgr. </w:t>
            </w:r>
            <w:r w:rsidR="00B970CF" w:rsidRPr="00FD31C2">
              <w:rPr>
                <w:highlight w:val="black"/>
              </w:rPr>
              <w:t>Antonín Němec</w:t>
            </w:r>
          </w:p>
          <w:p w14:paraId="3B96ECB6" w14:textId="5DF32D79" w:rsidR="00816EA4" w:rsidRPr="00FD31C2" w:rsidRDefault="00816EA4" w:rsidP="003E2636">
            <w:pPr>
              <w:jc w:val="center"/>
              <w:rPr>
                <w:highlight w:val="black"/>
              </w:rPr>
            </w:pPr>
            <w:r w:rsidRPr="00FD31C2">
              <w:rPr>
                <w:highlight w:val="black"/>
              </w:rPr>
              <w:t xml:space="preserve">     ředitel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</w:tcPr>
          <w:p w14:paraId="2803E7A6" w14:textId="77777777" w:rsidR="00816EA4" w:rsidRPr="00FD31C2" w:rsidRDefault="00816EA4" w:rsidP="003E2636">
            <w:pPr>
              <w:jc w:val="center"/>
              <w:rPr>
                <w:highlight w:val="black"/>
              </w:rPr>
            </w:pPr>
          </w:p>
          <w:p w14:paraId="38DA8380" w14:textId="77777777" w:rsidR="00816EA4" w:rsidRPr="00FD31C2" w:rsidRDefault="00816EA4" w:rsidP="003E2636">
            <w:pPr>
              <w:jc w:val="center"/>
              <w:rPr>
                <w:highlight w:val="black"/>
              </w:rPr>
            </w:pPr>
          </w:p>
          <w:p w14:paraId="31F3A82F" w14:textId="77777777" w:rsidR="00816EA4" w:rsidRPr="00FD31C2" w:rsidRDefault="00816EA4" w:rsidP="003E2636">
            <w:pPr>
              <w:jc w:val="center"/>
              <w:rPr>
                <w:highlight w:val="black"/>
              </w:rPr>
            </w:pPr>
          </w:p>
          <w:p w14:paraId="6B87CF04" w14:textId="77777777" w:rsidR="00816EA4" w:rsidRPr="00FD31C2" w:rsidRDefault="00816EA4" w:rsidP="003E2636">
            <w:pPr>
              <w:jc w:val="center"/>
              <w:rPr>
                <w:highlight w:val="black"/>
              </w:rPr>
            </w:pPr>
          </w:p>
          <w:p w14:paraId="541DB248" w14:textId="77777777" w:rsidR="00816EA4" w:rsidRPr="00FD31C2" w:rsidRDefault="00816EA4" w:rsidP="003E2636">
            <w:pPr>
              <w:jc w:val="center"/>
              <w:rPr>
                <w:highlight w:val="black"/>
              </w:rPr>
            </w:pPr>
            <w:r w:rsidRPr="00FD31C2">
              <w:rPr>
                <w:highlight w:val="black"/>
              </w:rPr>
              <w:t>…………………………………………..</w:t>
            </w:r>
          </w:p>
          <w:p w14:paraId="124D484E" w14:textId="13E6F248" w:rsidR="00816EA4" w:rsidRPr="00FD31C2" w:rsidRDefault="00B970CF" w:rsidP="003E2636">
            <w:pPr>
              <w:jc w:val="center"/>
              <w:rPr>
                <w:highlight w:val="black"/>
              </w:rPr>
            </w:pPr>
            <w:r w:rsidRPr="00FD31C2">
              <w:rPr>
                <w:highlight w:val="black"/>
              </w:rPr>
              <w:t xml:space="preserve">Jiří Ruček </w:t>
            </w:r>
          </w:p>
        </w:tc>
        <w:bookmarkStart w:id="0" w:name="_GoBack"/>
        <w:bookmarkEnd w:id="0"/>
      </w:tr>
    </w:tbl>
    <w:p w14:paraId="5A68AD19" w14:textId="77777777" w:rsidR="00A74CCA" w:rsidRDefault="00A74CCA"/>
    <w:sectPr w:rsidR="00A74C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C38E7" w14:textId="77777777" w:rsidR="00B330A0" w:rsidRDefault="00B330A0" w:rsidP="00305DED">
      <w:r>
        <w:separator/>
      </w:r>
    </w:p>
  </w:endnote>
  <w:endnote w:type="continuationSeparator" w:id="0">
    <w:p w14:paraId="1EC646CD" w14:textId="77777777" w:rsidR="00B330A0" w:rsidRDefault="00B330A0" w:rsidP="0030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457253"/>
      <w:docPartObj>
        <w:docPartGallery w:val="Page Numbers (Bottom of Page)"/>
        <w:docPartUnique/>
      </w:docPartObj>
    </w:sdtPr>
    <w:sdtEndPr/>
    <w:sdtContent>
      <w:p w14:paraId="5300A74F" w14:textId="417F6068" w:rsidR="00305DED" w:rsidRDefault="00305DE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1C2">
          <w:rPr>
            <w:noProof/>
          </w:rPr>
          <w:t>4</w:t>
        </w:r>
        <w:r>
          <w:fldChar w:fldCharType="end"/>
        </w:r>
      </w:p>
    </w:sdtContent>
  </w:sdt>
  <w:p w14:paraId="40BCBA0F" w14:textId="77777777" w:rsidR="00305DED" w:rsidRDefault="00305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AB21A" w14:textId="77777777" w:rsidR="00B330A0" w:rsidRDefault="00B330A0" w:rsidP="00305DED">
      <w:r>
        <w:separator/>
      </w:r>
    </w:p>
  </w:footnote>
  <w:footnote w:type="continuationSeparator" w:id="0">
    <w:p w14:paraId="35F58D03" w14:textId="77777777" w:rsidR="00B330A0" w:rsidRDefault="00B330A0" w:rsidP="0030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852"/>
    <w:multiLevelType w:val="hybridMultilevel"/>
    <w:tmpl w:val="998C0DD2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8AF2FA9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A1153"/>
    <w:multiLevelType w:val="hybridMultilevel"/>
    <w:tmpl w:val="F74480A2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44F010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11E1F"/>
    <w:multiLevelType w:val="hybridMultilevel"/>
    <w:tmpl w:val="71121CC8"/>
    <w:lvl w:ilvl="0" w:tplc="21E6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A1576"/>
    <w:multiLevelType w:val="singleLevel"/>
    <w:tmpl w:val="4338452E"/>
    <w:lvl w:ilvl="0">
      <w:start w:val="1"/>
      <w:numFmt w:val="upperRoman"/>
      <w:pStyle w:val="Nadpis1"/>
      <w:lvlText w:val="%1."/>
      <w:lvlJc w:val="left"/>
      <w:pPr>
        <w:tabs>
          <w:tab w:val="num" w:pos="4973"/>
        </w:tabs>
        <w:ind w:left="4973" w:hanging="720"/>
      </w:pPr>
      <w:rPr>
        <w:rFonts w:cs="Times New Roman"/>
      </w:rPr>
    </w:lvl>
  </w:abstractNum>
  <w:abstractNum w:abstractNumId="4">
    <w:nsid w:val="38321386"/>
    <w:multiLevelType w:val="singleLevel"/>
    <w:tmpl w:val="95FC8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>
    <w:nsid w:val="48663E86"/>
    <w:multiLevelType w:val="singleLevel"/>
    <w:tmpl w:val="21E6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8405AEC"/>
    <w:multiLevelType w:val="multilevel"/>
    <w:tmpl w:val="B3F0A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655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1952D54"/>
    <w:multiLevelType w:val="hybridMultilevel"/>
    <w:tmpl w:val="CA9E9B8E"/>
    <w:lvl w:ilvl="0" w:tplc="34ECB2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A4"/>
    <w:rsid w:val="00011AFB"/>
    <w:rsid w:val="00063818"/>
    <w:rsid w:val="00305DED"/>
    <w:rsid w:val="00387BCC"/>
    <w:rsid w:val="004432B5"/>
    <w:rsid w:val="00617C3D"/>
    <w:rsid w:val="00725D63"/>
    <w:rsid w:val="007B6AA6"/>
    <w:rsid w:val="007E7A68"/>
    <w:rsid w:val="00816EA4"/>
    <w:rsid w:val="0087426B"/>
    <w:rsid w:val="008D6CA7"/>
    <w:rsid w:val="009B046F"/>
    <w:rsid w:val="009B3E0B"/>
    <w:rsid w:val="00A74CCA"/>
    <w:rsid w:val="00AA6CA2"/>
    <w:rsid w:val="00B2279F"/>
    <w:rsid w:val="00B330A0"/>
    <w:rsid w:val="00B970CF"/>
    <w:rsid w:val="00F4141A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5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6EA4"/>
    <w:pPr>
      <w:spacing w:line="240" w:lineRule="auto"/>
      <w:jc w:val="both"/>
    </w:pPr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6EA4"/>
    <w:pPr>
      <w:keepNext/>
      <w:numPr>
        <w:numId w:val="3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816EA4"/>
    <w:pPr>
      <w:keepNext/>
      <w:jc w:val="lef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qFormat/>
    <w:rsid w:val="007E7A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qFormat/>
    <w:rsid w:val="00816EA4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E7A68"/>
    <w:rPr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rsid w:val="00816EA4"/>
    <w:rPr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816EA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816EA4"/>
    <w:rPr>
      <w:rFonts w:ascii="Calibri" w:hAnsi="Calibri"/>
      <w:b/>
      <w:bCs/>
      <w:sz w:val="22"/>
      <w:szCs w:val="22"/>
      <w:lang w:val="x-none" w:eastAsia="x-none"/>
    </w:rPr>
  </w:style>
  <w:style w:type="character" w:styleId="Hypertextovodkaz">
    <w:name w:val="Hyperlink"/>
    <w:rsid w:val="00816EA4"/>
    <w:rPr>
      <w:rFonts w:cs="Times New Roman"/>
      <w:color w:val="0000FF"/>
      <w:u w:val="single"/>
    </w:rPr>
  </w:style>
  <w:style w:type="paragraph" w:customStyle="1" w:styleId="a">
    <w:qFormat/>
    <w:rsid w:val="00816EA4"/>
    <w:pPr>
      <w:spacing w:line="240" w:lineRule="auto"/>
      <w:jc w:val="both"/>
    </w:pPr>
    <w:rPr>
      <w:lang w:eastAsia="cs-CZ"/>
    </w:rPr>
  </w:style>
  <w:style w:type="character" w:styleId="Siln">
    <w:name w:val="Strong"/>
    <w:qFormat/>
    <w:rsid w:val="00816EA4"/>
    <w:rPr>
      <w:b/>
      <w:bCs/>
    </w:rPr>
  </w:style>
  <w:style w:type="character" w:customStyle="1" w:styleId="nowrap">
    <w:name w:val="nowrap"/>
    <w:basedOn w:val="Standardnpsmoodstavce"/>
    <w:rsid w:val="00816EA4"/>
  </w:style>
  <w:style w:type="character" w:styleId="Zvraznn">
    <w:name w:val="Emphasis"/>
    <w:basedOn w:val="Standardnpsmoodstavce"/>
    <w:qFormat/>
    <w:rsid w:val="00816EA4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279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D6CA7"/>
    <w:pPr>
      <w:ind w:left="720"/>
      <w:contextualSpacing/>
    </w:pPr>
  </w:style>
  <w:style w:type="paragraph" w:styleId="Zhlav">
    <w:name w:val="header"/>
    <w:basedOn w:val="Normln"/>
    <w:link w:val="ZhlavChar"/>
    <w:rsid w:val="0030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05DED"/>
    <w:rPr>
      <w:lang w:eastAsia="cs-CZ"/>
    </w:rPr>
  </w:style>
  <w:style w:type="paragraph" w:styleId="Zpat">
    <w:name w:val="footer"/>
    <w:basedOn w:val="Normln"/>
    <w:link w:val="ZpatChar"/>
    <w:uiPriority w:val="99"/>
    <w:rsid w:val="0030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DED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6EA4"/>
    <w:pPr>
      <w:spacing w:line="240" w:lineRule="auto"/>
      <w:jc w:val="both"/>
    </w:pPr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6EA4"/>
    <w:pPr>
      <w:keepNext/>
      <w:numPr>
        <w:numId w:val="3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816EA4"/>
    <w:pPr>
      <w:keepNext/>
      <w:jc w:val="lef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qFormat/>
    <w:rsid w:val="007E7A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qFormat/>
    <w:rsid w:val="00816EA4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E7A68"/>
    <w:rPr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rsid w:val="00816EA4"/>
    <w:rPr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816EA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816EA4"/>
    <w:rPr>
      <w:rFonts w:ascii="Calibri" w:hAnsi="Calibri"/>
      <w:b/>
      <w:bCs/>
      <w:sz w:val="22"/>
      <w:szCs w:val="22"/>
      <w:lang w:val="x-none" w:eastAsia="x-none"/>
    </w:rPr>
  </w:style>
  <w:style w:type="character" w:styleId="Hypertextovodkaz">
    <w:name w:val="Hyperlink"/>
    <w:rsid w:val="00816EA4"/>
    <w:rPr>
      <w:rFonts w:cs="Times New Roman"/>
      <w:color w:val="0000FF"/>
      <w:u w:val="single"/>
    </w:rPr>
  </w:style>
  <w:style w:type="paragraph" w:customStyle="1" w:styleId="a">
    <w:qFormat/>
    <w:rsid w:val="00816EA4"/>
    <w:pPr>
      <w:spacing w:line="240" w:lineRule="auto"/>
      <w:jc w:val="both"/>
    </w:pPr>
    <w:rPr>
      <w:lang w:eastAsia="cs-CZ"/>
    </w:rPr>
  </w:style>
  <w:style w:type="character" w:styleId="Siln">
    <w:name w:val="Strong"/>
    <w:qFormat/>
    <w:rsid w:val="00816EA4"/>
    <w:rPr>
      <w:b/>
      <w:bCs/>
    </w:rPr>
  </w:style>
  <w:style w:type="character" w:customStyle="1" w:styleId="nowrap">
    <w:name w:val="nowrap"/>
    <w:basedOn w:val="Standardnpsmoodstavce"/>
    <w:rsid w:val="00816EA4"/>
  </w:style>
  <w:style w:type="character" w:styleId="Zvraznn">
    <w:name w:val="Emphasis"/>
    <w:basedOn w:val="Standardnpsmoodstavce"/>
    <w:qFormat/>
    <w:rsid w:val="00816EA4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279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D6CA7"/>
    <w:pPr>
      <w:ind w:left="720"/>
      <w:contextualSpacing/>
    </w:pPr>
  </w:style>
  <w:style w:type="paragraph" w:styleId="Zhlav">
    <w:name w:val="header"/>
    <w:basedOn w:val="Normln"/>
    <w:link w:val="ZhlavChar"/>
    <w:rsid w:val="0030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05DED"/>
    <w:rPr>
      <w:lang w:eastAsia="cs-CZ"/>
    </w:rPr>
  </w:style>
  <w:style w:type="paragraph" w:styleId="Zpat">
    <w:name w:val="footer"/>
    <w:basedOn w:val="Normln"/>
    <w:link w:val="ZpatChar"/>
    <w:uiPriority w:val="99"/>
    <w:rsid w:val="0030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DED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uspskalic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ravce@uspskal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2390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Ruček</dc:creator>
  <cp:keywords/>
  <dc:description/>
  <cp:lastModifiedBy>Antonín Němec</cp:lastModifiedBy>
  <cp:revision>4</cp:revision>
  <cp:lastPrinted>2022-07-26T05:02:00Z</cp:lastPrinted>
  <dcterms:created xsi:type="dcterms:W3CDTF">2022-07-28T05:01:00Z</dcterms:created>
  <dcterms:modified xsi:type="dcterms:W3CDTF">2022-07-28T05:51:00Z</dcterms:modified>
</cp:coreProperties>
</file>