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94E" w:rsidRDefault="0004594E">
      <w:pPr>
        <w:spacing w:line="1" w:lineRule="exact"/>
      </w:pPr>
    </w:p>
    <w:p w:rsidR="0004594E" w:rsidRPr="005F54CA" w:rsidRDefault="00C45E85">
      <w:pPr>
        <w:pStyle w:val="Nadpis10"/>
        <w:keepNext/>
        <w:keepLines/>
        <w:shd w:val="clear" w:color="auto" w:fill="auto"/>
        <w:spacing w:after="0" w:line="353" w:lineRule="auto"/>
        <w:rPr>
          <w:b/>
        </w:rPr>
      </w:pPr>
      <w:bookmarkStart w:id="0" w:name="bookmark0"/>
      <w:bookmarkStart w:id="1" w:name="bookmark1"/>
      <w:r w:rsidRPr="005F54CA">
        <w:rPr>
          <w:b/>
        </w:rPr>
        <w:t>S M L O U V A</w:t>
      </w:r>
      <w:bookmarkEnd w:id="0"/>
      <w:bookmarkEnd w:id="1"/>
    </w:p>
    <w:p w:rsidR="0004594E" w:rsidRDefault="00C45E85">
      <w:pPr>
        <w:pStyle w:val="Nadpis10"/>
        <w:keepNext/>
        <w:keepLines/>
        <w:shd w:val="clear" w:color="auto" w:fill="auto"/>
        <w:spacing w:after="400" w:line="353" w:lineRule="auto"/>
      </w:pPr>
      <w:bookmarkStart w:id="2" w:name="bookmark2"/>
      <w:bookmarkStart w:id="3" w:name="bookmark3"/>
      <w:r w:rsidRPr="005F54CA">
        <w:rPr>
          <w:b/>
        </w:rPr>
        <w:t>o zajišťování účetního, právního a navazujícího poradenství</w:t>
      </w:r>
      <w:r>
        <w:br/>
        <w:t>uzavřená ve smyslu § 269 a násl. obchodního zákoníku</w:t>
      </w:r>
      <w:bookmarkEnd w:id="2"/>
      <w:bookmarkEnd w:id="3"/>
    </w:p>
    <w:p w:rsidR="0004594E" w:rsidRDefault="00C45E85">
      <w:pPr>
        <w:pStyle w:val="Nadpis20"/>
        <w:keepNext/>
        <w:keepLines/>
        <w:numPr>
          <w:ilvl w:val="0"/>
          <w:numId w:val="2"/>
        </w:numPr>
        <w:shd w:val="clear" w:color="auto" w:fill="auto"/>
        <w:tabs>
          <w:tab w:val="left" w:pos="359"/>
        </w:tabs>
        <w:spacing w:after="740"/>
      </w:pPr>
      <w:bookmarkStart w:id="4" w:name="bookmark4"/>
      <w:bookmarkStart w:id="5" w:name="bookmark5"/>
      <w:r>
        <w:t>Účastníci smlouvy</w:t>
      </w:r>
      <w:bookmarkEnd w:id="4"/>
      <w:bookmarkEnd w:id="5"/>
    </w:p>
    <w:p w:rsidR="0004594E" w:rsidRDefault="005F54CA">
      <w:pPr>
        <w:pStyle w:val="Zkladntext1"/>
        <w:shd w:val="clear" w:color="auto" w:fill="auto"/>
        <w:spacing w:after="0" w:line="257" w:lineRule="auto"/>
        <w:jc w:val="both"/>
      </w:pPr>
      <w:r>
        <w:t>Organizace:</w:t>
      </w:r>
      <w:r>
        <w:tab/>
      </w:r>
      <w:r>
        <w:tab/>
      </w:r>
      <w:r w:rsidR="00C45E85">
        <w:t>Národní památkový ústav</w:t>
      </w:r>
    </w:p>
    <w:p w:rsidR="0004594E" w:rsidRDefault="00C45E85" w:rsidP="005F54CA">
      <w:pPr>
        <w:pStyle w:val="Zkladntext1"/>
        <w:shd w:val="clear" w:color="auto" w:fill="auto"/>
        <w:spacing w:after="240" w:line="257" w:lineRule="auto"/>
        <w:ind w:left="1416" w:firstLine="708"/>
      </w:pPr>
      <w:r>
        <w:t>Ústřední pracoviště</w:t>
      </w:r>
    </w:p>
    <w:p w:rsidR="005F54CA" w:rsidRDefault="005F54CA">
      <w:pPr>
        <w:pStyle w:val="Zkladntext1"/>
        <w:shd w:val="clear" w:color="auto" w:fill="auto"/>
        <w:spacing w:after="0"/>
      </w:pPr>
      <w:r>
        <w:t>Adresa:</w:t>
      </w:r>
      <w:r>
        <w:tab/>
      </w:r>
      <w:r>
        <w:tab/>
      </w:r>
      <w:r>
        <w:tab/>
      </w:r>
      <w:r w:rsidR="00C45E85">
        <w:t xml:space="preserve">Valdštejnské nám. 162/3, 118 01 Praha 1-Malá Strana </w:t>
      </w:r>
    </w:p>
    <w:p w:rsidR="0004594E" w:rsidRDefault="005F54CA">
      <w:pPr>
        <w:pStyle w:val="Zkladntext1"/>
        <w:shd w:val="clear" w:color="auto" w:fill="auto"/>
        <w:spacing w:after="0"/>
        <w:rPr>
          <w:sz w:val="24"/>
          <w:szCs w:val="24"/>
        </w:rPr>
      </w:pPr>
      <w:r>
        <w:t>IČ:</w:t>
      </w:r>
      <w:r>
        <w:tab/>
      </w:r>
      <w:r>
        <w:tab/>
      </w:r>
      <w:r>
        <w:tab/>
      </w:r>
      <w:r w:rsidR="00C45E85">
        <w:rPr>
          <w:sz w:val="24"/>
          <w:szCs w:val="24"/>
        </w:rPr>
        <w:t>75032333</w:t>
      </w:r>
    </w:p>
    <w:p w:rsidR="0004594E" w:rsidRDefault="005F54CA">
      <w:pPr>
        <w:pStyle w:val="Nadpis10"/>
        <w:keepNext/>
        <w:keepLines/>
        <w:shd w:val="clear" w:color="auto" w:fill="auto"/>
        <w:spacing w:after="0" w:line="240" w:lineRule="auto"/>
        <w:jc w:val="left"/>
      </w:pPr>
      <w:bookmarkStart w:id="6" w:name="bookmark6"/>
      <w:bookmarkStart w:id="7" w:name="bookmark7"/>
      <w:r>
        <w:t>DIČ:</w:t>
      </w:r>
      <w:r>
        <w:tab/>
      </w:r>
      <w:r>
        <w:tab/>
      </w:r>
      <w:r>
        <w:tab/>
      </w:r>
      <w:r w:rsidR="00C45E85">
        <w:t>CZ75032333</w:t>
      </w:r>
      <w:bookmarkEnd w:id="6"/>
      <w:bookmarkEnd w:id="7"/>
    </w:p>
    <w:p w:rsidR="005F54CA" w:rsidRDefault="005F54CA" w:rsidP="005F54CA">
      <w:pPr>
        <w:pStyle w:val="Nadpis10"/>
        <w:keepNext/>
        <w:keepLines/>
        <w:shd w:val="clear" w:color="auto" w:fill="auto"/>
        <w:spacing w:after="0" w:line="240" w:lineRule="auto"/>
        <w:jc w:val="left"/>
      </w:pPr>
      <w:bookmarkStart w:id="8" w:name="bookmark8"/>
      <w:bookmarkStart w:id="9" w:name="bookmark9"/>
      <w:r>
        <w:t>Zastoupená</w:t>
      </w:r>
      <w:r>
        <w:tab/>
      </w:r>
      <w:r>
        <w:tab/>
      </w:r>
      <w:r w:rsidR="00C45E85">
        <w:t>Ing. arch. Naděždou Goryczkovou, generální ředitelkou NPÚ</w:t>
      </w:r>
      <w:bookmarkEnd w:id="8"/>
      <w:bookmarkEnd w:id="9"/>
    </w:p>
    <w:p w:rsidR="005F54CA" w:rsidRDefault="005F54CA" w:rsidP="005F54CA">
      <w:pPr>
        <w:pStyle w:val="Nadpis10"/>
        <w:keepNext/>
        <w:keepLines/>
        <w:numPr>
          <w:ilvl w:val="0"/>
          <w:numId w:val="11"/>
        </w:numPr>
        <w:shd w:val="clear" w:color="auto" w:fill="auto"/>
        <w:spacing w:after="0" w:line="240" w:lineRule="auto"/>
        <w:ind w:left="426"/>
        <w:jc w:val="left"/>
      </w:pPr>
      <w:r>
        <w:t>dále jen objednatel</w:t>
      </w:r>
    </w:p>
    <w:p w:rsidR="005F54CA" w:rsidRDefault="005F54CA" w:rsidP="005F54CA">
      <w:pPr>
        <w:pStyle w:val="Zkladntext1"/>
        <w:shd w:val="clear" w:color="auto" w:fill="auto"/>
        <w:spacing w:after="0"/>
        <w:jc w:val="both"/>
      </w:pPr>
    </w:p>
    <w:p w:rsidR="005F54CA" w:rsidRDefault="005F54CA" w:rsidP="005F54CA">
      <w:pPr>
        <w:pStyle w:val="Zkladntext1"/>
        <w:shd w:val="clear" w:color="auto" w:fill="auto"/>
        <w:spacing w:after="0"/>
        <w:jc w:val="both"/>
      </w:pPr>
      <w:r>
        <w:t>a</w:t>
      </w:r>
    </w:p>
    <w:p w:rsidR="005F54CA" w:rsidRDefault="005F54CA" w:rsidP="005F54CA">
      <w:pPr>
        <w:pStyle w:val="Zkladntext1"/>
        <w:shd w:val="clear" w:color="auto" w:fill="auto"/>
        <w:spacing w:after="0"/>
        <w:jc w:val="both"/>
      </w:pPr>
    </w:p>
    <w:p w:rsidR="0004594E" w:rsidRDefault="005F54CA" w:rsidP="005F54CA">
      <w:pPr>
        <w:pStyle w:val="Zkladntext1"/>
        <w:shd w:val="clear" w:color="auto" w:fill="auto"/>
        <w:spacing w:after="0"/>
        <w:jc w:val="both"/>
      </w:pPr>
      <w:r>
        <w:t>Podnikatel:</w:t>
      </w:r>
      <w:r>
        <w:tab/>
      </w:r>
      <w:r>
        <w:tab/>
      </w:r>
      <w:r w:rsidR="00C45E85">
        <w:t>Michal Mládek</w:t>
      </w:r>
    </w:p>
    <w:p w:rsidR="005F54CA" w:rsidRDefault="005F54CA" w:rsidP="005F54CA">
      <w:pPr>
        <w:pStyle w:val="Zkladntext1"/>
        <w:shd w:val="clear" w:color="auto" w:fill="auto"/>
        <w:spacing w:after="0"/>
      </w:pPr>
      <w:r>
        <w:t>Bydliště:</w:t>
      </w:r>
      <w:r>
        <w:tab/>
      </w:r>
      <w:r>
        <w:tab/>
      </w:r>
      <w:r w:rsidR="00C45E85">
        <w:t xml:space="preserve">Klicperova 1768, 508 01 Hořice </w:t>
      </w:r>
    </w:p>
    <w:p w:rsidR="0004594E" w:rsidRDefault="005F54CA" w:rsidP="005F54CA">
      <w:pPr>
        <w:pStyle w:val="Zkladntext1"/>
        <w:shd w:val="clear" w:color="auto" w:fill="auto"/>
        <w:spacing w:after="0"/>
      </w:pPr>
      <w:r>
        <w:t>IČ:</w:t>
      </w:r>
      <w:r>
        <w:tab/>
      </w:r>
      <w:r>
        <w:tab/>
      </w:r>
      <w:r>
        <w:tab/>
      </w:r>
      <w:r w:rsidR="00C45E85">
        <w:t>72771429</w:t>
      </w:r>
    </w:p>
    <w:p w:rsidR="0004594E" w:rsidRDefault="005F54CA" w:rsidP="005F54CA">
      <w:pPr>
        <w:pStyle w:val="Zkladntext1"/>
        <w:shd w:val="clear" w:color="auto" w:fill="auto"/>
        <w:spacing w:after="0"/>
      </w:pPr>
      <w:r>
        <w:t xml:space="preserve">Živnostenský list: </w:t>
      </w:r>
      <w:r>
        <w:tab/>
      </w:r>
      <w:r w:rsidR="00C45E85">
        <w:t>č. ZU/2</w:t>
      </w:r>
      <w:r w:rsidR="00C45E85" w:rsidRPr="005F54CA">
        <w:rPr>
          <w:lang w:eastAsia="en-US" w:bidi="en-US"/>
        </w:rPr>
        <w:t>1</w:t>
      </w:r>
      <w:r w:rsidR="00C45E85">
        <w:t>80/2006/HA 4373, OÚ Hořice</w:t>
      </w:r>
    </w:p>
    <w:p w:rsidR="005F54CA" w:rsidRDefault="005F54CA" w:rsidP="005F54CA">
      <w:pPr>
        <w:pStyle w:val="Zkladntext1"/>
        <w:shd w:val="clear" w:color="auto" w:fill="auto"/>
        <w:spacing w:after="0"/>
        <w:jc w:val="both"/>
      </w:pPr>
      <w:r>
        <w:t>Bankovní spojení:</w:t>
      </w:r>
      <w:r>
        <w:tab/>
      </w:r>
      <w:r w:rsidR="00DB1A3C">
        <w:t>xxx</w:t>
      </w:r>
      <w:bookmarkStart w:id="10" w:name="_GoBack"/>
      <w:bookmarkEnd w:id="10"/>
    </w:p>
    <w:p w:rsidR="005F54CA" w:rsidRDefault="005F54CA" w:rsidP="005F54CA">
      <w:pPr>
        <w:pStyle w:val="Zkladntext1"/>
        <w:numPr>
          <w:ilvl w:val="0"/>
          <w:numId w:val="11"/>
        </w:numPr>
        <w:shd w:val="clear" w:color="auto" w:fill="auto"/>
        <w:spacing w:after="0"/>
        <w:ind w:left="426"/>
        <w:jc w:val="both"/>
      </w:pPr>
      <w:r>
        <w:t>dále jen poradce</w:t>
      </w:r>
    </w:p>
    <w:p w:rsidR="005F54CA" w:rsidRDefault="005F54CA" w:rsidP="005F54CA">
      <w:pPr>
        <w:pStyle w:val="Zkladntext1"/>
        <w:numPr>
          <w:ilvl w:val="0"/>
          <w:numId w:val="11"/>
        </w:numPr>
        <w:shd w:val="clear" w:color="auto" w:fill="auto"/>
        <w:spacing w:after="0"/>
        <w:ind w:left="426"/>
        <w:jc w:val="both"/>
      </w:pPr>
    </w:p>
    <w:p w:rsidR="0004594E" w:rsidRPr="005F54CA" w:rsidRDefault="00C45E85">
      <w:pPr>
        <w:pStyle w:val="Nadpis10"/>
        <w:keepNext/>
        <w:keepLines/>
        <w:numPr>
          <w:ilvl w:val="0"/>
          <w:numId w:val="2"/>
        </w:numPr>
        <w:shd w:val="clear" w:color="auto" w:fill="auto"/>
        <w:tabs>
          <w:tab w:val="left" w:pos="392"/>
        </w:tabs>
        <w:spacing w:after="120" w:line="221" w:lineRule="auto"/>
        <w:rPr>
          <w:b/>
        </w:rPr>
      </w:pPr>
      <w:bookmarkStart w:id="11" w:name="bookmark10"/>
      <w:bookmarkStart w:id="12" w:name="bookmark11"/>
      <w:r w:rsidRPr="005F54CA">
        <w:rPr>
          <w:b/>
          <w:u w:val="single"/>
        </w:rPr>
        <w:t>Předmět a účel smlouvy</w:t>
      </w:r>
      <w:bookmarkEnd w:id="11"/>
      <w:bookmarkEnd w:id="12"/>
    </w:p>
    <w:p w:rsidR="0004594E" w:rsidRDefault="00C45E85">
      <w:pPr>
        <w:pStyle w:val="Zkladntext1"/>
        <w:numPr>
          <w:ilvl w:val="0"/>
          <w:numId w:val="3"/>
        </w:numPr>
        <w:shd w:val="clear" w:color="auto" w:fill="auto"/>
        <w:tabs>
          <w:tab w:val="left" w:pos="512"/>
        </w:tabs>
        <w:spacing w:after="500"/>
        <w:jc w:val="both"/>
      </w:pPr>
      <w:r>
        <w:t>Předmětem smlouvy je úprava práv a povinností smluvních stran při poskytování poradenství v oblasti účetnictví a daní dle potřeb objednatele. Poradce se zaměří zejména na vysvětlování zákonných a podzákonných norem v oblasti obecné právní úpravy, účetnictví a předpisů daňové soustavy a jejich dopadů na objednatele. Předmětem smlouvy je dále praktická aplikace platných norem v předpisové základně NPÚ.</w:t>
      </w:r>
    </w:p>
    <w:p w:rsidR="0004594E" w:rsidRPr="005F54CA" w:rsidRDefault="00C45E85">
      <w:pPr>
        <w:pStyle w:val="Zkladntext1"/>
        <w:numPr>
          <w:ilvl w:val="0"/>
          <w:numId w:val="2"/>
        </w:numPr>
        <w:shd w:val="clear" w:color="auto" w:fill="auto"/>
        <w:tabs>
          <w:tab w:val="left" w:pos="467"/>
        </w:tabs>
        <w:jc w:val="center"/>
        <w:rPr>
          <w:b/>
        </w:rPr>
      </w:pPr>
      <w:r w:rsidRPr="005F54CA">
        <w:rPr>
          <w:b/>
          <w:u w:val="single"/>
        </w:rPr>
        <w:t>Místo, čas a způsob plnění</w:t>
      </w:r>
    </w:p>
    <w:p w:rsidR="0004594E" w:rsidRDefault="00C45E85">
      <w:pPr>
        <w:pStyle w:val="Zkladntext1"/>
        <w:numPr>
          <w:ilvl w:val="0"/>
          <w:numId w:val="4"/>
        </w:numPr>
        <w:shd w:val="clear" w:color="auto" w:fill="auto"/>
        <w:tabs>
          <w:tab w:val="left" w:pos="504"/>
        </w:tabs>
        <w:jc w:val="both"/>
      </w:pPr>
      <w:r>
        <w:t xml:space="preserve">Činnosti dle čl. II smlouvy jsou poradcem vykonávány jednak v místě výkonu činnosti objednatele a v prostorách, které objednatel pro tyto činnosti poradci vyhradil a dále některé činnosti poradce související splněním předmětu smlouvy, které nevyžadují bezprostřední kontakt s objednatelem, </w:t>
      </w:r>
      <w:proofErr w:type="gramStart"/>
      <w:r>
        <w:t>mohou byl</w:t>
      </w:r>
      <w:proofErr w:type="gramEnd"/>
      <w:r>
        <w:t xml:space="preserve"> vykonávány i bez přítomnosti objednatele (např. odborné posouzeni zaslaných dokumentů, administrativní činnosti poradce při plnění předmětu smlouvy) v prostorách poradce.</w:t>
      </w:r>
    </w:p>
    <w:p w:rsidR="0004594E" w:rsidRDefault="00C45E85">
      <w:pPr>
        <w:pStyle w:val="Zkladntext1"/>
        <w:numPr>
          <w:ilvl w:val="0"/>
          <w:numId w:val="4"/>
        </w:numPr>
        <w:shd w:val="clear" w:color="auto" w:fill="auto"/>
        <w:tabs>
          <w:tab w:val="left" w:pos="497"/>
        </w:tabs>
        <w:spacing w:after="180"/>
        <w:jc w:val="both"/>
      </w:pPr>
      <w:r>
        <w:t xml:space="preserve">Činnost poradce dle čl. II </w:t>
      </w:r>
      <w:proofErr w:type="gramStart"/>
      <w:r>
        <w:t>smlouvy je</w:t>
      </w:r>
      <w:proofErr w:type="gramEnd"/>
      <w:r>
        <w:t xml:space="preserve"> vykonávána v termínech vzájemně dohodnutých písemnou nebo ústní formou.</w:t>
      </w:r>
    </w:p>
    <w:p w:rsidR="0004594E" w:rsidRDefault="00C45E85">
      <w:pPr>
        <w:pStyle w:val="Nadpis20"/>
        <w:keepNext/>
        <w:keepLines/>
        <w:numPr>
          <w:ilvl w:val="0"/>
          <w:numId w:val="2"/>
        </w:numPr>
        <w:shd w:val="clear" w:color="auto" w:fill="auto"/>
        <w:tabs>
          <w:tab w:val="left" w:pos="442"/>
        </w:tabs>
        <w:spacing w:after="100"/>
      </w:pPr>
      <w:bookmarkStart w:id="13" w:name="bookmark12"/>
      <w:bookmarkStart w:id="14" w:name="bookmark13"/>
      <w:r>
        <w:t>Cena plnění</w:t>
      </w:r>
      <w:bookmarkEnd w:id="13"/>
      <w:bookmarkEnd w:id="14"/>
    </w:p>
    <w:p w:rsidR="0004594E" w:rsidRDefault="00C45E85">
      <w:pPr>
        <w:pStyle w:val="Zkladntext1"/>
        <w:shd w:val="clear" w:color="auto" w:fill="auto"/>
        <w:spacing w:after="100"/>
        <w:jc w:val="both"/>
      </w:pPr>
      <w:r>
        <w:t>4 1. Činnosti poradce dle čl. II. smlouvy budou účtovány paušální částkou ve výši 5.000,- Kč měsíčné za činnosti poradce k předmětu objednávky v rozsahu 5 hodin, a to vždy za uplynulý kalendářní měsíc.</w:t>
      </w:r>
    </w:p>
    <w:p w:rsidR="0004594E" w:rsidRDefault="00C45E85">
      <w:pPr>
        <w:pStyle w:val="Zkladntext1"/>
        <w:numPr>
          <w:ilvl w:val="0"/>
          <w:numId w:val="5"/>
        </w:numPr>
        <w:shd w:val="clear" w:color="auto" w:fill="auto"/>
        <w:tabs>
          <w:tab w:val="left" w:pos="479"/>
        </w:tabs>
        <w:spacing w:after="100"/>
        <w:jc w:val="both"/>
      </w:pPr>
      <w:r>
        <w:t>Nad rámec smluvního rozsahu 5 hodin, jak je zahrnut v částce smluvní paušální platby, bude každá započatá hodina činnosti poradce na předmětu smlouvy účtována částkou 500,- Kč.</w:t>
      </w:r>
    </w:p>
    <w:p w:rsidR="0004594E" w:rsidRDefault="00C45E85">
      <w:pPr>
        <w:pStyle w:val="Zkladntext1"/>
        <w:numPr>
          <w:ilvl w:val="0"/>
          <w:numId w:val="5"/>
        </w:numPr>
        <w:shd w:val="clear" w:color="auto" w:fill="auto"/>
        <w:tabs>
          <w:tab w:val="left" w:pos="479"/>
        </w:tabs>
        <w:spacing w:after="100"/>
        <w:jc w:val="both"/>
      </w:pPr>
      <w:r>
        <w:t>Poradce je oprávněn vyúčtovat tyto cestovní náhrady:</w:t>
      </w:r>
    </w:p>
    <w:p w:rsidR="0004594E" w:rsidRDefault="00C45E85">
      <w:pPr>
        <w:pStyle w:val="Zkladntext1"/>
        <w:numPr>
          <w:ilvl w:val="0"/>
          <w:numId w:val="6"/>
        </w:numPr>
        <w:shd w:val="clear" w:color="auto" w:fill="auto"/>
        <w:tabs>
          <w:tab w:val="left" w:pos="386"/>
        </w:tabs>
        <w:spacing w:after="100"/>
        <w:jc w:val="both"/>
      </w:pPr>
      <w:r>
        <w:t>v sazbě za 6,- Kč/1 km</w:t>
      </w:r>
    </w:p>
    <w:p w:rsidR="0004594E" w:rsidRDefault="00C45E85">
      <w:pPr>
        <w:pStyle w:val="Zkladntext1"/>
        <w:numPr>
          <w:ilvl w:val="0"/>
          <w:numId w:val="6"/>
        </w:numPr>
        <w:shd w:val="clear" w:color="auto" w:fill="auto"/>
        <w:tabs>
          <w:tab w:val="left" w:pos="386"/>
        </w:tabs>
        <w:spacing w:after="100"/>
        <w:ind w:left="400" w:hanging="400"/>
        <w:jc w:val="both"/>
      </w:pPr>
      <w:r>
        <w:t xml:space="preserve">v sazbě 250,- Kč za každou byť započatou hodinu strávenou při přepravě do místa plněni objednávky </w:t>
      </w:r>
      <w:r>
        <w:lastRenderedPageBreak/>
        <w:t>a zpět, v případě pokud pracovní čas vynaložený na realizaci zakázky bude méně než 5 hodin. Výchozím místem je bydliště poradce uvedené v hlavičce této smlouvy.</w:t>
      </w:r>
    </w:p>
    <w:p w:rsidR="0004594E" w:rsidRDefault="00C45E85">
      <w:pPr>
        <w:pStyle w:val="Zkladntext1"/>
        <w:numPr>
          <w:ilvl w:val="0"/>
          <w:numId w:val="5"/>
        </w:numPr>
        <w:shd w:val="clear" w:color="auto" w:fill="auto"/>
        <w:tabs>
          <w:tab w:val="left" w:pos="479"/>
        </w:tabs>
        <w:spacing w:after="100" w:line="264" w:lineRule="auto"/>
        <w:jc w:val="both"/>
      </w:pPr>
      <w:r>
        <w:t>Cestovní náhrady nebudou účtovány v případě jednoho jednání měsíčně hrazeného v rámci paušální platby.</w:t>
      </w:r>
    </w:p>
    <w:p w:rsidR="0004594E" w:rsidRDefault="00C45E85">
      <w:pPr>
        <w:pStyle w:val="Zkladntext1"/>
        <w:numPr>
          <w:ilvl w:val="0"/>
          <w:numId w:val="5"/>
        </w:numPr>
        <w:shd w:val="clear" w:color="auto" w:fill="auto"/>
        <w:tabs>
          <w:tab w:val="left" w:pos="593"/>
        </w:tabs>
        <w:spacing w:after="100"/>
        <w:jc w:val="both"/>
      </w:pPr>
      <w:r>
        <w:t>Úhrady budou uskutečňovány na základě měsíčních faktur vystavených poradcem. Doba splatnosti faktur je 14 dní od doručení objednateli.</w:t>
      </w:r>
    </w:p>
    <w:p w:rsidR="0004594E" w:rsidRDefault="00C45E85">
      <w:pPr>
        <w:pStyle w:val="Zkladntext1"/>
        <w:numPr>
          <w:ilvl w:val="0"/>
          <w:numId w:val="5"/>
        </w:numPr>
        <w:shd w:val="clear" w:color="auto" w:fill="auto"/>
        <w:tabs>
          <w:tab w:val="left" w:pos="810"/>
        </w:tabs>
        <w:spacing w:after="860"/>
        <w:jc w:val="both"/>
      </w:pPr>
      <w:r>
        <w:t xml:space="preserve">Celková suma veškerých plateb ze strany objednatele za poradenskou činnost nepřesáhne v průběhu čtyřiceti osmi měsíců od nabytí účinnosti této smlouvy částku 2 miliony korun českých bez dané z přidané hodnoty. Dojde-li k této skutečnosti je poradce povinen tuto skutečnost objednateli písemně oznámit a v poskytování služeb dále nepokračovat. Neoznámení této skutečnosti je hrubým porušením této smlouvy a objednatel v takovém případě odstoupí od smlouvy ke </w:t>
      </w:r>
      <w:proofErr w:type="gramStart"/>
      <w:r>
        <w:t>dni ke</w:t>
      </w:r>
      <w:proofErr w:type="gramEnd"/>
      <w:r>
        <w:t xml:space="preserve"> kterému obdržel poslední fakturu na plnění částky, která ještě při celkovém součtu všech předchozích plnění nepřekročila limit dvou milionů korun. Tímto není dotčena odpovědnost za škodu, která by porušením této povinnosti objednateli vznikla.</w:t>
      </w:r>
    </w:p>
    <w:p w:rsidR="0004594E" w:rsidRDefault="00C45E85">
      <w:pPr>
        <w:pStyle w:val="Nadpis20"/>
        <w:keepNext/>
        <w:keepLines/>
        <w:numPr>
          <w:ilvl w:val="0"/>
          <w:numId w:val="2"/>
        </w:numPr>
        <w:shd w:val="clear" w:color="auto" w:fill="auto"/>
        <w:tabs>
          <w:tab w:val="left" w:pos="386"/>
        </w:tabs>
      </w:pPr>
      <w:bookmarkStart w:id="15" w:name="bookmark14"/>
      <w:bookmarkStart w:id="16" w:name="bookmark15"/>
      <w:proofErr w:type="spellStart"/>
      <w:r>
        <w:t>Osobv</w:t>
      </w:r>
      <w:proofErr w:type="spellEnd"/>
      <w:r>
        <w:t xml:space="preserve"> zúčastněné na plnění předmětu smlouvy</w:t>
      </w:r>
      <w:bookmarkEnd w:id="15"/>
      <w:bookmarkEnd w:id="16"/>
    </w:p>
    <w:p w:rsidR="0004594E" w:rsidRDefault="00C45E85">
      <w:pPr>
        <w:pStyle w:val="Zkladntext1"/>
        <w:numPr>
          <w:ilvl w:val="0"/>
          <w:numId w:val="7"/>
        </w:numPr>
        <w:shd w:val="clear" w:color="auto" w:fill="auto"/>
        <w:tabs>
          <w:tab w:val="left" w:pos="487"/>
        </w:tabs>
        <w:spacing w:after="100"/>
        <w:jc w:val="both"/>
      </w:pPr>
      <w:r>
        <w:t xml:space="preserve">Poradce se zavazuje předmět této smlouvy plnit </w:t>
      </w:r>
      <w:proofErr w:type="spellStart"/>
      <w:r>
        <w:t>osobné</w:t>
      </w:r>
      <w:proofErr w:type="spellEnd"/>
      <w:r>
        <w:t>.</w:t>
      </w:r>
    </w:p>
    <w:p w:rsidR="0004594E" w:rsidRDefault="00C45E85">
      <w:pPr>
        <w:pStyle w:val="Zkladntext1"/>
        <w:numPr>
          <w:ilvl w:val="0"/>
          <w:numId w:val="7"/>
        </w:numPr>
        <w:shd w:val="clear" w:color="auto" w:fill="auto"/>
        <w:tabs>
          <w:tab w:val="left" w:pos="494"/>
        </w:tabs>
        <w:spacing w:after="0"/>
        <w:jc w:val="both"/>
      </w:pPr>
      <w:r>
        <w:t>Objednatel určuje pro pracovní sty k s poradcem níže uvedené osoby, které jsou oprávněny jednat s poradcem jménem objednatele:</w:t>
      </w:r>
    </w:p>
    <w:p w:rsidR="0004594E" w:rsidRDefault="00C45E85">
      <w:pPr>
        <w:pStyle w:val="Zkladntext1"/>
        <w:shd w:val="clear" w:color="auto" w:fill="auto"/>
        <w:spacing w:after="100"/>
        <w:jc w:val="both"/>
      </w:pPr>
      <w:r>
        <w:t>Viz. Příloha č. 1</w:t>
      </w:r>
    </w:p>
    <w:p w:rsidR="0004594E" w:rsidRDefault="00C45E85">
      <w:pPr>
        <w:pStyle w:val="Zkladntext1"/>
        <w:numPr>
          <w:ilvl w:val="0"/>
          <w:numId w:val="7"/>
        </w:numPr>
        <w:shd w:val="clear" w:color="auto" w:fill="auto"/>
        <w:tabs>
          <w:tab w:val="left" w:pos="487"/>
        </w:tabs>
        <w:spacing w:after="100"/>
        <w:jc w:val="both"/>
      </w:pPr>
      <w:r>
        <w:t>Objednatel určuje pro smluvní styk Ing. Josefa Pavlíčka.</w:t>
      </w:r>
    </w:p>
    <w:p w:rsidR="0004594E" w:rsidRDefault="00C45E85">
      <w:pPr>
        <w:pStyle w:val="Zkladntext1"/>
        <w:numPr>
          <w:ilvl w:val="0"/>
          <w:numId w:val="7"/>
        </w:numPr>
        <w:shd w:val="clear" w:color="auto" w:fill="auto"/>
        <w:tabs>
          <w:tab w:val="left" w:pos="494"/>
        </w:tabs>
        <w:spacing w:after="520"/>
        <w:jc w:val="both"/>
      </w:pPr>
      <w:r>
        <w:t>Doplnění, resp. změna pracovníků může být provedena jednostranným úkonem jedné smluvní strany, o čemž bude druhá smluvní strana informována. Pro informaci může být využito i zápisu zjednání.</w:t>
      </w:r>
    </w:p>
    <w:p w:rsidR="0004594E" w:rsidRDefault="00C45E85">
      <w:pPr>
        <w:pStyle w:val="Nadpis20"/>
        <w:keepNext/>
        <w:keepLines/>
        <w:numPr>
          <w:ilvl w:val="0"/>
          <w:numId w:val="2"/>
        </w:numPr>
        <w:shd w:val="clear" w:color="auto" w:fill="auto"/>
        <w:tabs>
          <w:tab w:val="left" w:pos="449"/>
        </w:tabs>
      </w:pPr>
      <w:bookmarkStart w:id="17" w:name="bookmark16"/>
      <w:bookmarkStart w:id="18" w:name="bookmark17"/>
      <w:r>
        <w:t>Odpovědnost za škodu</w:t>
      </w:r>
      <w:bookmarkEnd w:id="17"/>
      <w:bookmarkEnd w:id="18"/>
    </w:p>
    <w:p w:rsidR="0004594E" w:rsidRDefault="00C45E85">
      <w:pPr>
        <w:pStyle w:val="Zkladntext1"/>
        <w:numPr>
          <w:ilvl w:val="0"/>
          <w:numId w:val="8"/>
        </w:numPr>
        <w:shd w:val="clear" w:color="auto" w:fill="auto"/>
        <w:tabs>
          <w:tab w:val="left" w:pos="494"/>
        </w:tabs>
        <w:spacing w:after="620"/>
        <w:jc w:val="both"/>
      </w:pPr>
      <w:r>
        <w:t>Poradce odpovídá objednateli za škodu, která mu v souvislosti s výkonem poradenství vznikla, pokud ji způsobil poradce. Za škodu se považuje zejména pokuta dle § 37 zákona č. 563/1991 Sb. o účetnictví, ve znění pozdějších předpisů a dle § 37 zákona č. 337/1992 Sb. o správě daní a poplatků, ve znění pozdějších předpisů, pokud udělení pokuty bude v souvislosti s výkonem činnosti poradce.</w:t>
      </w:r>
    </w:p>
    <w:p w:rsidR="0004594E" w:rsidRDefault="00C45E85">
      <w:pPr>
        <w:pStyle w:val="Nadpis20"/>
        <w:keepNext/>
        <w:keepLines/>
        <w:numPr>
          <w:ilvl w:val="0"/>
          <w:numId w:val="2"/>
        </w:numPr>
        <w:shd w:val="clear" w:color="auto" w:fill="auto"/>
        <w:tabs>
          <w:tab w:val="left" w:pos="532"/>
        </w:tabs>
        <w:spacing w:after="100"/>
      </w:pPr>
      <w:bookmarkStart w:id="19" w:name="bookmark18"/>
      <w:bookmarkStart w:id="20" w:name="bookmark19"/>
      <w:r>
        <w:t>Závěrečná ujednán</w:t>
      </w:r>
      <w:bookmarkEnd w:id="19"/>
      <w:bookmarkEnd w:id="20"/>
      <w:r>
        <w:t>í</w:t>
      </w:r>
    </w:p>
    <w:p w:rsidR="0004594E" w:rsidRDefault="00C45E85">
      <w:pPr>
        <w:pStyle w:val="Zkladntext1"/>
        <w:numPr>
          <w:ilvl w:val="0"/>
          <w:numId w:val="9"/>
        </w:numPr>
        <w:shd w:val="clear" w:color="auto" w:fill="auto"/>
        <w:tabs>
          <w:tab w:val="left" w:pos="479"/>
        </w:tabs>
        <w:spacing w:after="100"/>
        <w:jc w:val="both"/>
      </w:pPr>
      <w:r>
        <w:t>Smlouva se uzavírá na dobu neurčitou.</w:t>
      </w:r>
    </w:p>
    <w:p w:rsidR="005F54CA" w:rsidRDefault="00C45E85" w:rsidP="005F54CA">
      <w:pPr>
        <w:pStyle w:val="Zkladntext1"/>
        <w:shd w:val="clear" w:color="auto" w:fill="auto"/>
        <w:tabs>
          <w:tab w:val="left" w:pos="479"/>
        </w:tabs>
        <w:spacing w:after="100"/>
        <w:jc w:val="both"/>
        <w:rPr>
          <w:noProof/>
          <w:lang w:bidi="ar-SA"/>
        </w:rPr>
      </w:pPr>
      <w:proofErr w:type="gramStart"/>
      <w:r>
        <w:rPr>
          <w:sz w:val="20"/>
          <w:szCs w:val="20"/>
        </w:rPr>
        <w:t>7.2</w:t>
      </w:r>
      <w:proofErr w:type="gramEnd"/>
      <w:r>
        <w:rPr>
          <w:sz w:val="20"/>
          <w:szCs w:val="20"/>
        </w:rPr>
        <w:t>.</w:t>
      </w:r>
      <w:r>
        <w:tab/>
        <w:t>Tato smlouva nabývá účinnosti dnem podpisu smlouvy oběma účastníky.</w:t>
      </w:r>
    </w:p>
    <w:p w:rsidR="005F54CA" w:rsidRDefault="005F54CA">
      <w:pPr>
        <w:spacing w:line="1" w:lineRule="exact"/>
        <w:rPr>
          <w:noProof/>
          <w:lang w:bidi="ar-SA"/>
        </w:rPr>
      </w:pPr>
    </w:p>
    <w:p w:rsidR="0004594E" w:rsidRDefault="00C45E85">
      <w:pPr>
        <w:spacing w:line="1" w:lineRule="exact"/>
      </w:pPr>
      <w:r>
        <w:rPr>
          <w:noProof/>
          <w:lang w:bidi="ar-SA"/>
        </w:rPr>
        <mc:AlternateContent>
          <mc:Choice Requires="wps">
            <w:drawing>
              <wp:anchor distT="0" distB="0" distL="0" distR="0" simplePos="0" relativeHeight="251658240" behindDoc="0" locked="0" layoutInCell="1" allowOverlap="1">
                <wp:simplePos x="0" y="0"/>
                <wp:positionH relativeFrom="page">
                  <wp:posOffset>861060</wp:posOffset>
                </wp:positionH>
                <wp:positionV relativeFrom="paragraph">
                  <wp:posOffset>1224280</wp:posOffset>
                </wp:positionV>
                <wp:extent cx="1819275" cy="194945"/>
                <wp:effectExtent l="0" t="0" r="0" b="0"/>
                <wp:wrapNone/>
                <wp:docPr id="9" name="Shape 9"/>
                <wp:cNvGraphicFramePr/>
                <a:graphic xmlns:a="http://schemas.openxmlformats.org/drawingml/2006/main">
                  <a:graphicData uri="http://schemas.microsoft.com/office/word/2010/wordprocessingShape">
                    <wps:wsp>
                      <wps:cNvSpPr txBox="1"/>
                      <wps:spPr>
                        <a:xfrm>
                          <a:off x="0" y="0"/>
                          <a:ext cx="1819275" cy="194945"/>
                        </a:xfrm>
                        <a:prstGeom prst="rect">
                          <a:avLst/>
                        </a:prstGeom>
                        <a:noFill/>
                      </wps:spPr>
                      <wps:txbx>
                        <w:txbxContent>
                          <w:p w:rsidR="0004594E" w:rsidRDefault="005F54CA">
                            <w:pPr>
                              <w:pStyle w:val="Titulekobrzku0"/>
                              <w:shd w:val="clear" w:color="auto" w:fill="auto"/>
                              <w:tabs>
                                <w:tab w:val="left" w:pos="2355"/>
                              </w:tabs>
                            </w:pPr>
                            <w:r>
                              <w:t xml:space="preserve">V Hořicích dne 13. 7. </w:t>
                            </w:r>
                            <w:r w:rsidR="00C45E85">
                              <w:t>2009</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67.8pt;margin-top:96.4pt;width:143.25pt;height:15.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" filled="f" stroked="f">
                <v:textbox inset="0,0,0,0">
                  <w:txbxContent>
                    <w:p w:rsidR="0004594E" w:rsidRDefault="005F54CA">
                      <w:pPr>
                        <w:pStyle w:val="Titulekobrzku0"/>
                        <w:shd w:val="clear" w:color="auto" w:fill="auto"/>
                        <w:tabs>
                          <w:tab w:val="left" w:pos="2355"/>
                        </w:tabs>
                      </w:pPr>
                      <w:r>
                        <w:t xml:space="preserve">V Hořicích dne 13. 7. </w:t>
                      </w:r>
                      <w:r w:rsidR="00C45E85">
                        <w:t>2009</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894080</wp:posOffset>
                </wp:positionH>
                <wp:positionV relativeFrom="paragraph">
                  <wp:posOffset>2662555</wp:posOffset>
                </wp:positionV>
                <wp:extent cx="66675" cy="95250"/>
                <wp:effectExtent l="0" t="0" r="0" b="0"/>
                <wp:wrapNone/>
                <wp:docPr id="11" name="Shape 11"/>
                <wp:cNvGraphicFramePr/>
                <a:graphic xmlns:a="http://schemas.openxmlformats.org/drawingml/2006/main">
                  <a:graphicData uri="http://schemas.microsoft.com/office/word/2010/wordprocessingShape">
                    <wps:wsp>
                      <wps:cNvSpPr txBox="1"/>
                      <wps:spPr>
                        <a:xfrm>
                          <a:off x="0" y="0"/>
                          <a:ext cx="66675" cy="95250"/>
                        </a:xfrm>
                        <a:prstGeom prst="rect">
                          <a:avLst/>
                        </a:prstGeom>
                        <a:noFill/>
                      </wps:spPr>
                      <wps:txbx>
                        <w:txbxContent>
                          <w:p w:rsidR="0004594E" w:rsidRDefault="00C45E85">
                            <w:pPr>
                              <w:pStyle w:val="Zhlavnebozpat0"/>
                              <w:shd w:val="clear" w:color="auto" w:fill="auto"/>
                            </w:pPr>
                            <w:r>
                              <w:t>/</w:t>
                            </w:r>
                          </w:p>
                        </w:txbxContent>
                      </wps:txbx>
                      <wps:bodyPr lIns="0" tIns="0" rIns="0" bIns="0"/>
                    </wps:wsp>
                  </a:graphicData>
                </a:graphic>
              </wp:anchor>
            </w:drawing>
          </mc:Choice>
          <mc:Fallback>
            <w:pict>
              <v:shape id="_x0000_s1037" type="#_x0000_t202" style="position:absolute;margin-left:70.400000000000006pt;margin-top:209.65000000000001pt;width:5.25pt;height:7.5pt;z-index:251657731;mso-wrap-distance-left:0;mso-wrap-distance-right:0;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v:textbox>
                <w10:wrap anchorx="page"/>
              </v:shape>
            </w:pict>
          </mc:Fallback>
        </mc:AlternateContent>
      </w:r>
    </w:p>
    <w:p w:rsidR="0004594E" w:rsidRDefault="00C45E85">
      <w:pPr>
        <w:pStyle w:val="Zkladntext1"/>
        <w:shd w:val="clear" w:color="auto" w:fill="auto"/>
        <w:spacing w:after="140"/>
        <w:jc w:val="both"/>
      </w:pPr>
      <w:r>
        <w:t xml:space="preserve">7.3. Smluvní strany jsou oprávněny k výpovědi bez udání důvodu s výpovědní </w:t>
      </w:r>
      <w:proofErr w:type="spellStart"/>
      <w:r>
        <w:t>Ihůtou</w:t>
      </w:r>
      <w:proofErr w:type="spellEnd"/>
      <w:r>
        <w:t xml:space="preserve"> 6-ti měsíců. V </w:t>
      </w:r>
      <w:proofErr w:type="gramStart"/>
      <w:r>
        <w:t>případě</w:t>
      </w:r>
      <w:proofErr w:type="gramEnd"/>
      <w:r>
        <w:t xml:space="preserve"> narušení důvěry mezi objednatelem a poradcem na jakékoli straně činí výpovědní lhůta 3 měsíce. Pokud dojde k závažnému porušení povinnosti smluvních stran, čímž se na straně objednatele rozumí prodlení s úhradou za poskytnuté služby delší nežli 30 dní a na straně poradce neposkytnutí součinnosti ve lhůtě delší nežli 30 dní ode dne obdržení dílčí objednávky dle článku III. této smlouvy, jsou obě smluvní strany oprávněny ukončit platnost smlouvy okamžitě.</w:t>
      </w:r>
    </w:p>
    <w:p w:rsidR="005F54CA" w:rsidRDefault="005F54CA">
      <w:pPr>
        <w:pStyle w:val="Zkladntext1"/>
        <w:shd w:val="clear" w:color="auto" w:fill="auto"/>
        <w:spacing w:after="0" w:line="360" w:lineRule="auto"/>
        <w:ind w:left="2700" w:firstLine="300"/>
      </w:pPr>
    </w:p>
    <w:p w:rsidR="005F54CA" w:rsidRDefault="005F54CA">
      <w:pPr>
        <w:pStyle w:val="Zkladntext1"/>
        <w:shd w:val="clear" w:color="auto" w:fill="auto"/>
        <w:spacing w:after="0" w:line="360" w:lineRule="auto"/>
        <w:ind w:left="2700" w:firstLine="300"/>
      </w:pPr>
    </w:p>
    <w:p w:rsidR="005F54CA" w:rsidRDefault="005F54CA" w:rsidP="005F54CA">
      <w:pPr>
        <w:pStyle w:val="Zkladntext1"/>
        <w:shd w:val="clear" w:color="auto" w:fill="auto"/>
        <w:spacing w:after="0" w:line="360" w:lineRule="auto"/>
      </w:pPr>
      <w:r>
        <w:t>……………………………..</w:t>
      </w:r>
      <w:r>
        <w:tab/>
      </w:r>
      <w:r>
        <w:tab/>
      </w:r>
      <w:r>
        <w:tab/>
      </w:r>
      <w:r>
        <w:tab/>
      </w:r>
      <w:r>
        <w:tab/>
        <w:t>……………………………..</w:t>
      </w:r>
    </w:p>
    <w:p w:rsidR="005F54CA" w:rsidRDefault="005F54CA" w:rsidP="005F54CA">
      <w:pPr>
        <w:pStyle w:val="Zkladntext1"/>
        <w:shd w:val="clear" w:color="auto" w:fill="auto"/>
        <w:spacing w:after="0" w:line="360" w:lineRule="auto"/>
      </w:pPr>
      <w:r>
        <w:t>Michal Mládek</w:t>
      </w:r>
      <w:r>
        <w:tab/>
      </w:r>
      <w:r>
        <w:tab/>
      </w:r>
      <w:r>
        <w:tab/>
      </w:r>
      <w:r>
        <w:tab/>
      </w:r>
      <w:r>
        <w:tab/>
      </w:r>
      <w:r>
        <w:tab/>
      </w:r>
      <w:r>
        <w:tab/>
        <w:t>Ing. arch. Naděžda Goryczková</w:t>
      </w:r>
    </w:p>
    <w:p w:rsidR="005F54CA" w:rsidRDefault="005F54CA" w:rsidP="005F54CA">
      <w:pPr>
        <w:pStyle w:val="Zkladntext1"/>
        <w:shd w:val="clear" w:color="auto" w:fill="auto"/>
        <w:spacing w:after="0" w:line="360" w:lineRule="auto"/>
      </w:pPr>
      <w:r>
        <w:tab/>
      </w:r>
      <w:r>
        <w:tab/>
      </w:r>
      <w:r>
        <w:tab/>
      </w:r>
      <w:r>
        <w:tab/>
      </w:r>
      <w:r>
        <w:tab/>
      </w:r>
      <w:r>
        <w:tab/>
      </w:r>
      <w:r>
        <w:tab/>
      </w:r>
      <w:r>
        <w:tab/>
        <w:t>generální ředitelka NPU</w:t>
      </w:r>
    </w:p>
    <w:sectPr w:rsidR="005F54CA">
      <w:headerReference w:type="default" r:id="rId7"/>
      <w:pgSz w:w="11900" w:h="16840"/>
      <w:pgMar w:top="1129" w:right="1394" w:bottom="1129" w:left="1333" w:header="0" w:footer="701"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F2B" w:rsidRDefault="007A3F2B">
      <w:r>
        <w:separator/>
      </w:r>
    </w:p>
  </w:endnote>
  <w:endnote w:type="continuationSeparator" w:id="0">
    <w:p w:rsidR="007A3F2B" w:rsidRDefault="007A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F2B" w:rsidRDefault="007A3F2B"/>
  </w:footnote>
  <w:footnote w:type="continuationSeparator" w:id="0">
    <w:p w:rsidR="007A3F2B" w:rsidRDefault="007A3F2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4E" w:rsidRDefault="0004594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2BF6"/>
    <w:multiLevelType w:val="hybridMultilevel"/>
    <w:tmpl w:val="B9CA2A0A"/>
    <w:lvl w:ilvl="0" w:tplc="13B0B83E">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5404A5"/>
    <w:multiLevelType w:val="multilevel"/>
    <w:tmpl w:val="A1026B0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3554F"/>
    <w:multiLevelType w:val="multilevel"/>
    <w:tmpl w:val="E660A4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B334D"/>
    <w:multiLevelType w:val="multilevel"/>
    <w:tmpl w:val="949EF4E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10B37"/>
    <w:multiLevelType w:val="multilevel"/>
    <w:tmpl w:val="EDF8C57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417824"/>
    <w:multiLevelType w:val="multilevel"/>
    <w:tmpl w:val="C3CE396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A44C2E"/>
    <w:multiLevelType w:val="multilevel"/>
    <w:tmpl w:val="979851D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353760"/>
    <w:multiLevelType w:val="multilevel"/>
    <w:tmpl w:val="4F42084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FA2715"/>
    <w:multiLevelType w:val="multilevel"/>
    <w:tmpl w:val="0F626A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410995"/>
    <w:multiLevelType w:val="hybridMultilevel"/>
    <w:tmpl w:val="AF5AA6DC"/>
    <w:lvl w:ilvl="0" w:tplc="0EF2D85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E2705D"/>
    <w:multiLevelType w:val="multilevel"/>
    <w:tmpl w:val="E1F2BF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1"/>
  </w:num>
  <w:num w:numId="4">
    <w:abstractNumId w:val="5"/>
  </w:num>
  <w:num w:numId="5">
    <w:abstractNumId w:val="3"/>
  </w:num>
  <w:num w:numId="6">
    <w:abstractNumId w:val="8"/>
  </w:num>
  <w:num w:numId="7">
    <w:abstractNumId w:val="7"/>
  </w:num>
  <w:num w:numId="8">
    <w:abstractNumId w:val="4"/>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4E"/>
    <w:rsid w:val="0004594E"/>
    <w:rsid w:val="005F54CA"/>
    <w:rsid w:val="007A3F2B"/>
    <w:rsid w:val="00C45E85"/>
    <w:rsid w:val="00DB1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7E6B9"/>
  <w15:docId w15:val="{2A97E7B8-B89D-49D6-96D4-22290EF2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singl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9"/>
      <w:szCs w:val="9"/>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26"/>
      <w:szCs w:val="26"/>
      <w:u w:val="none"/>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260" w:line="295" w:lineRule="auto"/>
      <w:jc w:val="center"/>
      <w:outlineLvl w:val="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220"/>
      <w:jc w:val="center"/>
      <w:outlineLvl w:val="1"/>
    </w:pPr>
    <w:rPr>
      <w:rFonts w:ascii="Times New Roman" w:eastAsia="Times New Roman" w:hAnsi="Times New Roman" w:cs="Times New Roman"/>
      <w:b/>
      <w:bCs/>
      <w:sz w:val="22"/>
      <w:szCs w:val="22"/>
      <w:u w:val="singl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pPr>
    <w:rPr>
      <w:rFonts w:ascii="Arial" w:eastAsia="Arial" w:hAnsi="Arial" w:cs="Arial"/>
      <w:sz w:val="9"/>
      <w:szCs w:val="9"/>
    </w:rPr>
  </w:style>
  <w:style w:type="paragraph" w:customStyle="1" w:styleId="Zkladntext20">
    <w:name w:val="Základní text (2)"/>
    <w:basedOn w:val="Normln"/>
    <w:link w:val="Zkladntext2"/>
    <w:pPr>
      <w:shd w:val="clear" w:color="auto" w:fill="FFFFFF"/>
      <w:spacing w:after="260"/>
      <w:ind w:firstLine="240"/>
    </w:pPr>
    <w:rPr>
      <w:rFonts w:ascii="Arial" w:eastAsia="Arial" w:hAnsi="Arial" w:cs="Arial"/>
      <w:i/>
      <w:iCs/>
      <w:sz w:val="26"/>
      <w:szCs w:val="26"/>
    </w:rPr>
  </w:style>
  <w:style w:type="paragraph" w:styleId="Zhlav">
    <w:name w:val="header"/>
    <w:basedOn w:val="Normln"/>
    <w:link w:val="ZhlavChar"/>
    <w:uiPriority w:val="99"/>
    <w:unhideWhenUsed/>
    <w:rsid w:val="005F54CA"/>
    <w:pPr>
      <w:tabs>
        <w:tab w:val="center" w:pos="4536"/>
        <w:tab w:val="right" w:pos="9072"/>
      </w:tabs>
    </w:pPr>
  </w:style>
  <w:style w:type="character" w:customStyle="1" w:styleId="ZhlavChar">
    <w:name w:val="Záhlaví Char"/>
    <w:basedOn w:val="Standardnpsmoodstavce"/>
    <w:link w:val="Zhlav"/>
    <w:uiPriority w:val="99"/>
    <w:rsid w:val="005F54CA"/>
    <w:rPr>
      <w:color w:val="000000"/>
    </w:rPr>
  </w:style>
  <w:style w:type="paragraph" w:styleId="Zpat">
    <w:name w:val="footer"/>
    <w:basedOn w:val="Normln"/>
    <w:link w:val="ZpatChar"/>
    <w:uiPriority w:val="99"/>
    <w:unhideWhenUsed/>
    <w:rsid w:val="005F54CA"/>
    <w:pPr>
      <w:tabs>
        <w:tab w:val="center" w:pos="4536"/>
        <w:tab w:val="right" w:pos="9072"/>
      </w:tabs>
    </w:pPr>
  </w:style>
  <w:style w:type="character" w:customStyle="1" w:styleId="ZpatChar">
    <w:name w:val="Zápatí Char"/>
    <w:basedOn w:val="Standardnpsmoodstavce"/>
    <w:link w:val="Zpat"/>
    <w:uiPriority w:val="99"/>
    <w:rsid w:val="005F54C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724</Words>
  <Characters>4272</Characters>
  <Application>Microsoft Office Word</Application>
  <DocSecurity>0</DocSecurity>
  <Lines>35</Lines>
  <Paragraphs>9</Paragraphs>
  <ScaleCrop>false</ScaleCrop>
  <Company>HP Inc.</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Janouchová Miroslava</cp:lastModifiedBy>
  <cp:revision>3</cp:revision>
  <dcterms:created xsi:type="dcterms:W3CDTF">2022-07-28T05:57:00Z</dcterms:created>
  <dcterms:modified xsi:type="dcterms:W3CDTF">2022-07-28T06:18:00Z</dcterms:modified>
</cp:coreProperties>
</file>