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C7" w:rsidRPr="00F31BB7" w:rsidRDefault="009C4AD3" w:rsidP="009C4AD3">
      <w:pPr>
        <w:spacing w:line="240" w:lineRule="auto"/>
        <w:jc w:val="center"/>
        <w:rPr>
          <w:b/>
        </w:rPr>
      </w:pPr>
      <w:r w:rsidRPr="00F31BB7">
        <w:rPr>
          <w:b/>
        </w:rPr>
        <w:t>SMLOUVA O ZPRACOVÁNÍ OSOBNÍCH ÚDAJŮ</w:t>
      </w:r>
    </w:p>
    <w:p w:rsidR="00F5280F" w:rsidRPr="00F31BB7" w:rsidRDefault="009C4AD3" w:rsidP="009C4AD3">
      <w:pPr>
        <w:spacing w:line="240" w:lineRule="auto"/>
        <w:jc w:val="center"/>
      </w:pPr>
      <w:r w:rsidRPr="00F31BB7">
        <w:t xml:space="preserve">podle čl. 28 </w:t>
      </w:r>
      <w:r w:rsidR="00FB58A4" w:rsidRPr="00F31BB7">
        <w:t>Nařízení Evropského parlamentu a Rady (EU) 2016/679 ze dne 27. dubna 2016</w:t>
      </w:r>
    </w:p>
    <w:p w:rsidR="009C4AD3" w:rsidRPr="00F31BB7" w:rsidRDefault="00FB58A4" w:rsidP="009C4AD3">
      <w:pPr>
        <w:spacing w:line="240" w:lineRule="auto"/>
        <w:jc w:val="center"/>
      </w:pPr>
      <w:r w:rsidRPr="00F31BB7">
        <w:t>(dále jen „</w:t>
      </w:r>
      <w:r w:rsidRPr="00F31BB7">
        <w:rPr>
          <w:b/>
        </w:rPr>
        <w:t>GDPR</w:t>
      </w:r>
      <w:r w:rsidRPr="00F31BB7">
        <w:t>“)</w:t>
      </w:r>
    </w:p>
    <w:p w:rsidR="009C4AD3" w:rsidRPr="00F31BB7" w:rsidRDefault="009C4AD3" w:rsidP="009C4AD3">
      <w:pPr>
        <w:spacing w:line="240" w:lineRule="auto"/>
        <w:jc w:val="center"/>
      </w:pPr>
      <w:r w:rsidRPr="00F31BB7">
        <w:t>(„</w:t>
      </w:r>
      <w:r w:rsidRPr="00F31BB7">
        <w:rPr>
          <w:b/>
        </w:rPr>
        <w:t>Smlouva</w:t>
      </w:r>
      <w:r w:rsidRPr="00F31BB7">
        <w:t>“)</w:t>
      </w:r>
    </w:p>
    <w:p w:rsidR="009C4AD3" w:rsidRPr="00F31BB7" w:rsidRDefault="009C4AD3" w:rsidP="009C4AD3">
      <w:pPr>
        <w:spacing w:line="240" w:lineRule="auto"/>
      </w:pPr>
    </w:p>
    <w:p w:rsidR="00265018" w:rsidRPr="00F31BB7" w:rsidRDefault="00265018" w:rsidP="009C4AD3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Objednatel: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Brněnské vodárny a kanalizace, a.s.</w:t>
      </w:r>
    </w:p>
    <w:p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Pisárecká 555/1a, </w:t>
      </w:r>
      <w:r w:rsidR="00486BA7" w:rsidRPr="00486BA7">
        <w:rPr>
          <w:rFonts w:asciiTheme="minorHAnsi" w:hAnsiTheme="minorHAnsi"/>
          <w:color w:val="auto"/>
          <w:sz w:val="22"/>
          <w:szCs w:val="22"/>
        </w:rPr>
        <w:t xml:space="preserve">Pisárky,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603 00 Brno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46347275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, zapsaná v obchodním rejstříku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vedeném Krajským soudem v Brně, oddíl B, vložka 783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F3407C">
        <w:rPr>
          <w:rFonts w:asciiTheme="minorHAnsi" w:hAnsiTheme="minorHAnsi"/>
          <w:color w:val="auto"/>
          <w:sz w:val="22"/>
          <w:szCs w:val="22"/>
        </w:rPr>
        <w:t>xxxxx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, generální ředitel, na základě zmocnění ze dne 14. 6. 2017</w:t>
      </w:r>
    </w:p>
    <w:p w:rsidR="009C4AD3" w:rsidRPr="00F31BB7" w:rsidRDefault="009C4AD3" w:rsidP="009C4AD3">
      <w:pPr>
        <w:spacing w:after="0" w:line="240" w:lineRule="auto"/>
      </w:pPr>
    </w:p>
    <w:p w:rsidR="009C4AD3" w:rsidRPr="00F31BB7" w:rsidRDefault="009C4AD3" w:rsidP="00DC7F31">
      <w:pPr>
        <w:tabs>
          <w:tab w:val="center" w:pos="4536"/>
        </w:tabs>
        <w:spacing w:line="240" w:lineRule="auto"/>
      </w:pPr>
      <w:r w:rsidRPr="00F31BB7">
        <w:t>a</w:t>
      </w:r>
    </w:p>
    <w:p w:rsidR="00265018" w:rsidRPr="00F31BB7" w:rsidRDefault="004B6FBB" w:rsidP="00A37B1D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Zhotovitel</w:t>
      </w:r>
      <w:r w:rsidR="00265018" w:rsidRPr="00F31BB7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B02408" w:rsidRPr="00F31BB7">
        <w:rPr>
          <w:rFonts w:asciiTheme="minorHAnsi" w:hAnsiTheme="minorHAnsi"/>
          <w:b/>
          <w:color w:val="auto"/>
          <w:sz w:val="22"/>
          <w:szCs w:val="22"/>
        </w:rPr>
        <w:t>Asseco Central Europe, a.s.</w:t>
      </w:r>
    </w:p>
    <w:p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Budějovická 778/3a, Michle, 140 00 Praha 4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 27074358, 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zapsaná v obchodním rejstříku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vedeném Městským soudem v Praze, v oddílu B, vložce č. 8525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A17E6" w:rsidRPr="00F31BB7">
        <w:rPr>
          <w:rFonts w:asciiTheme="minorHAnsi" w:hAnsiTheme="minorHAnsi"/>
          <w:color w:val="auto"/>
          <w:sz w:val="22"/>
          <w:szCs w:val="22"/>
        </w:rPr>
        <w:t>Hana Bečková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9A17E6" w:rsidRPr="00F31BB7">
        <w:rPr>
          <w:rFonts w:asciiTheme="minorHAnsi" w:hAnsiTheme="minorHAnsi"/>
          <w:color w:val="auto"/>
          <w:sz w:val="22"/>
          <w:szCs w:val="22"/>
        </w:rPr>
        <w:t>prokurista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(</w:t>
      </w:r>
      <w:r w:rsidR="00265018" w:rsidRPr="00F31BB7">
        <w:rPr>
          <w:rFonts w:asciiTheme="minorHAnsi" w:hAnsiTheme="minorHAnsi"/>
          <w:color w:val="auto"/>
          <w:sz w:val="22"/>
          <w:szCs w:val="22"/>
        </w:rPr>
        <w:t>Objednatel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 a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Zhotovitel </w:t>
      </w:r>
      <w:r w:rsidRPr="00F31BB7">
        <w:rPr>
          <w:rFonts w:asciiTheme="minorHAnsi" w:hAnsiTheme="minorHAnsi"/>
          <w:color w:val="auto"/>
          <w:sz w:val="22"/>
          <w:szCs w:val="22"/>
        </w:rPr>
        <w:t>dále společně jako „</w:t>
      </w:r>
      <w:r w:rsidRPr="00F31BB7">
        <w:rPr>
          <w:rFonts w:asciiTheme="minorHAnsi" w:hAnsiTheme="minorHAnsi"/>
          <w:b/>
          <w:color w:val="auto"/>
          <w:sz w:val="22"/>
          <w:szCs w:val="22"/>
        </w:rPr>
        <w:t>Smluvní strany</w:t>
      </w:r>
      <w:r w:rsidRPr="00F31BB7">
        <w:rPr>
          <w:rFonts w:asciiTheme="minorHAnsi" w:hAnsiTheme="minorHAnsi"/>
          <w:color w:val="auto"/>
          <w:sz w:val="22"/>
          <w:szCs w:val="22"/>
        </w:rPr>
        <w:t>“)</w:t>
      </w:r>
    </w:p>
    <w:p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9C4AD3" w:rsidRPr="00F31BB7" w:rsidRDefault="00531E14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s</w:t>
      </w:r>
      <w:r w:rsidR="009C4AD3" w:rsidRPr="00F31BB7">
        <w:rPr>
          <w:rFonts w:asciiTheme="minorHAnsi" w:hAnsiTheme="minorHAnsi"/>
          <w:color w:val="auto"/>
          <w:sz w:val="22"/>
          <w:szCs w:val="22"/>
        </w:rPr>
        <w:t>e níže uvedeného dne, měsíce a roku dohodli na následujícím:</w:t>
      </w:r>
    </w:p>
    <w:p w:rsidR="001D6901" w:rsidRPr="00F31BB7" w:rsidRDefault="001D6901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265018" w:rsidRPr="00F31BB7" w:rsidRDefault="00265018" w:rsidP="000128DA">
      <w:pPr>
        <w:pStyle w:val="Zkladntextodsazen"/>
        <w:numPr>
          <w:ilvl w:val="0"/>
          <w:numId w:val="32"/>
        </w:numPr>
        <w:spacing w:before="0" w:line="240" w:lineRule="auto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Preambule</w:t>
      </w:r>
    </w:p>
    <w:p w:rsidR="00265018" w:rsidRPr="00F31BB7" w:rsidRDefault="00265018" w:rsidP="0026501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Na základě </w:t>
      </w:r>
      <w:r w:rsidR="004B6FBB" w:rsidRPr="00F31BB7">
        <w:rPr>
          <w:rFonts w:asciiTheme="minorHAnsi" w:hAnsiTheme="minorHAnsi"/>
          <w:szCs w:val="22"/>
          <w:lang w:val="cs-CZ" w:eastAsia="en-US"/>
        </w:rPr>
        <w:t>Smlouvy o technické podpoře GIS a CVD uzavřené</w:t>
      </w:r>
      <w:r w:rsidR="007A7357" w:rsidRPr="00F31BB7">
        <w:rPr>
          <w:rFonts w:asciiTheme="minorHAnsi" w:hAnsiTheme="minorHAnsi"/>
          <w:szCs w:val="22"/>
          <w:lang w:val="cs-CZ" w:eastAsia="en-US"/>
        </w:rPr>
        <w:t xml:space="preserve"> dne </w:t>
      </w:r>
      <w:r w:rsidR="004B6FBB" w:rsidRPr="00F31BB7">
        <w:rPr>
          <w:rFonts w:asciiTheme="minorHAnsi" w:hAnsiTheme="minorHAnsi"/>
          <w:szCs w:val="22"/>
          <w:lang w:val="cs-CZ" w:eastAsia="en-US"/>
        </w:rPr>
        <w:t>30. 5. 2011</w:t>
      </w:r>
      <w:r w:rsidR="004B6FBB" w:rsidRPr="00F31BB7">
        <w:rPr>
          <w:rFonts w:asciiTheme="minorHAnsi" w:hAnsiTheme="minorHAnsi"/>
          <w:szCs w:val="22"/>
          <w:lang w:val="cs-CZ"/>
        </w:rPr>
        <w:t xml:space="preserve"> (číslo smlouvy Zhotovitele: DS 2011/0055, číslo smlouvy Objednatele: Z 0310/TECH/11)</w:t>
      </w:r>
      <w:r w:rsidR="009055BA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Pr="00F31BB7">
        <w:rPr>
          <w:rFonts w:asciiTheme="minorHAnsi" w:hAnsiTheme="minorHAnsi"/>
          <w:szCs w:val="22"/>
          <w:lang w:val="cs-CZ" w:eastAsia="en-US"/>
        </w:rPr>
        <w:t>(dále „</w:t>
      </w:r>
      <w:r w:rsidRPr="00F31BB7">
        <w:rPr>
          <w:rFonts w:asciiTheme="minorHAnsi" w:hAnsiTheme="minorHAnsi"/>
          <w:b/>
          <w:szCs w:val="22"/>
          <w:lang w:val="cs-CZ" w:eastAsia="en-US"/>
        </w:rPr>
        <w:t>Podkladová smlouva</w:t>
      </w:r>
      <w:r w:rsidRPr="00F31BB7">
        <w:rPr>
          <w:rFonts w:asciiTheme="minorHAnsi" w:hAnsiTheme="minorHAnsi"/>
          <w:szCs w:val="22"/>
          <w:lang w:val="cs-CZ" w:eastAsia="en-US"/>
        </w:rPr>
        <w:t xml:space="preserve">“) dochází mezi Objednatelem a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Zhotovitelem </w:t>
      </w:r>
      <w:r w:rsidRPr="00F31BB7">
        <w:rPr>
          <w:rFonts w:asciiTheme="minorHAnsi" w:hAnsiTheme="minorHAnsi"/>
          <w:szCs w:val="22"/>
          <w:lang w:val="cs-CZ" w:eastAsia="en-US"/>
        </w:rPr>
        <w:t xml:space="preserve">ke zpracování osobních údajů. </w:t>
      </w:r>
    </w:p>
    <w:p w:rsidR="00265018" w:rsidRPr="00F31BB7" w:rsidRDefault="00265018" w:rsidP="0026501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Objednatel je správcem osobních údajů ve </w:t>
      </w:r>
      <w:r w:rsidRPr="00F31BB7">
        <w:rPr>
          <w:rFonts w:asciiTheme="minorHAnsi" w:hAnsiTheme="minorHAnsi"/>
          <w:szCs w:val="22"/>
          <w:lang w:val="cs-CZ"/>
        </w:rPr>
        <w:t>smyslu čl. 4 bodu 7 GDPR.</w:t>
      </w:r>
    </w:p>
    <w:p w:rsidR="00265018" w:rsidRPr="00F31BB7" w:rsidRDefault="004B6FBB" w:rsidP="0026501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265018" w:rsidRPr="00F31BB7">
        <w:rPr>
          <w:rFonts w:asciiTheme="minorHAnsi" w:hAnsiTheme="minorHAnsi"/>
          <w:szCs w:val="22"/>
          <w:lang w:val="cs-CZ" w:eastAsia="en-US"/>
        </w:rPr>
        <w:t xml:space="preserve">je zpracovatelem osobních údajů ve </w:t>
      </w:r>
      <w:r w:rsidR="00265018" w:rsidRPr="00F31BB7">
        <w:rPr>
          <w:rFonts w:asciiTheme="minorHAnsi" w:hAnsiTheme="minorHAnsi"/>
          <w:szCs w:val="22"/>
          <w:lang w:val="cs-CZ"/>
        </w:rPr>
        <w:t>smyslu čl. 4 bodu 8 GDPR.</w:t>
      </w:r>
    </w:p>
    <w:p w:rsidR="000128DA" w:rsidRPr="00F31BB7" w:rsidRDefault="000128DA" w:rsidP="00B6310A">
      <w:pPr>
        <w:pStyle w:val="Zkladntextodsazen"/>
        <w:numPr>
          <w:ilvl w:val="0"/>
          <w:numId w:val="32"/>
        </w:numPr>
        <w:spacing w:before="240" w:after="60" w:line="240" w:lineRule="auto"/>
        <w:ind w:left="1077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Rozsah</w:t>
      </w:r>
      <w:r w:rsidR="00265018" w:rsidRPr="00F31BB7">
        <w:rPr>
          <w:rFonts w:asciiTheme="minorHAnsi" w:hAnsiTheme="minorHAnsi"/>
          <w:b/>
          <w:color w:val="auto"/>
          <w:sz w:val="22"/>
          <w:szCs w:val="22"/>
        </w:rPr>
        <w:t xml:space="preserve"> údajů a způsob</w:t>
      </w:r>
      <w:r w:rsidRPr="00F31BB7">
        <w:rPr>
          <w:rFonts w:asciiTheme="minorHAnsi" w:hAnsiTheme="minorHAnsi"/>
          <w:b/>
          <w:color w:val="auto"/>
          <w:sz w:val="22"/>
          <w:szCs w:val="22"/>
        </w:rPr>
        <w:t xml:space="preserve"> zpracování</w:t>
      </w:r>
    </w:p>
    <w:p w:rsidR="001D6901" w:rsidRPr="00F31BB7" w:rsidRDefault="004B6FBB" w:rsidP="00265018">
      <w:pPr>
        <w:pStyle w:val="Nadpis2"/>
        <w:numPr>
          <w:ilvl w:val="1"/>
          <w:numId w:val="43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1D6901" w:rsidRPr="00F31BB7">
        <w:rPr>
          <w:rFonts w:asciiTheme="minorHAnsi" w:hAnsiTheme="minorHAnsi"/>
          <w:szCs w:val="22"/>
          <w:lang w:val="cs-CZ" w:eastAsia="en-US"/>
        </w:rPr>
        <w:t>v</w:t>
      </w:r>
      <w:r w:rsidR="0053713E" w:rsidRPr="00F31BB7">
        <w:rPr>
          <w:rFonts w:asciiTheme="minorHAnsi" w:hAnsiTheme="minorHAnsi"/>
          <w:szCs w:val="22"/>
          <w:lang w:val="cs-CZ" w:eastAsia="en-US"/>
        </w:rPr>
        <w:t> rámci plnění svých povinností zpracovává</w:t>
      </w:r>
      <w:r w:rsidR="001D6901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="00265018" w:rsidRPr="00F31BB7">
        <w:rPr>
          <w:rFonts w:asciiTheme="minorHAnsi" w:hAnsiTheme="minorHAnsi"/>
          <w:szCs w:val="22"/>
          <w:lang w:val="cs-CZ" w:eastAsia="en-US"/>
        </w:rPr>
        <w:t>na pokyn</w:t>
      </w:r>
      <w:r w:rsidR="001D6901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1D6901" w:rsidRPr="00F31BB7">
        <w:rPr>
          <w:rFonts w:asciiTheme="minorHAnsi" w:hAnsiTheme="minorHAnsi"/>
          <w:szCs w:val="22"/>
          <w:lang w:val="cs-CZ" w:eastAsia="en-US"/>
        </w:rPr>
        <w:t xml:space="preserve"> tyto osobní</w:t>
      </w:r>
      <w:r w:rsidR="0053713E" w:rsidRPr="00F31BB7">
        <w:rPr>
          <w:rFonts w:asciiTheme="minorHAnsi" w:hAnsiTheme="minorHAnsi"/>
          <w:szCs w:val="22"/>
          <w:lang w:val="cs-CZ" w:eastAsia="en-US"/>
        </w:rPr>
        <w:t xml:space="preserve"> údaje:</w:t>
      </w:r>
    </w:p>
    <w:tbl>
      <w:tblPr>
        <w:tblStyle w:val="Mkatabulky"/>
        <w:tblW w:w="4633" w:type="pct"/>
        <w:tblInd w:w="670" w:type="dxa"/>
        <w:tblLook w:val="04A0" w:firstRow="1" w:lastRow="0" w:firstColumn="1" w:lastColumn="0" w:noHBand="0" w:noVBand="1"/>
      </w:tblPr>
      <w:tblGrid>
        <w:gridCol w:w="2171"/>
        <w:gridCol w:w="6226"/>
      </w:tblGrid>
      <w:tr w:rsidR="001D6901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1D6901" w:rsidRPr="00F31BB7" w:rsidRDefault="001D6901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Účel zpracování</w:t>
            </w:r>
          </w:p>
        </w:tc>
        <w:tc>
          <w:tcPr>
            <w:tcW w:w="3707" w:type="pct"/>
          </w:tcPr>
          <w:p w:rsidR="001D6901" w:rsidRPr="00F31BB7" w:rsidRDefault="001A5C2C" w:rsidP="00DC71E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/>
              </w:rPr>
              <w:t>Poskytování služeb údržby a úprav</w:t>
            </w:r>
            <w:r w:rsidRPr="00F31BB7" w:rsidDel="004B6FBB">
              <w:rPr>
                <w:rFonts w:asciiTheme="minorHAnsi" w:hAnsiTheme="minorHAnsi"/>
              </w:rPr>
              <w:t xml:space="preserve"> </w:t>
            </w:r>
            <w:r w:rsidR="004B6FBB" w:rsidRPr="00F31BB7">
              <w:rPr>
                <w:rFonts w:asciiTheme="minorHAnsi" w:hAnsiTheme="minorHAnsi"/>
              </w:rPr>
              <w:t>geografick</w:t>
            </w:r>
            <w:r w:rsidRPr="00F31BB7">
              <w:rPr>
                <w:rFonts w:asciiTheme="minorHAnsi" w:hAnsiTheme="minorHAnsi"/>
              </w:rPr>
              <w:t>ého</w:t>
            </w:r>
            <w:r w:rsidR="004B6FBB" w:rsidRPr="00F31BB7">
              <w:rPr>
                <w:rFonts w:asciiTheme="minorHAnsi" w:hAnsiTheme="minorHAnsi"/>
              </w:rPr>
              <w:t xml:space="preserve"> informační</w:t>
            </w:r>
            <w:r w:rsidRPr="00F31BB7">
              <w:rPr>
                <w:rFonts w:asciiTheme="minorHAnsi" w:hAnsiTheme="minorHAnsi"/>
              </w:rPr>
              <w:t>ho</w:t>
            </w:r>
            <w:r w:rsidR="004B6FBB" w:rsidRPr="00F31BB7">
              <w:rPr>
                <w:rFonts w:asciiTheme="minorHAnsi" w:hAnsiTheme="minorHAnsi"/>
              </w:rPr>
              <w:t xml:space="preserve"> systém</w:t>
            </w:r>
            <w:r w:rsidRPr="00F31BB7">
              <w:rPr>
                <w:rFonts w:asciiTheme="minorHAnsi" w:hAnsiTheme="minorHAnsi"/>
              </w:rPr>
              <w:t>u - analýza podkladů (e-mailová korespondence, screenshoty, exportovaná data, kopie databází, logy) a vzdálená správa prostřednictvím VPN</w:t>
            </w:r>
          </w:p>
        </w:tc>
      </w:tr>
      <w:tr w:rsidR="001D6901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1D6901" w:rsidRPr="00F31BB7" w:rsidRDefault="001D6901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Právní titul</w:t>
            </w:r>
          </w:p>
        </w:tc>
        <w:tc>
          <w:tcPr>
            <w:tcW w:w="3707" w:type="pct"/>
          </w:tcPr>
          <w:p w:rsidR="001D6901" w:rsidRPr="00F31BB7" w:rsidRDefault="004B6FBB" w:rsidP="00BD3046">
            <w:pPr>
              <w:pStyle w:val="Bezmezer"/>
              <w:jc w:val="both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/>
              </w:rPr>
              <w:t>smlouva o technické podpoře GIS a CVD</w:t>
            </w:r>
          </w:p>
        </w:tc>
      </w:tr>
      <w:tr w:rsidR="006D3F95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6D3F95" w:rsidRPr="00F31BB7" w:rsidRDefault="004B6FBB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 xml:space="preserve">Kategorie </w:t>
            </w:r>
            <w:r w:rsidR="006D3F95" w:rsidRPr="00F31BB7">
              <w:rPr>
                <w:rFonts w:asciiTheme="minorHAnsi" w:hAnsiTheme="minorHAnsi" w:cstheme="minorHAnsi"/>
                <w:sz w:val="21"/>
              </w:rPr>
              <w:t>osobních údajů</w:t>
            </w:r>
          </w:p>
        </w:tc>
        <w:tc>
          <w:tcPr>
            <w:tcW w:w="3707" w:type="pct"/>
          </w:tcPr>
          <w:p w:rsidR="006D3F95" w:rsidRPr="00F31BB7" w:rsidRDefault="004B6FBB" w:rsidP="00BA5F17">
            <w:pPr>
              <w:pStyle w:val="Bezmezer"/>
              <w:rPr>
                <w:rFonts w:asciiTheme="minorHAnsi" w:hAnsiTheme="minorHAnsi"/>
              </w:rPr>
            </w:pPr>
            <w:r w:rsidRPr="00F31BB7">
              <w:rPr>
                <w:rFonts w:asciiTheme="minorHAnsi" w:hAnsiTheme="minorHAnsi"/>
              </w:rPr>
              <w:t>titul, jméno, příjmení, název, adresa, p.č., k.ú., interní číslo objektu, technické číslo odběru</w:t>
            </w:r>
          </w:p>
        </w:tc>
      </w:tr>
      <w:tr w:rsidR="008E2A1F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8E2A1F" w:rsidRPr="00F31BB7" w:rsidRDefault="008E2A1F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Zvláštní kategorie osobních údajů</w:t>
            </w:r>
          </w:p>
        </w:tc>
        <w:tc>
          <w:tcPr>
            <w:tcW w:w="3707" w:type="pct"/>
          </w:tcPr>
          <w:p w:rsidR="008E2A1F" w:rsidRPr="00F31BB7" w:rsidRDefault="004B6FBB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/>
              </w:rPr>
              <w:t>žádné</w:t>
            </w:r>
          </w:p>
        </w:tc>
      </w:tr>
      <w:tr w:rsidR="008E2A1F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8E2A1F" w:rsidRPr="00F31BB7" w:rsidRDefault="008E2A1F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Způsob zpracování</w:t>
            </w:r>
          </w:p>
        </w:tc>
        <w:tc>
          <w:tcPr>
            <w:tcW w:w="3707" w:type="pct"/>
          </w:tcPr>
          <w:p w:rsidR="008E2A1F" w:rsidRPr="00F31BB7" w:rsidRDefault="009E3473" w:rsidP="00373589">
            <w:pPr>
              <w:pStyle w:val="Bezmezer"/>
              <w:jc w:val="both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</w:t>
            </w:r>
            <w:r w:rsidR="004B6FBB" w:rsidRPr="00F31BB7">
              <w:rPr>
                <w:rFonts w:asciiTheme="minorHAnsi" w:hAnsiTheme="minorHAnsi" w:cstheme="minorHAnsi"/>
                <w:sz w:val="21"/>
              </w:rPr>
              <w:t xml:space="preserve"> elektronické podobě</w:t>
            </w:r>
            <w:r w:rsidR="001A5C2C" w:rsidRPr="00F31BB7">
              <w:rPr>
                <w:rFonts w:asciiTheme="minorHAnsi" w:hAnsiTheme="minorHAnsi" w:cstheme="minorHAnsi"/>
                <w:sz w:val="21"/>
              </w:rPr>
              <w:t xml:space="preserve"> prostřednictvím VPN připojení; software a data jsou uloženy u Objednatele a vývojové prostředí je u Zhotovitele</w:t>
            </w:r>
            <w:r w:rsidR="00084F0B">
              <w:rPr>
                <w:rFonts w:asciiTheme="minorHAnsi" w:hAnsiTheme="minorHAnsi" w:cstheme="minorHAnsi"/>
                <w:sz w:val="21"/>
              </w:rPr>
              <w:t xml:space="preserve">. K případnému zpracování může dojít nahodile, jelikož bezprostřední </w:t>
            </w:r>
            <w:r w:rsidR="00084F0B">
              <w:rPr>
                <w:rFonts w:asciiTheme="minorHAnsi" w:hAnsiTheme="minorHAnsi" w:cstheme="minorHAnsi"/>
                <w:sz w:val="21"/>
              </w:rPr>
              <w:lastRenderedPageBreak/>
              <w:t xml:space="preserve">zpracování osobních údajů Zhotovitelem pro Objednatele ani za Objednatele není předmětem </w:t>
            </w:r>
            <w:r w:rsidR="00084F0B" w:rsidRPr="00F31BB7">
              <w:rPr>
                <w:rFonts w:asciiTheme="minorHAnsi" w:hAnsiTheme="minorHAnsi"/>
              </w:rPr>
              <w:t>smlouv</w:t>
            </w:r>
            <w:r>
              <w:rPr>
                <w:rFonts w:asciiTheme="minorHAnsi" w:hAnsiTheme="minorHAnsi"/>
              </w:rPr>
              <w:t>y</w:t>
            </w:r>
            <w:r w:rsidR="00084F0B" w:rsidRPr="00F31BB7">
              <w:rPr>
                <w:rFonts w:asciiTheme="minorHAnsi" w:hAnsiTheme="minorHAnsi"/>
              </w:rPr>
              <w:t xml:space="preserve"> o technické podpoře GIS a CVD</w:t>
            </w:r>
            <w:r w:rsidR="00084F0B">
              <w:rPr>
                <w:rFonts w:asciiTheme="minorHAnsi" w:hAnsiTheme="minorHAnsi"/>
              </w:rPr>
              <w:t>; přičemž přiměřenost způsobu zpracování i plnění ostatních povinností Zhotovitele podle této smlouvy budou vykládány ve vztahu k této skutečnosti.</w:t>
            </w:r>
          </w:p>
        </w:tc>
      </w:tr>
      <w:tr w:rsidR="008E2A1F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8E2A1F" w:rsidRPr="00F31BB7" w:rsidRDefault="008E2A1F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lastRenderedPageBreak/>
              <w:t>Doba zpracování</w:t>
            </w:r>
          </w:p>
        </w:tc>
        <w:tc>
          <w:tcPr>
            <w:tcW w:w="3707" w:type="pct"/>
          </w:tcPr>
          <w:p w:rsidR="008E2A1F" w:rsidRPr="00F31BB7" w:rsidRDefault="008E2A1F" w:rsidP="00BD3046">
            <w:pPr>
              <w:pStyle w:val="Bezmezer"/>
              <w:jc w:val="both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/>
              </w:rPr>
              <w:t>Po dobu plnění Podkladové smlouvy</w:t>
            </w:r>
          </w:p>
        </w:tc>
      </w:tr>
      <w:tr w:rsidR="008E2A1F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8E2A1F" w:rsidRPr="00F31BB7" w:rsidRDefault="008E2A1F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Způsob ochrany osobních údajů</w:t>
            </w:r>
          </w:p>
        </w:tc>
        <w:tc>
          <w:tcPr>
            <w:tcW w:w="3707" w:type="pct"/>
          </w:tcPr>
          <w:p w:rsidR="008E2A1F" w:rsidRPr="00F31BB7" w:rsidRDefault="008E2A1F" w:rsidP="00BD3046">
            <w:pPr>
              <w:pStyle w:val="Bezmezer"/>
              <w:jc w:val="both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 xml:space="preserve">Viz níže. </w:t>
            </w:r>
          </w:p>
        </w:tc>
      </w:tr>
      <w:tr w:rsidR="008E2A1F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8E2A1F" w:rsidRPr="00F31BB7" w:rsidRDefault="008E2A1F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Místo zpracování</w:t>
            </w:r>
          </w:p>
        </w:tc>
        <w:tc>
          <w:tcPr>
            <w:tcW w:w="3707" w:type="pct"/>
          </w:tcPr>
          <w:p w:rsidR="008E2A1F" w:rsidRPr="00F31BB7" w:rsidRDefault="008E2A1F" w:rsidP="00BD3046">
            <w:pPr>
              <w:pStyle w:val="Bezmezer"/>
              <w:jc w:val="both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>Česká republika nebo země Evropské unie</w:t>
            </w:r>
          </w:p>
        </w:tc>
      </w:tr>
    </w:tbl>
    <w:p w:rsidR="00E205F8" w:rsidRPr="00F31BB7" w:rsidRDefault="009055BA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Zpracová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ní osobních údajů bude ze strany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probíhat po dobu účinnosti Podkladové smlouvy. Povinnosti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týkající se ochrany osobních údajů se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zavazuje plnit po celou dobu účinnosti této Podkladové smlouvy. </w:t>
      </w:r>
    </w:p>
    <w:p w:rsidR="00E205F8" w:rsidRPr="00F31BB7" w:rsidRDefault="004B6FBB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zpracovává osobní údaje výlučně na základě doložených pokynů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, včetně předání osobních údajů do třetí země nebo mezinárodní organizaci, pokud mu toto zpracování již neukládá právo EU nebo členského státu, které se na </w:t>
      </w:r>
      <w:r w:rsidR="00130EA5" w:rsidRPr="00F31BB7">
        <w:rPr>
          <w:rFonts w:asciiTheme="minorHAnsi" w:hAnsiTheme="minorHAnsi"/>
          <w:szCs w:val="22"/>
          <w:lang w:val="cs-CZ" w:eastAsia="en-US"/>
        </w:rPr>
        <w:t xml:space="preserve">Objednatele či </w:t>
      </w:r>
      <w:r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vztahují; v takovém případě </w:t>
      </w: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informuje o takovém právním požadavku před zpracováním, ledaže by tyto právní předpisy toto informování zakazovaly z důležitých důvodů veřejného zájmu. </w:t>
      </w:r>
    </w:p>
    <w:p w:rsidR="00E205F8" w:rsidRPr="00F31BB7" w:rsidRDefault="00E205F8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Zpracování osobních údajů ve třetích zemích je možný pouze na základě doloženého pokynu nebo písemně uděleného souhlasu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Pr="00F31BB7">
        <w:rPr>
          <w:rFonts w:asciiTheme="minorHAnsi" w:hAnsiTheme="minorHAnsi"/>
          <w:szCs w:val="22"/>
          <w:lang w:val="cs-CZ" w:eastAsia="en-US"/>
        </w:rPr>
        <w:t xml:space="preserve">. </w:t>
      </w:r>
    </w:p>
    <w:p w:rsidR="00E205F8" w:rsidRPr="00F31BB7" w:rsidRDefault="004B6FBB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dodržuje mlčenlivost o zpracovávaných osobních údajích a zajišťuje, aby osoby oprávněné pracovat zpracovávat osobní údaje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byly smluvně zavázány k mlčenlivosti nebo se na ně vztahovala zákonná povinnost mlčenlivosti. </w:t>
      </w:r>
    </w:p>
    <w:p w:rsidR="00E205F8" w:rsidRPr="00F31BB7" w:rsidRDefault="004B6FBB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nebude využívat zpracovávané osobní údaje pro vlastní potřebu a za jiným účelem, než pro plnění Podkladové smlouvy nebo výše definovaných účelů. </w:t>
      </w:r>
    </w:p>
    <w:p w:rsidR="00E205F8" w:rsidRPr="00F31BB7" w:rsidRDefault="00E205F8" w:rsidP="00E205F8">
      <w:pPr>
        <w:pStyle w:val="Nadpis2"/>
        <w:numPr>
          <w:ilvl w:val="0"/>
          <w:numId w:val="32"/>
        </w:numPr>
        <w:jc w:val="center"/>
        <w:rPr>
          <w:rFonts w:asciiTheme="minorHAnsi" w:hAnsiTheme="minorHAnsi"/>
          <w:b/>
          <w:szCs w:val="22"/>
          <w:lang w:val="cs-CZ" w:eastAsia="en-US"/>
        </w:rPr>
      </w:pPr>
      <w:r w:rsidRPr="00F31BB7">
        <w:rPr>
          <w:rFonts w:asciiTheme="minorHAnsi" w:hAnsiTheme="minorHAnsi"/>
          <w:b/>
          <w:szCs w:val="22"/>
          <w:lang w:val="cs-CZ" w:eastAsia="en-US"/>
        </w:rPr>
        <w:t xml:space="preserve">Povinnosti </w:t>
      </w:r>
      <w:r w:rsidR="00265018" w:rsidRPr="00F31BB7">
        <w:rPr>
          <w:rFonts w:asciiTheme="minorHAnsi" w:hAnsiTheme="minorHAnsi"/>
          <w:b/>
          <w:szCs w:val="22"/>
          <w:lang w:val="cs-CZ" w:eastAsia="en-US"/>
        </w:rPr>
        <w:t>Objednatele</w:t>
      </w:r>
      <w:r w:rsidRPr="00F31BB7">
        <w:rPr>
          <w:rFonts w:asciiTheme="minorHAnsi" w:hAnsiTheme="minorHAnsi"/>
          <w:b/>
          <w:szCs w:val="22"/>
          <w:lang w:val="cs-CZ" w:eastAsia="en-US"/>
        </w:rPr>
        <w:t xml:space="preserve"> a </w:t>
      </w:r>
      <w:r w:rsidR="004B6FBB" w:rsidRPr="00F31BB7">
        <w:rPr>
          <w:rFonts w:asciiTheme="minorHAnsi" w:hAnsiTheme="minorHAnsi"/>
          <w:b/>
          <w:szCs w:val="22"/>
          <w:lang w:val="cs-CZ" w:eastAsia="en-US"/>
        </w:rPr>
        <w:t>Zhotovitel</w:t>
      </w:r>
      <w:r w:rsidR="00084F0B">
        <w:rPr>
          <w:rFonts w:asciiTheme="minorHAnsi" w:hAnsiTheme="minorHAnsi"/>
          <w:b/>
          <w:szCs w:val="22"/>
          <w:lang w:val="cs-CZ" w:eastAsia="en-US"/>
        </w:rPr>
        <w:t>e</w:t>
      </w:r>
    </w:p>
    <w:p w:rsidR="00E205F8" w:rsidRPr="00F31BB7" w:rsidRDefault="00265018" w:rsidP="00E205F8">
      <w:pPr>
        <w:pStyle w:val="Nadpis2"/>
        <w:numPr>
          <w:ilvl w:val="1"/>
          <w:numId w:val="33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Objednatel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poskytuje ke zpracování výhradně přesné nebo aktualizované osobní údaje</w:t>
      </w:r>
      <w:r w:rsidR="00735B54" w:rsidRPr="00F31BB7">
        <w:rPr>
          <w:rFonts w:asciiTheme="minorHAnsi" w:hAnsiTheme="minorHAnsi"/>
          <w:szCs w:val="22"/>
          <w:lang w:val="cs-CZ" w:eastAsia="en-US"/>
        </w:rPr>
        <w:t>,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se kterými je oprávněn nakládat. Za přesnost a aktuálnost osobních údajů zodpovídá </w:t>
      </w:r>
      <w:r w:rsidR="008F283F" w:rsidRPr="00F31BB7">
        <w:rPr>
          <w:rFonts w:asciiTheme="minorHAnsi" w:hAnsiTheme="minorHAnsi"/>
          <w:szCs w:val="22"/>
          <w:lang w:val="cs-CZ" w:eastAsia="en-US"/>
        </w:rPr>
        <w:t>Objednatel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.  </w:t>
      </w:r>
    </w:p>
    <w:p w:rsidR="00E205F8" w:rsidRPr="00F31BB7" w:rsidRDefault="004B6FBB" w:rsidP="00E205F8">
      <w:pPr>
        <w:pStyle w:val="Nadpis2"/>
        <w:numPr>
          <w:ilvl w:val="1"/>
          <w:numId w:val="33"/>
        </w:numPr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je povinen v souladu s čl. 32 GDPR s přihlédnutím ke stavu techniky, nákladům na provedení, povaze, rozsahu, kontextu a účelům zpracování i k různě pravděpodobným a různě závažným rizikům pro práva a svobody fyzických osob, provést vhodná technická a organizační opatření, aby zajistil úroveň zabezpečení odpovídající danému riziku. </w:t>
      </w:r>
    </w:p>
    <w:p w:rsidR="00E205F8" w:rsidRPr="00F31BB7" w:rsidRDefault="004B6FBB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zároveň zohledňuje povahu zpracování a je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Objednateli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nápomocen prostřednictvím vhodných technických a organizačních opatření, pokud je to možné, pro splněn</w:t>
      </w:r>
      <w:r w:rsidR="009055BA" w:rsidRPr="00F31BB7">
        <w:rPr>
          <w:rFonts w:asciiTheme="minorHAnsi" w:hAnsiTheme="minorHAnsi"/>
          <w:szCs w:val="22"/>
          <w:lang w:val="cs-CZ" w:eastAsia="en-US"/>
        </w:rPr>
        <w:t>í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povinností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jakožto správce osobních údajů při vyřizování žádostí o výkon práv subjektu údajů dle článků 12 až 23 GDPR.</w:t>
      </w:r>
    </w:p>
    <w:p w:rsidR="006160D1" w:rsidRPr="00F31BB7" w:rsidRDefault="006160D1" w:rsidP="00D30ADB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V případě, že subjekt </w:t>
      </w:r>
      <w:r w:rsidR="004256EE" w:rsidRPr="00F31BB7">
        <w:rPr>
          <w:rFonts w:asciiTheme="minorHAnsi" w:hAnsiTheme="minorHAnsi"/>
          <w:szCs w:val="22"/>
          <w:lang w:val="cs-CZ" w:eastAsia="en-US"/>
        </w:rPr>
        <w:t>o</w:t>
      </w:r>
      <w:r w:rsidRPr="00F31BB7">
        <w:rPr>
          <w:rFonts w:asciiTheme="minorHAnsi" w:hAnsiTheme="minorHAnsi"/>
          <w:szCs w:val="22"/>
          <w:lang w:val="cs-CZ" w:eastAsia="en-US"/>
        </w:rPr>
        <w:t xml:space="preserve">sobních údajů uplatňuje některé své právo u </w:t>
      </w:r>
      <w:r w:rsidR="004B6FBB" w:rsidRPr="00F31BB7">
        <w:rPr>
          <w:rFonts w:asciiTheme="minorHAnsi" w:hAnsiTheme="minorHAnsi"/>
          <w:szCs w:val="22"/>
          <w:lang w:val="cs-CZ" w:eastAsia="en-US"/>
        </w:rPr>
        <w:t>Zhotovitele</w:t>
      </w:r>
      <w:r w:rsidRPr="00F31BB7">
        <w:rPr>
          <w:rFonts w:asciiTheme="minorHAnsi" w:hAnsiTheme="minorHAnsi"/>
          <w:szCs w:val="22"/>
          <w:lang w:val="cs-CZ" w:eastAsia="en-US"/>
        </w:rPr>
        <w:t xml:space="preserve">, ač jej má uplatnit výhradně u </w:t>
      </w:r>
      <w:r w:rsidR="008B4DFD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130EA5" w:rsidRPr="00F31BB7">
        <w:rPr>
          <w:rFonts w:asciiTheme="minorHAnsi" w:hAnsiTheme="minorHAnsi"/>
          <w:szCs w:val="22"/>
          <w:lang w:val="cs-CZ" w:eastAsia="en-US"/>
        </w:rPr>
        <w:t xml:space="preserve"> (správce)</w:t>
      </w:r>
      <w:r w:rsidRPr="00F31BB7">
        <w:rPr>
          <w:rFonts w:asciiTheme="minorHAnsi" w:hAnsiTheme="minorHAnsi"/>
          <w:szCs w:val="22"/>
          <w:lang w:val="cs-CZ" w:eastAsia="en-US"/>
        </w:rPr>
        <w:t xml:space="preserve">, zavazuje se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Pr="00F31BB7">
        <w:rPr>
          <w:rFonts w:asciiTheme="minorHAnsi" w:hAnsiTheme="minorHAnsi"/>
          <w:szCs w:val="22"/>
          <w:lang w:val="cs-CZ" w:eastAsia="en-US"/>
        </w:rPr>
        <w:t xml:space="preserve">takový požadavek </w:t>
      </w:r>
      <w:r w:rsidR="008B4DFD" w:rsidRPr="00F31BB7">
        <w:rPr>
          <w:rFonts w:asciiTheme="minorHAnsi" w:hAnsiTheme="minorHAnsi"/>
          <w:szCs w:val="22"/>
          <w:lang w:val="cs-CZ" w:eastAsia="en-US"/>
        </w:rPr>
        <w:t>Objednateli</w:t>
      </w:r>
      <w:r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="00130EA5" w:rsidRPr="00F31BB7">
        <w:rPr>
          <w:rFonts w:asciiTheme="minorHAnsi" w:hAnsiTheme="minorHAnsi"/>
          <w:szCs w:val="22"/>
          <w:lang w:val="cs-CZ" w:eastAsia="en-US"/>
        </w:rPr>
        <w:t xml:space="preserve">bez zbytečného odkladu </w:t>
      </w:r>
      <w:r w:rsidRPr="00F31BB7">
        <w:rPr>
          <w:rFonts w:asciiTheme="minorHAnsi" w:hAnsiTheme="minorHAnsi"/>
          <w:szCs w:val="22"/>
          <w:lang w:val="cs-CZ" w:eastAsia="en-US"/>
        </w:rPr>
        <w:t xml:space="preserve">předat </w:t>
      </w:r>
      <w:r w:rsidR="004B6FBB" w:rsidRPr="00F31BB7">
        <w:rPr>
          <w:rFonts w:asciiTheme="minorHAnsi" w:hAnsiTheme="minorHAnsi"/>
          <w:szCs w:val="22"/>
          <w:lang w:val="cs-CZ" w:eastAsia="en-US"/>
        </w:rPr>
        <w:t xml:space="preserve">zaměstnanci Objednatele, a to </w:t>
      </w:r>
      <w:r w:rsidR="00F94CEE" w:rsidRPr="00F31BB7">
        <w:rPr>
          <w:rFonts w:asciiTheme="minorHAnsi" w:hAnsiTheme="minorHAnsi"/>
          <w:szCs w:val="22"/>
          <w:lang w:val="cs-CZ" w:eastAsia="en-US"/>
        </w:rPr>
        <w:t>na e-mail podatelny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="00F94CEE" w:rsidRPr="00F31BB7">
        <w:rPr>
          <w:rFonts w:asciiTheme="minorHAnsi" w:hAnsiTheme="minorHAnsi"/>
          <w:szCs w:val="22"/>
          <w:lang w:val="cs-CZ" w:eastAsia="en-US"/>
        </w:rPr>
        <w:t>bvk@bvk.cz</w:t>
      </w:r>
      <w:r w:rsidRPr="00F31BB7">
        <w:rPr>
          <w:rFonts w:asciiTheme="minorHAnsi" w:hAnsiTheme="minorHAnsi"/>
          <w:szCs w:val="22"/>
          <w:lang w:val="cs-CZ" w:eastAsia="en-US"/>
        </w:rPr>
        <w:t xml:space="preserve">, nejpozději však do </w:t>
      </w:r>
      <w:r w:rsidR="00D30ADB" w:rsidRPr="00F31BB7">
        <w:rPr>
          <w:rFonts w:asciiTheme="minorHAnsi" w:hAnsiTheme="minorHAnsi"/>
          <w:szCs w:val="22"/>
          <w:lang w:val="cs-CZ" w:eastAsia="en-US"/>
        </w:rPr>
        <w:t>následujícího pracovního dne</w:t>
      </w:r>
      <w:r w:rsidRPr="00F31BB7">
        <w:rPr>
          <w:rFonts w:asciiTheme="minorHAnsi" w:hAnsiTheme="minorHAnsi"/>
          <w:szCs w:val="22"/>
          <w:lang w:val="cs-CZ" w:eastAsia="en-US"/>
        </w:rPr>
        <w:t xml:space="preserve"> od převzetí</w:t>
      </w:r>
      <w:r w:rsidR="00765666" w:rsidRPr="00F31BB7">
        <w:rPr>
          <w:rFonts w:asciiTheme="minorHAnsi" w:hAnsiTheme="minorHAnsi"/>
          <w:szCs w:val="22"/>
          <w:lang w:val="cs-CZ" w:eastAsia="en-US"/>
        </w:rPr>
        <w:t xml:space="preserve"> požadavku</w:t>
      </w:r>
      <w:r w:rsidRPr="00F31BB7">
        <w:rPr>
          <w:rFonts w:asciiTheme="minorHAnsi" w:hAnsiTheme="minorHAnsi"/>
          <w:szCs w:val="22"/>
          <w:lang w:val="cs-CZ" w:eastAsia="en-US"/>
        </w:rPr>
        <w:t>.</w:t>
      </w:r>
    </w:p>
    <w:p w:rsidR="00681AC4" w:rsidRPr="00F31BB7" w:rsidRDefault="00D54A24" w:rsidP="00681AC4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lastRenderedPageBreak/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je povinen poskytovat součinnost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Objednateli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při zajištění souladu s povinnostmi podle článku 32 až 3</w:t>
      </w:r>
      <w:r w:rsidR="00681AC4" w:rsidRPr="00F31BB7">
        <w:rPr>
          <w:rFonts w:asciiTheme="minorHAnsi" w:hAnsiTheme="minorHAnsi"/>
          <w:szCs w:val="22"/>
          <w:lang w:val="cs-CZ" w:eastAsia="en-US"/>
        </w:rPr>
        <w:t>4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GDPR, a to při zohlednění povahy zpracování a informací, jež má </w:t>
      </w: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>k dispozici, a dále i při komunikaci a p</w:t>
      </w:r>
      <w:r w:rsidR="00BB607D" w:rsidRPr="00F31BB7">
        <w:rPr>
          <w:rFonts w:asciiTheme="minorHAnsi" w:hAnsiTheme="minorHAnsi"/>
          <w:szCs w:val="22"/>
          <w:lang w:val="cs-CZ" w:eastAsia="en-US"/>
        </w:rPr>
        <w:t>rokazováním splnění povinností s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právce dozorovému úřadu. </w:t>
      </w:r>
    </w:p>
    <w:p w:rsidR="00681AC4" w:rsidRPr="00F31BB7" w:rsidRDefault="00D54A24" w:rsidP="00681AC4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681AC4" w:rsidRPr="00F31BB7">
        <w:rPr>
          <w:rFonts w:asciiTheme="minorHAnsi" w:hAnsiTheme="minorHAnsi"/>
          <w:szCs w:val="22"/>
          <w:lang w:val="cs-CZ" w:eastAsia="en-US"/>
        </w:rPr>
        <w:t xml:space="preserve">poskytne Objednateli veškerou potřebnou součinnost, kterou může Objednatel potřebovat pro vypracování posouzení vlivu na ochranu osobních údajů ve smyslu článku 35 GDPR a uskutečnění předchozích konzultací ve smyslu článku 36 GDPR. </w:t>
      </w:r>
    </w:p>
    <w:p w:rsidR="00681AC4" w:rsidRPr="00F31BB7" w:rsidRDefault="00681AC4" w:rsidP="00681AC4">
      <w:pPr>
        <w:pStyle w:val="Nadpis2"/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Objednatel bere na vědomí, že služby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Pr="00F31BB7">
        <w:rPr>
          <w:rFonts w:asciiTheme="minorHAnsi" w:hAnsiTheme="minorHAnsi"/>
          <w:szCs w:val="22"/>
          <w:lang w:val="cs-CZ" w:eastAsia="en-US"/>
        </w:rPr>
        <w:t xml:space="preserve">podle článku III odst. </w:t>
      </w:r>
      <w:r w:rsidR="00D30ADB" w:rsidRPr="00F31BB7">
        <w:rPr>
          <w:rFonts w:asciiTheme="minorHAnsi" w:hAnsiTheme="minorHAnsi"/>
          <w:szCs w:val="22"/>
          <w:lang w:val="cs-CZ" w:eastAsia="en-US"/>
        </w:rPr>
        <w:t>5</w:t>
      </w:r>
      <w:r w:rsidRPr="00F31BB7">
        <w:rPr>
          <w:rFonts w:asciiTheme="minorHAnsi" w:hAnsiTheme="minorHAnsi"/>
          <w:szCs w:val="22"/>
          <w:lang w:val="cs-CZ" w:eastAsia="en-US"/>
        </w:rPr>
        <w:t xml:space="preserve"> a odst. </w:t>
      </w:r>
      <w:r w:rsidR="00D30ADB" w:rsidRPr="00F31BB7">
        <w:rPr>
          <w:rFonts w:asciiTheme="minorHAnsi" w:hAnsiTheme="minorHAnsi"/>
          <w:szCs w:val="22"/>
          <w:lang w:val="cs-CZ" w:eastAsia="en-US"/>
        </w:rPr>
        <w:t>6</w:t>
      </w:r>
      <w:r w:rsidRPr="00F31BB7">
        <w:rPr>
          <w:rFonts w:asciiTheme="minorHAnsi" w:hAnsiTheme="minorHAnsi"/>
          <w:szCs w:val="22"/>
          <w:lang w:val="cs-CZ" w:eastAsia="en-US"/>
        </w:rPr>
        <w:t xml:space="preserve"> jsou placenými službami, které je třeba u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Pr="00F31BB7">
        <w:rPr>
          <w:rFonts w:asciiTheme="minorHAnsi" w:hAnsiTheme="minorHAnsi"/>
          <w:szCs w:val="22"/>
          <w:lang w:val="cs-CZ" w:eastAsia="en-US"/>
        </w:rPr>
        <w:t xml:space="preserve">objednat. </w:t>
      </w:r>
    </w:p>
    <w:p w:rsidR="00E205F8" w:rsidRPr="00F31BB7" w:rsidRDefault="00E205F8" w:rsidP="00BC214E">
      <w:pPr>
        <w:pStyle w:val="Nadpis2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Po ukončení Smlouvy je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Pr="00F31BB7">
        <w:rPr>
          <w:rFonts w:asciiTheme="minorHAnsi" w:hAnsiTheme="minorHAnsi"/>
          <w:szCs w:val="22"/>
          <w:lang w:val="cs-CZ" w:eastAsia="en-US"/>
        </w:rPr>
        <w:t xml:space="preserve">povinen na žádost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Pr="00F31BB7">
        <w:rPr>
          <w:rFonts w:asciiTheme="minorHAnsi" w:hAnsiTheme="minorHAnsi"/>
          <w:szCs w:val="22"/>
          <w:lang w:val="cs-CZ" w:eastAsia="en-US"/>
        </w:rPr>
        <w:t xml:space="preserve"> vymazat všechny osobní údaje a jejich kopie, nebo je vrátit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Objednateli</w:t>
      </w:r>
      <w:r w:rsidRPr="00F31BB7">
        <w:rPr>
          <w:rFonts w:asciiTheme="minorHAnsi" w:hAnsiTheme="minorHAnsi"/>
          <w:szCs w:val="22"/>
          <w:lang w:val="cs-CZ" w:eastAsia="en-US"/>
        </w:rPr>
        <w:t>, pokud mu uložení neukládá právo EU nebo právo členského státu</w:t>
      </w:r>
      <w:r w:rsidR="00E47678" w:rsidRPr="00F31BB7">
        <w:rPr>
          <w:rFonts w:asciiTheme="minorHAnsi" w:hAnsiTheme="minorHAnsi"/>
          <w:szCs w:val="22"/>
          <w:lang w:val="cs-CZ" w:eastAsia="en-US"/>
        </w:rPr>
        <w:t xml:space="preserve">, v takovém případě zajistí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47678" w:rsidRPr="00F31BB7">
        <w:rPr>
          <w:rFonts w:asciiTheme="minorHAnsi" w:hAnsiTheme="minorHAnsi"/>
          <w:szCs w:val="22"/>
          <w:lang w:val="cs-CZ" w:eastAsia="en-US"/>
        </w:rPr>
        <w:t>jejich uložení podle uvedených aplikovatelných předpisů</w:t>
      </w:r>
      <w:r w:rsidR="00765666" w:rsidRPr="00F31BB7">
        <w:rPr>
          <w:rFonts w:asciiTheme="minorHAnsi" w:hAnsiTheme="minorHAnsi"/>
          <w:szCs w:val="22"/>
          <w:lang w:val="cs-CZ" w:eastAsia="en-US"/>
        </w:rPr>
        <w:t xml:space="preserve"> a informuje o tomto Objednatele.</w:t>
      </w:r>
    </w:p>
    <w:p w:rsidR="00E205F8" w:rsidRPr="00F31BB7" w:rsidRDefault="00D54A24" w:rsidP="00B7655E">
      <w:pPr>
        <w:pStyle w:val="Nadpis2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poskytne na žádost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veškeré informace potřebné k doložení toho, že byly splněny povinnosti stanovené v této Smlouvě a umožní audity, včetně inspekcí, prováděné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Objednatelem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nebo jiným auditorem, kterého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pověřil, a k těmto auditům přispěje. </w:t>
      </w:r>
      <w:r w:rsidR="00B7655E" w:rsidRPr="00F31BB7">
        <w:rPr>
          <w:rFonts w:asciiTheme="minorHAnsi" w:hAnsiTheme="minorHAnsi"/>
          <w:szCs w:val="22"/>
          <w:lang w:val="cs-CZ" w:eastAsia="en-US"/>
        </w:rPr>
        <w:t xml:space="preserve">Objednatel nebo jím pověřený auditor je při výkonu auditu povinen dbát oprávněných zájmů </w:t>
      </w:r>
      <w:r w:rsidRPr="00F31BB7">
        <w:rPr>
          <w:rFonts w:asciiTheme="minorHAnsi" w:hAnsiTheme="minorHAnsi"/>
          <w:szCs w:val="22"/>
          <w:lang w:val="cs-CZ" w:eastAsia="en-US"/>
        </w:rPr>
        <w:t>Zhotovitele</w:t>
      </w:r>
      <w:r w:rsidR="00B7655E" w:rsidRPr="00F31BB7">
        <w:rPr>
          <w:rFonts w:asciiTheme="minorHAnsi" w:hAnsiTheme="minorHAnsi"/>
          <w:szCs w:val="22"/>
          <w:lang w:val="cs-CZ" w:eastAsia="en-US"/>
        </w:rPr>
        <w:t xml:space="preserve">, zejména nesmí být ohrožena bezpečnost dat zpracovávaných </w:t>
      </w:r>
      <w:r w:rsidRPr="00F31BB7">
        <w:rPr>
          <w:rFonts w:asciiTheme="minorHAnsi" w:hAnsiTheme="minorHAnsi"/>
          <w:szCs w:val="22"/>
          <w:lang w:val="cs-CZ" w:eastAsia="en-US"/>
        </w:rPr>
        <w:t xml:space="preserve">Zhotovitelem </w:t>
      </w:r>
      <w:r w:rsidR="00B7655E" w:rsidRPr="00F31BB7">
        <w:rPr>
          <w:rFonts w:asciiTheme="minorHAnsi" w:hAnsiTheme="minorHAnsi"/>
          <w:szCs w:val="22"/>
          <w:lang w:val="cs-CZ" w:eastAsia="en-US"/>
        </w:rPr>
        <w:t>ani nesmí dojít k neoprávněnému zásahu do práv třetích osob.</w:t>
      </w:r>
    </w:p>
    <w:p w:rsidR="00E205F8" w:rsidRPr="00F31BB7" w:rsidRDefault="00D54A24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je povinen vést záznamy o zpracování osobních údajů dle Smlouvy minimálně v rozsahu stanoveném v čl. 30 odst. 2 GDPR. </w:t>
      </w:r>
    </w:p>
    <w:p w:rsidR="00E205F8" w:rsidRPr="00F31BB7" w:rsidRDefault="00E205F8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Jakékoliv podezření ohledně porušení zabezpečení osobních údajů nebo ohledně jiného neoprávněného přístupu k osobním údajům nebo domnělé porušení GDPR nebo jiných předpisů EU nebo členského státu týkající se ochrany osobních údajů je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Pr="00F31BB7">
        <w:rPr>
          <w:rFonts w:asciiTheme="minorHAnsi" w:hAnsiTheme="minorHAnsi"/>
          <w:szCs w:val="22"/>
          <w:lang w:val="cs-CZ" w:eastAsia="en-US"/>
        </w:rPr>
        <w:t xml:space="preserve">povinen neprodleně a nejpozději do 24 hodin od zjištění hlásit toto zjištění </w:t>
      </w:r>
      <w:r w:rsidR="00130EA5" w:rsidRPr="00F31BB7">
        <w:rPr>
          <w:rFonts w:asciiTheme="minorHAnsi" w:hAnsiTheme="minorHAnsi"/>
          <w:szCs w:val="22"/>
          <w:lang w:val="cs-CZ" w:eastAsia="en-US"/>
        </w:rPr>
        <w:t xml:space="preserve">Objednateli </w:t>
      </w:r>
      <w:r w:rsidR="00D54A24" w:rsidRPr="00F31BB7">
        <w:rPr>
          <w:rFonts w:asciiTheme="minorHAnsi" w:hAnsiTheme="minorHAnsi"/>
          <w:szCs w:val="22"/>
          <w:lang w:val="cs-CZ" w:eastAsia="en-US"/>
        </w:rPr>
        <w:t>na kontakt uvedený v čl. III. odst. 4. Smlouvy</w:t>
      </w:r>
      <w:r w:rsidRPr="00F31BB7">
        <w:rPr>
          <w:rFonts w:asciiTheme="minorHAnsi" w:hAnsiTheme="minorHAnsi"/>
          <w:szCs w:val="22"/>
          <w:lang w:val="cs-CZ" w:eastAsia="en-US"/>
        </w:rPr>
        <w:t xml:space="preserve"> a poskytnout mu veškerou součinnost a veškeré informace, které může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</w:t>
      </w:r>
      <w:r w:rsidRPr="00F31BB7">
        <w:rPr>
          <w:rFonts w:asciiTheme="minorHAnsi" w:hAnsiTheme="minorHAnsi"/>
          <w:szCs w:val="22"/>
          <w:lang w:val="cs-CZ" w:eastAsia="en-US"/>
        </w:rPr>
        <w:t xml:space="preserve"> potřebovat ke splnění svých zákonných povinností, zejména, nikoliv však výlučně, v rozsahu podle čl. 33 odst. 3 GDPR. </w:t>
      </w:r>
    </w:p>
    <w:p w:rsidR="009055BA" w:rsidRPr="00F31BB7" w:rsidRDefault="009055BA" w:rsidP="009055BA">
      <w:pPr>
        <w:pStyle w:val="Nadpis2"/>
        <w:numPr>
          <w:ilvl w:val="0"/>
          <w:numId w:val="32"/>
        </w:numPr>
        <w:jc w:val="center"/>
        <w:rPr>
          <w:rFonts w:asciiTheme="minorHAnsi" w:hAnsiTheme="minorHAnsi"/>
          <w:b/>
          <w:szCs w:val="22"/>
          <w:lang w:val="cs-CZ" w:eastAsia="en-US"/>
        </w:rPr>
      </w:pPr>
      <w:r w:rsidRPr="00F31BB7">
        <w:rPr>
          <w:rFonts w:asciiTheme="minorHAnsi" w:hAnsiTheme="minorHAnsi"/>
          <w:b/>
          <w:szCs w:val="22"/>
          <w:lang w:val="cs-CZ" w:eastAsia="en-US"/>
        </w:rPr>
        <w:t>Ujednání o předávání osobních údajů</w:t>
      </w:r>
    </w:p>
    <w:p w:rsidR="009055BA" w:rsidRPr="00F31BB7" w:rsidRDefault="00D54A24" w:rsidP="00130EA5">
      <w:pPr>
        <w:pStyle w:val="Nadpis2"/>
        <w:numPr>
          <w:ilvl w:val="1"/>
          <w:numId w:val="50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K p</w:t>
      </w:r>
      <w:r w:rsidR="009055BA" w:rsidRPr="00F31BB7">
        <w:rPr>
          <w:rFonts w:asciiTheme="minorHAnsi" w:hAnsiTheme="minorHAnsi"/>
          <w:szCs w:val="22"/>
          <w:lang w:val="cs-CZ" w:eastAsia="en-US"/>
        </w:rPr>
        <w:t xml:space="preserve">ředávání osobních údajů </w:t>
      </w:r>
      <w:r w:rsidRPr="00F31BB7">
        <w:rPr>
          <w:rFonts w:asciiTheme="minorHAnsi" w:hAnsiTheme="minorHAnsi"/>
          <w:szCs w:val="22"/>
          <w:lang w:val="cs-CZ" w:eastAsia="en-US"/>
        </w:rPr>
        <w:t xml:space="preserve">nedochází. Zpracováním pro účely Smlouvy se rozumí prosté vedení osobních údajů v informačních systémech dodaných a spravovaných Zhotovitelem a nahlídnutí do nich. </w:t>
      </w:r>
    </w:p>
    <w:p w:rsidR="003C566F" w:rsidRPr="00F31BB7" w:rsidRDefault="003C566F" w:rsidP="003C566F">
      <w:pPr>
        <w:pStyle w:val="Nadpis2"/>
        <w:numPr>
          <w:ilvl w:val="1"/>
          <w:numId w:val="33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V elektronické formě dochází k</w:t>
      </w:r>
      <w:r w:rsidR="00D54A24" w:rsidRPr="00F31BB7">
        <w:rPr>
          <w:rFonts w:asciiTheme="minorHAnsi" w:hAnsiTheme="minorHAnsi"/>
          <w:szCs w:val="22"/>
          <w:lang w:val="cs-CZ" w:eastAsia="en-US"/>
        </w:rPr>
        <w:t>e zpracování</w:t>
      </w:r>
      <w:r w:rsidR="00DC71E6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Pr="00F31BB7">
        <w:rPr>
          <w:rFonts w:asciiTheme="minorHAnsi" w:hAnsiTheme="minorHAnsi"/>
          <w:szCs w:val="22"/>
          <w:lang w:val="cs-CZ" w:eastAsia="en-US"/>
        </w:rPr>
        <w:t xml:space="preserve">pomocí vzdáleného připojení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Zhotovitele </w:t>
      </w:r>
      <w:r w:rsidRPr="00F31BB7">
        <w:rPr>
          <w:rFonts w:asciiTheme="minorHAnsi" w:hAnsiTheme="minorHAnsi"/>
          <w:szCs w:val="22"/>
          <w:lang w:val="cs-CZ" w:eastAsia="en-US"/>
        </w:rPr>
        <w:t>do</w:t>
      </w:r>
      <w:r w:rsidR="00511EE0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="00D54A24" w:rsidRPr="00F31BB7">
        <w:rPr>
          <w:rFonts w:asciiTheme="minorHAnsi" w:hAnsiTheme="minorHAnsi"/>
          <w:szCs w:val="22"/>
          <w:lang w:val="cs-CZ" w:eastAsia="en-US"/>
        </w:rPr>
        <w:t>informačního systému</w:t>
      </w:r>
      <w:r w:rsidRPr="00F31BB7">
        <w:rPr>
          <w:rFonts w:asciiTheme="minorHAnsi" w:hAnsiTheme="minorHAnsi"/>
          <w:szCs w:val="22"/>
          <w:lang w:val="cs-CZ" w:eastAsia="en-US"/>
        </w:rPr>
        <w:t xml:space="preserve"> Objednatele. Data v</w:t>
      </w:r>
      <w:r w:rsidR="00D54A24" w:rsidRPr="00F31BB7">
        <w:rPr>
          <w:rFonts w:asciiTheme="minorHAnsi" w:hAnsiTheme="minorHAnsi"/>
          <w:szCs w:val="22"/>
          <w:lang w:val="cs-CZ" w:eastAsia="en-US"/>
        </w:rPr>
        <w:t> informačním systému</w:t>
      </w:r>
      <w:r w:rsidRPr="00F31BB7">
        <w:rPr>
          <w:rFonts w:asciiTheme="minorHAnsi" w:hAnsiTheme="minorHAnsi"/>
          <w:szCs w:val="22"/>
          <w:lang w:val="cs-CZ" w:eastAsia="en-US"/>
        </w:rPr>
        <w:t xml:space="preserve"> jsou uložená vždy pouze u Objednatele. </w:t>
      </w:r>
    </w:p>
    <w:p w:rsidR="003C566F" w:rsidRPr="00F31BB7" w:rsidRDefault="003C566F" w:rsidP="003C566F">
      <w:pPr>
        <w:pStyle w:val="Nadpis2"/>
        <w:numPr>
          <w:ilvl w:val="1"/>
          <w:numId w:val="33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V listinné podobě </w:t>
      </w:r>
      <w:r w:rsidR="00D54A24" w:rsidRPr="00F31BB7">
        <w:rPr>
          <w:rFonts w:asciiTheme="minorHAnsi" w:hAnsiTheme="minorHAnsi"/>
          <w:szCs w:val="22"/>
          <w:lang w:val="cs-CZ" w:eastAsia="en-US"/>
        </w:rPr>
        <w:t>nedochází k žádnému zpracování osobních údajů</w:t>
      </w:r>
    </w:p>
    <w:p w:rsidR="00E205F8" w:rsidRPr="00F31BB7" w:rsidRDefault="00E205F8" w:rsidP="00E205F8">
      <w:pPr>
        <w:pStyle w:val="Nadpis2"/>
        <w:numPr>
          <w:ilvl w:val="0"/>
          <w:numId w:val="32"/>
        </w:numPr>
        <w:jc w:val="center"/>
        <w:rPr>
          <w:rFonts w:asciiTheme="minorHAnsi" w:hAnsiTheme="minorHAnsi"/>
          <w:b/>
          <w:szCs w:val="22"/>
          <w:lang w:val="cs-CZ" w:eastAsia="en-US"/>
        </w:rPr>
      </w:pPr>
      <w:r w:rsidRPr="00F31BB7">
        <w:rPr>
          <w:rFonts w:asciiTheme="minorHAnsi" w:hAnsiTheme="minorHAnsi"/>
          <w:b/>
          <w:szCs w:val="22"/>
          <w:lang w:val="cs-CZ" w:eastAsia="en-US"/>
        </w:rPr>
        <w:t>Zapojení dalších zpracovatelů</w:t>
      </w:r>
    </w:p>
    <w:p w:rsidR="00E205F8" w:rsidRPr="00F31BB7" w:rsidRDefault="00265018" w:rsidP="00E205F8">
      <w:pPr>
        <w:pStyle w:val="Nadpis2"/>
        <w:numPr>
          <w:ilvl w:val="1"/>
          <w:numId w:val="40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Objednatel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uděluje obecné písemné povolení k zapojení dalšího zpracovatele. </w:t>
      </w:r>
      <w:r w:rsidR="00D54A24" w:rsidRPr="00F31BB7">
        <w:rPr>
          <w:rFonts w:asciiTheme="minorHAnsi" w:hAnsiTheme="minorHAnsi"/>
          <w:szCs w:val="22"/>
          <w:lang w:val="cs-CZ" w:eastAsia="en-US"/>
        </w:rPr>
        <w:t>Zh</w:t>
      </w:r>
      <w:r w:rsidR="009E3473">
        <w:rPr>
          <w:rFonts w:asciiTheme="minorHAnsi" w:hAnsiTheme="minorHAnsi"/>
          <w:szCs w:val="22"/>
          <w:lang w:val="cs-CZ" w:eastAsia="en-US"/>
        </w:rPr>
        <w:t>o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se zavazuje dodržovat podmínky pro zapojení dalšího zpracovatele uvedené v čl. 32 odst. 2 až 4 GDPR. </w:t>
      </w:r>
      <w:r w:rsidR="00D54A24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informuje </w:t>
      </w:r>
      <w:r w:rsidRPr="00F31BB7">
        <w:rPr>
          <w:rFonts w:asciiTheme="minorHAnsi" w:hAnsiTheme="minorHAnsi"/>
          <w:szCs w:val="22"/>
          <w:lang w:val="cs-CZ" w:eastAsia="en-US"/>
        </w:rPr>
        <w:t>Objednatele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vždy nejpozději 15 pracovních dnů před uzavřením smlouvy s dalším zpracovatelem o osobě dalšího zpracovatele</w:t>
      </w:r>
      <w:r w:rsidR="00401CE4" w:rsidRPr="00F31BB7">
        <w:rPr>
          <w:rFonts w:asciiTheme="minorHAnsi" w:hAnsiTheme="minorHAnsi"/>
          <w:szCs w:val="22"/>
          <w:lang w:val="cs-CZ" w:eastAsia="en-US"/>
        </w:rPr>
        <w:t xml:space="preserve"> a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rozsahu zamýšleného </w:t>
      </w:r>
      <w:r w:rsidR="00E205F8" w:rsidRPr="00F31BB7">
        <w:rPr>
          <w:rFonts w:asciiTheme="minorHAnsi" w:hAnsiTheme="minorHAnsi"/>
          <w:szCs w:val="22"/>
          <w:lang w:val="cs-CZ" w:eastAsia="en-US"/>
        </w:rPr>
        <w:lastRenderedPageBreak/>
        <w:t xml:space="preserve">zpracování. Pokud </w:t>
      </w:r>
      <w:r w:rsidRPr="00F31BB7">
        <w:rPr>
          <w:rFonts w:asciiTheme="minorHAnsi" w:hAnsiTheme="minorHAnsi"/>
          <w:szCs w:val="22"/>
          <w:lang w:val="cs-CZ" w:eastAsia="en-US"/>
        </w:rPr>
        <w:t>Objednatel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do 5 pracovních dnů nevznese námitku, bude </w:t>
      </w:r>
      <w:r w:rsidR="00893F39"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>zapojení dalšího zpracovatele považovat za schválené.</w:t>
      </w:r>
    </w:p>
    <w:p w:rsidR="00E205F8" w:rsidRPr="00F31BB7" w:rsidRDefault="00893F39" w:rsidP="00613312">
      <w:pPr>
        <w:pStyle w:val="Nadpis2"/>
        <w:numPr>
          <w:ilvl w:val="1"/>
          <w:numId w:val="40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>je povinen uložit dalšímu zpracovateli stejné povinnosti na ochranu údajů, jaké jsou uvedeny v této Smlouvě, zejména poskytnutí dostatečných záruk, podle článku II</w:t>
      </w:r>
      <w:r w:rsidR="00613312" w:rsidRPr="00F31BB7">
        <w:rPr>
          <w:rFonts w:asciiTheme="minorHAnsi" w:hAnsiTheme="minorHAnsi"/>
          <w:szCs w:val="22"/>
          <w:lang w:val="cs-CZ" w:eastAsia="en-US"/>
        </w:rPr>
        <w:t>I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odst. 2 této Smlouvy. </w:t>
      </w:r>
      <w:r w:rsidR="00BB607D" w:rsidRPr="00F31BB7">
        <w:rPr>
          <w:rFonts w:asciiTheme="minorHAnsi" w:hAnsiTheme="minorHAnsi"/>
          <w:szCs w:val="22"/>
          <w:lang w:val="cs-CZ" w:eastAsia="en-US"/>
        </w:rPr>
        <w:t>N</w:t>
      </w:r>
      <w:r w:rsidR="00613312" w:rsidRPr="00F31BB7">
        <w:rPr>
          <w:rFonts w:asciiTheme="minorHAnsi" w:hAnsiTheme="minorHAnsi"/>
          <w:szCs w:val="22"/>
          <w:lang w:val="cs-CZ" w:eastAsia="en-US"/>
        </w:rPr>
        <w:t xml:space="preserve">eplní-li uvedený další zpracovatel své povinnosti v oblasti ochrany Osobních údajů, odpovídá </w:t>
      </w:r>
      <w:r w:rsidR="00BB607D" w:rsidRPr="00F31BB7">
        <w:rPr>
          <w:rFonts w:asciiTheme="minorHAnsi" w:hAnsiTheme="minorHAnsi"/>
          <w:szCs w:val="22"/>
          <w:lang w:val="cs-CZ" w:eastAsia="en-US"/>
        </w:rPr>
        <w:t>Objednatel</w:t>
      </w:r>
      <w:r w:rsidR="00613312" w:rsidRPr="00F31BB7">
        <w:rPr>
          <w:rFonts w:asciiTheme="minorHAnsi" w:hAnsiTheme="minorHAnsi"/>
          <w:szCs w:val="22"/>
          <w:lang w:val="cs-CZ" w:eastAsia="en-US"/>
        </w:rPr>
        <w:t xml:space="preserve">i za plnění povinností dotčeného dalšího zpracovatele i nadále plně </w:t>
      </w:r>
      <w:r w:rsidRPr="00F31BB7">
        <w:rPr>
          <w:rFonts w:asciiTheme="minorHAnsi" w:hAnsiTheme="minorHAnsi"/>
          <w:szCs w:val="22"/>
          <w:lang w:val="cs-CZ" w:eastAsia="en-US"/>
        </w:rPr>
        <w:t>Zhotovitel</w:t>
      </w:r>
      <w:r w:rsidR="00613312" w:rsidRPr="00F31BB7">
        <w:rPr>
          <w:rFonts w:asciiTheme="minorHAnsi" w:hAnsiTheme="minorHAnsi"/>
          <w:szCs w:val="22"/>
          <w:lang w:val="cs-CZ" w:eastAsia="en-US"/>
        </w:rPr>
        <w:t>.</w:t>
      </w:r>
    </w:p>
    <w:p w:rsidR="00E205F8" w:rsidRPr="00F31BB7" w:rsidRDefault="00893F39" w:rsidP="00E205F8">
      <w:pPr>
        <w:pStyle w:val="Nadpis2"/>
        <w:numPr>
          <w:ilvl w:val="0"/>
          <w:numId w:val="32"/>
        </w:numPr>
        <w:jc w:val="center"/>
        <w:rPr>
          <w:rFonts w:asciiTheme="minorHAnsi" w:hAnsiTheme="minorHAnsi"/>
          <w:b/>
          <w:szCs w:val="22"/>
          <w:lang w:val="cs-CZ" w:eastAsia="en-US"/>
        </w:rPr>
      </w:pPr>
      <w:r w:rsidRPr="00F31BB7">
        <w:rPr>
          <w:rFonts w:asciiTheme="minorHAnsi" w:hAnsiTheme="minorHAnsi"/>
          <w:b/>
          <w:szCs w:val="22"/>
          <w:lang w:val="cs-CZ" w:eastAsia="en-US"/>
        </w:rPr>
        <w:t>O</w:t>
      </w:r>
      <w:r w:rsidR="00E205F8" w:rsidRPr="00F31BB7">
        <w:rPr>
          <w:rFonts w:asciiTheme="minorHAnsi" w:hAnsiTheme="minorHAnsi"/>
          <w:b/>
          <w:szCs w:val="22"/>
          <w:lang w:val="cs-CZ" w:eastAsia="en-US"/>
        </w:rPr>
        <w:t xml:space="preserve">dpovědnost </w:t>
      </w:r>
      <w:r w:rsidRPr="00F31BB7">
        <w:rPr>
          <w:rFonts w:asciiTheme="minorHAnsi" w:hAnsiTheme="minorHAnsi"/>
          <w:b/>
          <w:szCs w:val="22"/>
          <w:lang w:val="cs-CZ" w:eastAsia="en-US"/>
        </w:rPr>
        <w:t>Zhotovitele</w:t>
      </w:r>
    </w:p>
    <w:p w:rsidR="00E205F8" w:rsidRPr="00F31BB7" w:rsidRDefault="00893F39" w:rsidP="00E205F8">
      <w:pPr>
        <w:pStyle w:val="Nadpis2"/>
        <w:numPr>
          <w:ilvl w:val="1"/>
          <w:numId w:val="41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odpovídá za jakoukoliv újmu, která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Objednateli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nebo třetím osobám vznikne porušením jeho povinností na základě této Smlouvy nebo GDPR. </w:t>
      </w:r>
    </w:p>
    <w:p w:rsidR="00E205F8" w:rsidRPr="00F31BB7" w:rsidRDefault="00893F39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také odpovídá za jakoukoliv újmu, která </w:t>
      </w:r>
      <w:r w:rsidR="00265018" w:rsidRPr="00F31BB7">
        <w:rPr>
          <w:rFonts w:asciiTheme="minorHAnsi" w:hAnsiTheme="minorHAnsi"/>
          <w:szCs w:val="22"/>
          <w:lang w:val="cs-CZ" w:eastAsia="en-US"/>
        </w:rPr>
        <w:t>Objednateli</w:t>
      </w:r>
      <w:r w:rsidR="00E205F8" w:rsidRPr="00F31BB7">
        <w:rPr>
          <w:rFonts w:asciiTheme="minorHAnsi" w:hAnsiTheme="minorHAnsi"/>
          <w:szCs w:val="22"/>
          <w:lang w:val="cs-CZ" w:eastAsia="en-US"/>
        </w:rPr>
        <w:t xml:space="preserve"> nebo třetím osobám vznikne porušením povinností vyplývajících z této Smlouvy nebo GDPR dalším zpracov</w:t>
      </w:r>
      <w:r w:rsidR="008B4DFD" w:rsidRPr="00F31BB7">
        <w:rPr>
          <w:rFonts w:asciiTheme="minorHAnsi" w:hAnsiTheme="minorHAnsi"/>
          <w:szCs w:val="22"/>
          <w:lang w:val="cs-CZ" w:eastAsia="en-US"/>
        </w:rPr>
        <w:t xml:space="preserve">atelem, kterého </w:t>
      </w:r>
      <w:r w:rsidRPr="00F31BB7">
        <w:rPr>
          <w:rFonts w:asciiTheme="minorHAnsi" w:hAnsiTheme="minorHAnsi"/>
          <w:szCs w:val="22"/>
          <w:lang w:val="cs-CZ" w:eastAsia="en-US"/>
        </w:rPr>
        <w:t xml:space="preserve">Zhotovitel </w:t>
      </w:r>
      <w:r w:rsidR="008B4DFD" w:rsidRPr="00F31BB7">
        <w:rPr>
          <w:rFonts w:asciiTheme="minorHAnsi" w:hAnsiTheme="minorHAnsi"/>
          <w:szCs w:val="22"/>
          <w:lang w:val="cs-CZ" w:eastAsia="en-US"/>
        </w:rPr>
        <w:t>pověřil zpracováním osobních údajů Objednatele.</w:t>
      </w:r>
    </w:p>
    <w:p w:rsidR="00E205F8" w:rsidRPr="00F31BB7" w:rsidRDefault="00E205F8" w:rsidP="00E205F8">
      <w:pPr>
        <w:pStyle w:val="Nadpis2"/>
        <w:numPr>
          <w:ilvl w:val="0"/>
          <w:numId w:val="32"/>
        </w:numPr>
        <w:jc w:val="center"/>
        <w:rPr>
          <w:rFonts w:asciiTheme="minorHAnsi" w:hAnsiTheme="minorHAnsi"/>
          <w:b/>
          <w:szCs w:val="22"/>
          <w:lang w:val="cs-CZ" w:eastAsia="en-US"/>
        </w:rPr>
      </w:pPr>
      <w:r w:rsidRPr="00F31BB7">
        <w:rPr>
          <w:rFonts w:asciiTheme="minorHAnsi" w:hAnsiTheme="minorHAnsi"/>
          <w:b/>
          <w:szCs w:val="22"/>
          <w:lang w:val="cs-CZ" w:eastAsia="en-US"/>
        </w:rPr>
        <w:t>Závěrečná ustanovení</w:t>
      </w:r>
    </w:p>
    <w:p w:rsidR="00E8072D" w:rsidRPr="00F31BB7" w:rsidRDefault="00E8072D" w:rsidP="00E205F8">
      <w:pPr>
        <w:pStyle w:val="Nadpis2"/>
        <w:numPr>
          <w:ilvl w:val="1"/>
          <w:numId w:val="42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Společnost </w:t>
      </w:r>
      <w:r w:rsidRPr="00311548">
        <w:rPr>
          <w:rFonts w:asciiTheme="minorHAnsi" w:hAnsiTheme="minorHAnsi"/>
          <w:lang w:val="cs-CZ"/>
        </w:rPr>
        <w:t xml:space="preserve">Brněnské vodárny a kanalizace, a.s. podporuje rovný přístup, spravedlnost, legálnost, slušnost a etické chování ve všech obchodních vztazích v souladu s Etickou chartou a Etikou ve vztazích s dodavateli, kterou vydal SUEZ Groupe, a která je umístěna na internetových stránkách společnosti </w:t>
      </w:r>
      <w:hyperlink r:id="rId8" w:history="1">
        <w:r w:rsidRPr="00311548">
          <w:rPr>
            <w:rStyle w:val="Hypertextovodkaz"/>
            <w:rFonts w:asciiTheme="minorHAnsi" w:hAnsiTheme="minorHAnsi"/>
            <w:lang w:val="cs-CZ"/>
          </w:rPr>
          <w:t>www.bvk.cz</w:t>
        </w:r>
      </w:hyperlink>
      <w:r w:rsidRPr="00311548">
        <w:rPr>
          <w:rFonts w:asciiTheme="minorHAnsi" w:hAnsiTheme="minorHAnsi"/>
          <w:lang w:val="cs-CZ"/>
        </w:rPr>
        <w:t xml:space="preserve">. Pro oznámení nelegálního a neetického chování je možné použít emailovou adresu: </w:t>
      </w:r>
      <w:hyperlink r:id="rId9" w:history="1">
        <w:r w:rsidRPr="00311548">
          <w:rPr>
            <w:rStyle w:val="Hypertextovodkaz"/>
            <w:rFonts w:asciiTheme="minorHAnsi" w:hAnsiTheme="minorHAnsi"/>
            <w:lang w:val="cs-CZ"/>
          </w:rPr>
          <w:t>ethics@suez-env.com</w:t>
        </w:r>
      </w:hyperlink>
      <w:r w:rsidRPr="00311548">
        <w:rPr>
          <w:rFonts w:asciiTheme="minorHAnsi" w:hAnsiTheme="minorHAnsi"/>
          <w:lang w:val="cs-CZ"/>
        </w:rPr>
        <w:t xml:space="preserve">. </w:t>
      </w:r>
      <w:r w:rsidRPr="00F31BB7">
        <w:rPr>
          <w:rFonts w:asciiTheme="minorHAnsi" w:hAnsiTheme="minorHAnsi"/>
          <w:szCs w:val="22"/>
          <w:lang w:val="cs-CZ" w:eastAsia="en-US"/>
        </w:rPr>
        <w:t xml:space="preserve"> </w:t>
      </w:r>
    </w:p>
    <w:p w:rsidR="00E205F8" w:rsidRPr="00F31BB7" w:rsidRDefault="00E205F8" w:rsidP="00E205F8">
      <w:pPr>
        <w:pStyle w:val="Nadpis2"/>
        <w:numPr>
          <w:ilvl w:val="1"/>
          <w:numId w:val="42"/>
        </w:numPr>
        <w:tabs>
          <w:tab w:val="num" w:pos="720"/>
        </w:tabs>
        <w:ind w:left="709" w:hanging="709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 xml:space="preserve">Pro případ, že by bylo v důsledku změny právních předpisů nebo výkladu dozorového orgánu na zpracování některého z osobních údajů nebo na ustanovení této smlouvy nahlíženo jako na nežádoucí nebo neoprávněné, tímto smluvní strany stvrzují, že bez zbytečného odkladu v odpovídajícím rozsahu zjednají nápravu a po vzájemném projednání upraví tuto smlouvu dodatkem. </w:t>
      </w:r>
    </w:p>
    <w:p w:rsidR="00E205F8" w:rsidRPr="00F31BB7" w:rsidRDefault="00E205F8" w:rsidP="00E205F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Tato Smlouva je sepsána ve dvou vyhotoveních, z nichž se každá ze smluvních stran obdrží po jednom.</w:t>
      </w:r>
    </w:p>
    <w:p w:rsidR="00735B54" w:rsidRPr="00F31BB7" w:rsidRDefault="00E205F8" w:rsidP="00311548">
      <w:pPr>
        <w:pStyle w:val="Nadpis2"/>
        <w:tabs>
          <w:tab w:val="num" w:pos="720"/>
        </w:tabs>
        <w:ind w:left="720" w:hanging="720"/>
        <w:jc w:val="both"/>
      </w:pPr>
      <w:r w:rsidRPr="00F31BB7">
        <w:rPr>
          <w:rFonts w:asciiTheme="minorHAnsi" w:hAnsiTheme="minorHAnsi"/>
          <w:szCs w:val="22"/>
          <w:lang w:val="cs-CZ" w:eastAsia="en-US"/>
        </w:rPr>
        <w:t xml:space="preserve">Není-li sjednáno jinak, pak může být tato Smlouva změněna </w:t>
      </w:r>
      <w:r w:rsidR="00D10A62" w:rsidRPr="00F31BB7">
        <w:rPr>
          <w:rFonts w:asciiTheme="minorHAnsi" w:hAnsiTheme="minorHAnsi"/>
          <w:szCs w:val="22"/>
          <w:lang w:val="cs-CZ" w:eastAsia="en-US"/>
        </w:rPr>
        <w:t>pouze</w:t>
      </w:r>
      <w:r w:rsidR="00E8072D" w:rsidRPr="00F31BB7">
        <w:rPr>
          <w:rFonts w:asciiTheme="minorHAnsi" w:hAnsiTheme="minorHAnsi"/>
          <w:szCs w:val="22"/>
          <w:lang w:val="cs-CZ" w:eastAsia="en-US"/>
        </w:rPr>
        <w:t xml:space="preserve"> číslovaným</w:t>
      </w:r>
      <w:r w:rsidR="00D10A62" w:rsidRPr="00F31BB7">
        <w:rPr>
          <w:rFonts w:asciiTheme="minorHAnsi" w:hAnsiTheme="minorHAnsi"/>
          <w:szCs w:val="22"/>
          <w:lang w:val="cs-CZ" w:eastAsia="en-US"/>
        </w:rPr>
        <w:t xml:space="preserve"> </w:t>
      </w:r>
      <w:r w:rsidRPr="00F31BB7">
        <w:rPr>
          <w:rFonts w:asciiTheme="minorHAnsi" w:hAnsiTheme="minorHAnsi"/>
          <w:szCs w:val="22"/>
          <w:lang w:val="cs-CZ" w:eastAsia="en-US"/>
        </w:rPr>
        <w:t xml:space="preserve">dodatkem </w:t>
      </w:r>
      <w:r w:rsidR="00E96F31" w:rsidRPr="00F31BB7">
        <w:rPr>
          <w:rFonts w:asciiTheme="minorHAnsi" w:hAnsiTheme="minorHAnsi"/>
          <w:szCs w:val="22"/>
          <w:lang w:val="cs-CZ" w:eastAsia="en-US"/>
        </w:rPr>
        <w:t>v písemné listinné formě.</w:t>
      </w:r>
      <w:r w:rsidR="00E8072D" w:rsidRPr="00F31BB7">
        <w:rPr>
          <w:rFonts w:asciiTheme="minorHAnsi" w:hAnsiTheme="minorHAnsi"/>
          <w:szCs w:val="22"/>
          <w:lang w:val="cs-CZ" w:eastAsia="en-US"/>
        </w:rPr>
        <w:t xml:space="preserve"> Takový dodatek podléhá témuž smluvnímu režimu jako Smlouva a stane se její integrální součástí.</w:t>
      </w:r>
    </w:p>
    <w:p w:rsidR="00735B54" w:rsidRPr="00F31BB7" w:rsidRDefault="00E8072D" w:rsidP="00311548">
      <w:pPr>
        <w:pStyle w:val="Nadpis2"/>
        <w:tabs>
          <w:tab w:val="num" w:pos="720"/>
        </w:tabs>
        <w:ind w:left="720" w:hanging="720"/>
        <w:jc w:val="both"/>
      </w:pPr>
      <w:r w:rsidRPr="00311548">
        <w:rPr>
          <w:rFonts w:asciiTheme="minorHAnsi" w:hAnsiTheme="minorHAnsi"/>
          <w:szCs w:val="22"/>
          <w:lang w:val="cs-CZ" w:eastAsia="en-US"/>
        </w:rPr>
        <w:t xml:space="preserve">Smlouva byla uzavřena v běžném obchodním styku právnickou osobou, </w:t>
      </w:r>
      <w:r w:rsidRPr="00311548">
        <w:rPr>
          <w:rFonts w:asciiTheme="minorHAnsi" w:hAnsiTheme="minorHAnsi"/>
          <w:lang w:val="cs-CZ"/>
        </w:rPr>
        <w:t>která byla založena za účelem uspokojování potřeb majících průmyslovou nebo obchodní povahu. Smlouva nepodléhá uveřejnění v registru smluv dle zákona č. 340/2015 Sb., o zvláštních podmínkách účinnosti některých smluv, uveřejňování těchto smluv a o registru smluv (zákon o registru smluv) ve znění pozdějších předpisů.</w:t>
      </w:r>
    </w:p>
    <w:p w:rsidR="00735B54" w:rsidRPr="00F31BB7" w:rsidRDefault="00735B54" w:rsidP="00311548">
      <w:pPr>
        <w:pStyle w:val="Nadpis2"/>
        <w:tabs>
          <w:tab w:val="num" w:pos="720"/>
        </w:tabs>
        <w:ind w:left="720" w:hanging="720"/>
        <w:jc w:val="both"/>
      </w:pPr>
      <w:r w:rsidRPr="00311548">
        <w:rPr>
          <w:rFonts w:asciiTheme="minorHAnsi" w:hAnsiTheme="minorHAnsi"/>
          <w:lang w:val="cs-CZ"/>
        </w:rPr>
        <w:t>Smlouva nabývá účinnosti dnem podpisu všech smluvních stran. Smlouva je uzavřena na dobu neurčitou.</w:t>
      </w:r>
    </w:p>
    <w:p w:rsidR="00735B54" w:rsidRPr="00F31BB7" w:rsidRDefault="00735B54" w:rsidP="00311548">
      <w:pPr>
        <w:pStyle w:val="Nadpis2"/>
        <w:tabs>
          <w:tab w:val="num" w:pos="720"/>
        </w:tabs>
        <w:ind w:left="720" w:hanging="720"/>
        <w:jc w:val="both"/>
      </w:pPr>
      <w:r w:rsidRPr="00311548">
        <w:rPr>
          <w:rFonts w:asciiTheme="minorHAnsi" w:hAnsiTheme="minorHAnsi"/>
          <w:lang w:val="cs-CZ"/>
        </w:rPr>
        <w:t>Smlouva může být ukončena jedním z následujících způsobů:</w:t>
      </w:r>
    </w:p>
    <w:p w:rsidR="00735B54" w:rsidRPr="00F31BB7" w:rsidRDefault="00735B54" w:rsidP="00735B54">
      <w:pPr>
        <w:pStyle w:val="Odstavecseseznamem"/>
        <w:numPr>
          <w:ilvl w:val="1"/>
          <w:numId w:val="51"/>
        </w:numPr>
        <w:spacing w:after="200" w:line="276" w:lineRule="auto"/>
        <w:jc w:val="both"/>
      </w:pPr>
      <w:r w:rsidRPr="00F31BB7">
        <w:t xml:space="preserve">písemnou dohodou, </w:t>
      </w:r>
    </w:p>
    <w:p w:rsidR="00735B54" w:rsidRPr="00F31BB7" w:rsidRDefault="00735B54" w:rsidP="00735B54">
      <w:pPr>
        <w:pStyle w:val="Odstavecseseznamem"/>
        <w:numPr>
          <w:ilvl w:val="1"/>
          <w:numId w:val="51"/>
        </w:numPr>
        <w:spacing w:after="200" w:line="276" w:lineRule="auto"/>
        <w:jc w:val="both"/>
      </w:pPr>
      <w:r w:rsidRPr="00F31BB7">
        <w:lastRenderedPageBreak/>
        <w:t>písemnou výpovědí kterékoliv ze smluvních stran s dvouměsíční výpovědní dobou, která začíná běžet prvním dnem kalendářního měsíce následujícího po doručení písemné výpovědi druhé smluvní straně,</w:t>
      </w:r>
    </w:p>
    <w:p w:rsidR="00735B54" w:rsidRPr="00F31BB7" w:rsidRDefault="00735B54" w:rsidP="00311548">
      <w:pPr>
        <w:pStyle w:val="Odstavecseseznamem"/>
        <w:numPr>
          <w:ilvl w:val="1"/>
          <w:numId w:val="51"/>
        </w:numPr>
        <w:spacing w:after="200" w:line="276" w:lineRule="auto"/>
        <w:jc w:val="both"/>
      </w:pPr>
      <w:r w:rsidRPr="00F31BB7">
        <w:t>písemným odstoupením některé ze smluvních stran s okamžitou účinností v případě podstatného porušení povinnosti podle této smlouvy druhou smluvní stranou.</w:t>
      </w:r>
    </w:p>
    <w:p w:rsidR="00735B54" w:rsidRPr="00373589" w:rsidRDefault="00735B54" w:rsidP="00311548">
      <w:pPr>
        <w:pStyle w:val="Nadpis2"/>
        <w:tabs>
          <w:tab w:val="num" w:pos="720"/>
        </w:tabs>
        <w:ind w:left="720" w:hanging="720"/>
        <w:jc w:val="both"/>
      </w:pPr>
      <w:r w:rsidRPr="00373589">
        <w:rPr>
          <w:rFonts w:asciiTheme="minorHAnsi" w:hAnsiTheme="minorHAnsi"/>
          <w:lang w:val="cs-CZ"/>
        </w:rPr>
        <w:t>Odstoupení od smlouvy musí být písemné a nabývá účinnosti dnem doručení druhé smluvní straně. Odstoupení od smlouvy se nedotýká nároku na zaplacení smluvní pokuty, popř. nároku na náhradu škody.</w:t>
      </w:r>
    </w:p>
    <w:p w:rsidR="00E8072D" w:rsidRPr="00373589" w:rsidRDefault="00735B54" w:rsidP="00373589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lang w:val="cs-CZ"/>
        </w:rPr>
      </w:pPr>
      <w:r w:rsidRPr="00373589">
        <w:rPr>
          <w:rFonts w:asciiTheme="minorHAnsi" w:hAnsiTheme="minorHAnsi"/>
          <w:lang w:val="cs-CZ"/>
        </w:rPr>
        <w:t>Smlouva dále zaniká dnem zániku Podkladové smlouvy.</w:t>
      </w:r>
    </w:p>
    <w:p w:rsidR="008775E8" w:rsidRPr="00311548" w:rsidRDefault="00E205F8" w:rsidP="00373589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lang w:val="cs-CZ"/>
        </w:rPr>
      </w:pPr>
      <w:r w:rsidRPr="00311548">
        <w:rPr>
          <w:rFonts w:asciiTheme="minorHAnsi" w:hAnsiTheme="minorHAnsi"/>
          <w:lang w:val="cs-CZ"/>
        </w:rPr>
        <w:t>Otázky touto Smlouvou výslovně neupravené se řídí příslušnými předpisy České republiky a</w:t>
      </w:r>
      <w:r w:rsidR="00401CE4" w:rsidRPr="00311548">
        <w:rPr>
          <w:rFonts w:asciiTheme="minorHAnsi" w:hAnsiTheme="minorHAnsi"/>
          <w:lang w:val="cs-CZ"/>
        </w:rPr>
        <w:t> </w:t>
      </w:r>
      <w:r w:rsidRPr="00311548">
        <w:rPr>
          <w:rFonts w:asciiTheme="minorHAnsi" w:hAnsiTheme="minorHAnsi"/>
          <w:lang w:val="cs-CZ"/>
        </w:rPr>
        <w:t>Evropské unie.</w:t>
      </w:r>
      <w:r w:rsidR="00BF40AE" w:rsidRPr="00311548">
        <w:rPr>
          <w:rFonts w:asciiTheme="minorHAnsi" w:hAnsiTheme="minorHAnsi"/>
          <w:lang w:val="cs-CZ"/>
        </w:rPr>
        <w:t xml:space="preserve"> </w:t>
      </w:r>
    </w:p>
    <w:p w:rsidR="00270490" w:rsidRPr="00373589" w:rsidRDefault="008775E8" w:rsidP="008775E8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lang w:val="cs-CZ"/>
        </w:rPr>
      </w:pPr>
      <w:r w:rsidRPr="00373589">
        <w:rPr>
          <w:rFonts w:asciiTheme="minorHAnsi" w:hAnsiTheme="minorHAnsi"/>
          <w:lang w:val="cs-CZ"/>
        </w:rPr>
        <w:t xml:space="preserve">Smluvní strany prohlašují, že si </w:t>
      </w:r>
      <w:r w:rsidR="00E96F31" w:rsidRPr="00373589">
        <w:rPr>
          <w:rFonts w:asciiTheme="minorHAnsi" w:hAnsiTheme="minorHAnsi"/>
          <w:lang w:val="cs-CZ"/>
        </w:rPr>
        <w:t xml:space="preserve">návrh této Smlouvy </w:t>
      </w:r>
      <w:r w:rsidRPr="00373589">
        <w:rPr>
          <w:rFonts w:asciiTheme="minorHAnsi" w:hAnsiTheme="minorHAnsi"/>
          <w:lang w:val="cs-CZ"/>
        </w:rPr>
        <w:t>pozorně a pečlivě přečetly, že dobře rozumí jeho obsahu a že ten odpovídá jejich skutečné vůli, na důkaz čehož připojují své podpisy a</w:t>
      </w:r>
      <w:r w:rsidR="00401CE4" w:rsidRPr="00373589">
        <w:rPr>
          <w:rFonts w:asciiTheme="minorHAnsi" w:hAnsiTheme="minorHAnsi"/>
          <w:lang w:val="cs-CZ"/>
        </w:rPr>
        <w:t> </w:t>
      </w:r>
      <w:r w:rsidRPr="00373589">
        <w:rPr>
          <w:rFonts w:asciiTheme="minorHAnsi" w:hAnsiTheme="minorHAnsi"/>
          <w:lang w:val="cs-CZ"/>
        </w:rPr>
        <w:t>uzavírají tuto Smlouvu.</w:t>
      </w:r>
    </w:p>
    <w:p w:rsidR="00735B54" w:rsidRPr="00F31BB7" w:rsidRDefault="006A52EE" w:rsidP="00F81457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Objednatel: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735B54" w:rsidRPr="00F31BB7">
        <w:rPr>
          <w:rFonts w:asciiTheme="minorHAnsi" w:hAnsiTheme="minorHAnsi" w:cs="Arial"/>
          <w:b/>
          <w:color w:val="auto"/>
          <w:sz w:val="22"/>
          <w:szCs w:val="22"/>
        </w:rPr>
        <w:t>Zhotovitel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</w:p>
    <w:p w:rsidR="00156208" w:rsidRPr="00F31BB7" w:rsidRDefault="00735B54" w:rsidP="00735B54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Brněnské vodárny a kanalizace, a.s.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>Asseco Central Europe, a.s.</w:t>
      </w: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90"/>
        <w:gridCol w:w="4891"/>
      </w:tblGrid>
      <w:tr w:rsidR="00F81457" w:rsidRPr="00F31BB7" w:rsidTr="00E1693C">
        <w:trPr>
          <w:trHeight w:val="285"/>
        </w:trPr>
        <w:tc>
          <w:tcPr>
            <w:tcW w:w="4890" w:type="dxa"/>
          </w:tcPr>
          <w:p w:rsidR="00F81457" w:rsidRPr="00F31BB7" w:rsidRDefault="00F81457" w:rsidP="00F3407C">
            <w:pPr>
              <w:spacing w:before="160"/>
              <w:jc w:val="center"/>
              <w:rPr>
                <w:rFonts w:ascii="Calibri" w:hAnsi="Calibri"/>
                <w:sz w:val="20"/>
              </w:rPr>
            </w:pPr>
            <w:r w:rsidRPr="00F31BB7">
              <w:rPr>
                <w:rFonts w:ascii="Calibri" w:hAnsi="Calibri"/>
                <w:sz w:val="20"/>
              </w:rPr>
              <w:t>V</w:t>
            </w:r>
            <w:r w:rsidR="00F3407C">
              <w:rPr>
                <w:rFonts w:ascii="Calibri" w:hAnsi="Calibri"/>
                <w:sz w:val="20"/>
              </w:rPr>
              <w:t xml:space="preserve"> Brně </w:t>
            </w:r>
            <w:r w:rsidR="00310585" w:rsidRPr="00F31BB7">
              <w:rPr>
                <w:rFonts w:ascii="Calibri" w:hAnsi="Calibri"/>
                <w:sz w:val="20"/>
              </w:rPr>
              <w:t xml:space="preserve">dne </w:t>
            </w:r>
            <w:r w:rsidR="00F3407C">
              <w:rPr>
                <w:rFonts w:ascii="Calibri" w:hAnsi="Calibri"/>
                <w:sz w:val="20"/>
              </w:rPr>
              <w:t>16.8.2018</w:t>
            </w:r>
          </w:p>
        </w:tc>
        <w:tc>
          <w:tcPr>
            <w:tcW w:w="4891" w:type="dxa"/>
          </w:tcPr>
          <w:p w:rsidR="00F81457" w:rsidRPr="00F31BB7" w:rsidRDefault="006A52EE" w:rsidP="00F3407C">
            <w:pPr>
              <w:spacing w:before="160"/>
              <w:jc w:val="center"/>
              <w:rPr>
                <w:rFonts w:ascii="Calibri" w:hAnsi="Calibri"/>
                <w:sz w:val="20"/>
              </w:rPr>
            </w:pPr>
            <w:r w:rsidRPr="00F31BB7">
              <w:rPr>
                <w:rFonts w:ascii="Calibri" w:hAnsi="Calibri"/>
                <w:sz w:val="20"/>
              </w:rPr>
              <w:t xml:space="preserve">V </w:t>
            </w:r>
            <w:r w:rsidR="00F3407C">
              <w:rPr>
                <w:rFonts w:ascii="Calibri" w:hAnsi="Calibri"/>
                <w:sz w:val="20"/>
              </w:rPr>
              <w:t>Praze</w:t>
            </w:r>
            <w:r w:rsidRPr="00F31BB7">
              <w:rPr>
                <w:rFonts w:ascii="Calibri" w:hAnsi="Calibri"/>
                <w:sz w:val="20"/>
              </w:rPr>
              <w:t xml:space="preserve"> dne </w:t>
            </w:r>
            <w:r w:rsidR="00F3407C">
              <w:rPr>
                <w:rFonts w:ascii="Calibri" w:hAnsi="Calibri"/>
                <w:sz w:val="20"/>
              </w:rPr>
              <w:t>21.8.2018</w:t>
            </w:r>
            <w:bookmarkStart w:id="0" w:name="_GoBack"/>
            <w:bookmarkEnd w:id="0"/>
          </w:p>
        </w:tc>
      </w:tr>
      <w:tr w:rsidR="00F81457" w:rsidRPr="00F31BB7" w:rsidTr="00E1693C">
        <w:trPr>
          <w:trHeight w:val="285"/>
        </w:trPr>
        <w:tc>
          <w:tcPr>
            <w:tcW w:w="4890" w:type="dxa"/>
          </w:tcPr>
          <w:p w:rsidR="00F81457" w:rsidRPr="00F31BB7" w:rsidRDefault="00F81457" w:rsidP="00E1693C">
            <w:pPr>
              <w:spacing w:after="0"/>
              <w:rPr>
                <w:rFonts w:ascii="Calibri" w:hAnsi="Calibri"/>
                <w:iCs/>
                <w:sz w:val="20"/>
              </w:rPr>
            </w:pPr>
          </w:p>
          <w:p w:rsidR="00F81457" w:rsidRPr="00F31BB7" w:rsidRDefault="00F81457" w:rsidP="00E1693C">
            <w:pPr>
              <w:spacing w:after="0"/>
              <w:rPr>
                <w:rFonts w:ascii="Calibri" w:hAnsi="Calibri"/>
                <w:iCs/>
                <w:sz w:val="20"/>
              </w:rPr>
            </w:pPr>
          </w:p>
          <w:p w:rsidR="00F81457" w:rsidRPr="00F31BB7" w:rsidRDefault="00F81457" w:rsidP="00E1693C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F31BB7">
              <w:rPr>
                <w:rFonts w:ascii="Calibri" w:hAnsi="Calibri"/>
                <w:sz w:val="20"/>
              </w:rPr>
              <w:t>____________________________</w:t>
            </w:r>
          </w:p>
          <w:p w:rsidR="00F81457" w:rsidRPr="00F31BB7" w:rsidRDefault="00F3407C" w:rsidP="00E1693C">
            <w:pPr>
              <w:spacing w:after="0"/>
              <w:jc w:val="center"/>
              <w:rPr>
                <w:rFonts w:ascii="Calibri" w:hAnsi="Calibri"/>
                <w:b/>
                <w:sz w:val="20"/>
              </w:rPr>
            </w:pPr>
            <w:r>
              <w:t>xxxxx</w:t>
            </w:r>
            <w:r w:rsidR="00735B54" w:rsidRPr="00F31BB7">
              <w:t>, generální ředitel</w:t>
            </w:r>
          </w:p>
        </w:tc>
        <w:tc>
          <w:tcPr>
            <w:tcW w:w="4891" w:type="dxa"/>
          </w:tcPr>
          <w:p w:rsidR="00F81457" w:rsidRPr="00F31BB7" w:rsidRDefault="00F81457" w:rsidP="00E1693C">
            <w:pPr>
              <w:spacing w:after="0"/>
              <w:rPr>
                <w:rFonts w:ascii="Calibri" w:hAnsi="Calibri"/>
                <w:iCs/>
                <w:sz w:val="20"/>
              </w:rPr>
            </w:pPr>
          </w:p>
          <w:p w:rsidR="00F81457" w:rsidRPr="00F31BB7" w:rsidRDefault="00F81457" w:rsidP="00E1693C">
            <w:pPr>
              <w:spacing w:after="0"/>
              <w:jc w:val="center"/>
              <w:rPr>
                <w:rFonts w:ascii="Calibri" w:hAnsi="Calibri"/>
                <w:sz w:val="20"/>
              </w:rPr>
            </w:pPr>
          </w:p>
          <w:p w:rsidR="00F81457" w:rsidRPr="00F31BB7" w:rsidRDefault="00F81457" w:rsidP="00E1693C">
            <w:pPr>
              <w:spacing w:after="0"/>
              <w:jc w:val="center"/>
              <w:rPr>
                <w:rFonts w:ascii="Calibri" w:hAnsi="Calibri"/>
                <w:sz w:val="20"/>
              </w:rPr>
            </w:pPr>
            <w:r w:rsidRPr="00F31BB7">
              <w:rPr>
                <w:rFonts w:ascii="Calibri" w:hAnsi="Calibri"/>
                <w:sz w:val="20"/>
              </w:rPr>
              <w:t>____________________________</w:t>
            </w:r>
          </w:p>
          <w:p w:rsidR="00F81457" w:rsidRPr="00F31BB7" w:rsidRDefault="002358D1">
            <w:pPr>
              <w:pStyle w:val="Odstavecseseznamem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Calibri" w:hAnsi="Calibri"/>
                <w:b/>
                <w:sz w:val="20"/>
              </w:rPr>
            </w:pPr>
            <w:r>
              <w:t>Hana Bečková</w:t>
            </w:r>
            <w:r w:rsidR="00877D93" w:rsidRPr="00F31BB7">
              <w:t xml:space="preserve">, </w:t>
            </w:r>
            <w:r>
              <w:t>prokurista</w:t>
            </w:r>
          </w:p>
        </w:tc>
      </w:tr>
      <w:tr w:rsidR="00F81457" w:rsidRPr="00F31BB7" w:rsidTr="00E1693C">
        <w:trPr>
          <w:trHeight w:val="285"/>
        </w:trPr>
        <w:tc>
          <w:tcPr>
            <w:tcW w:w="4890" w:type="dxa"/>
          </w:tcPr>
          <w:p w:rsidR="00F81457" w:rsidRPr="00F31BB7" w:rsidRDefault="00F81457">
            <w:pPr>
              <w:spacing w:after="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91" w:type="dxa"/>
          </w:tcPr>
          <w:p w:rsidR="00F81457" w:rsidRPr="00F31BB7" w:rsidRDefault="00F81457" w:rsidP="00877D93">
            <w:pPr>
              <w:spacing w:after="0"/>
              <w:jc w:val="center"/>
              <w:rPr>
                <w:rFonts w:ascii="Calibri" w:hAnsi="Calibri"/>
                <w:sz w:val="20"/>
              </w:rPr>
            </w:pPr>
          </w:p>
        </w:tc>
      </w:tr>
    </w:tbl>
    <w:p w:rsidR="009F1489" w:rsidRPr="006D420A" w:rsidRDefault="009F1489" w:rsidP="00B6310A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sectPr w:rsidR="009F1489" w:rsidRPr="006D420A" w:rsidSect="00BC37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69" w:rsidRDefault="00690969" w:rsidP="009C4AD3">
      <w:pPr>
        <w:spacing w:after="0" w:line="240" w:lineRule="auto"/>
      </w:pPr>
      <w:r>
        <w:separator/>
      </w:r>
    </w:p>
  </w:endnote>
  <w:endnote w:type="continuationSeparator" w:id="0">
    <w:p w:rsidR="00690969" w:rsidRDefault="00690969" w:rsidP="009C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7824"/>
      <w:docPartObj>
        <w:docPartGallery w:val="Page Numbers (Bottom of Page)"/>
        <w:docPartUnique/>
      </w:docPartObj>
    </w:sdtPr>
    <w:sdtEndPr/>
    <w:sdtContent>
      <w:p w:rsidR="0037489E" w:rsidRDefault="00374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07C">
          <w:rPr>
            <w:noProof/>
          </w:rPr>
          <w:t>2</w:t>
        </w:r>
        <w:r>
          <w:fldChar w:fldCharType="end"/>
        </w:r>
      </w:p>
    </w:sdtContent>
  </w:sdt>
  <w:p w:rsidR="0037489E" w:rsidRDefault="0037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69" w:rsidRDefault="00690969" w:rsidP="009C4AD3">
      <w:pPr>
        <w:spacing w:after="0" w:line="240" w:lineRule="auto"/>
      </w:pPr>
      <w:r>
        <w:separator/>
      </w:r>
    </w:p>
  </w:footnote>
  <w:footnote w:type="continuationSeparator" w:id="0">
    <w:p w:rsidR="00690969" w:rsidRDefault="00690969" w:rsidP="009C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2492E"/>
    <w:multiLevelType w:val="hybridMultilevel"/>
    <w:tmpl w:val="78061C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0A6FA2"/>
    <w:multiLevelType w:val="hybridMultilevel"/>
    <w:tmpl w:val="998AE13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E05768"/>
    <w:multiLevelType w:val="hybridMultilevel"/>
    <w:tmpl w:val="6F6AC322"/>
    <w:lvl w:ilvl="0" w:tplc="DE76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0D1A"/>
    <w:multiLevelType w:val="hybridMultilevel"/>
    <w:tmpl w:val="0A7C7E2C"/>
    <w:lvl w:ilvl="0" w:tplc="7BF4BBDA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42254"/>
    <w:multiLevelType w:val="hybridMultilevel"/>
    <w:tmpl w:val="DA2C6F62"/>
    <w:lvl w:ilvl="0" w:tplc="49D041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269C"/>
    <w:multiLevelType w:val="hybridMultilevel"/>
    <w:tmpl w:val="EEC22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1FAE"/>
    <w:multiLevelType w:val="hybridMultilevel"/>
    <w:tmpl w:val="03C85882"/>
    <w:lvl w:ilvl="0" w:tplc="86B2F67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261A7F"/>
    <w:multiLevelType w:val="multilevel"/>
    <w:tmpl w:val="A18A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840E4B"/>
    <w:multiLevelType w:val="multilevel"/>
    <w:tmpl w:val="36ACE0E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5A2A56"/>
    <w:multiLevelType w:val="hybridMultilevel"/>
    <w:tmpl w:val="0BD2ED76"/>
    <w:lvl w:ilvl="0" w:tplc="23A61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712E8"/>
    <w:multiLevelType w:val="hybridMultilevel"/>
    <w:tmpl w:val="DF402068"/>
    <w:lvl w:ilvl="0" w:tplc="A2C4E5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83D82"/>
    <w:multiLevelType w:val="hybridMultilevel"/>
    <w:tmpl w:val="2500D4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5366B"/>
    <w:multiLevelType w:val="multilevel"/>
    <w:tmpl w:val="B1E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E385B"/>
    <w:multiLevelType w:val="hybridMultilevel"/>
    <w:tmpl w:val="84C632FA"/>
    <w:lvl w:ilvl="0" w:tplc="17AC890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060C1E"/>
    <w:multiLevelType w:val="multilevel"/>
    <w:tmpl w:val="374A88C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cap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504"/>
        </w:tabs>
        <w:ind w:left="1504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2C1342"/>
    <w:multiLevelType w:val="hybridMultilevel"/>
    <w:tmpl w:val="0CE874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777BBE"/>
    <w:multiLevelType w:val="multilevel"/>
    <w:tmpl w:val="09487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7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22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24"/>
  </w:num>
  <w:num w:numId="16">
    <w:abstractNumId w:val="13"/>
  </w:num>
  <w:num w:numId="17">
    <w:abstractNumId w:val="25"/>
  </w:num>
  <w:num w:numId="18">
    <w:abstractNumId w:val="2"/>
  </w:num>
  <w:num w:numId="19">
    <w:abstractNumId w:val="17"/>
  </w:num>
  <w:num w:numId="20">
    <w:abstractNumId w:val="14"/>
  </w:num>
  <w:num w:numId="21">
    <w:abstractNumId w:val="23"/>
  </w:num>
  <w:num w:numId="22">
    <w:abstractNumId w:val="15"/>
  </w:num>
  <w:num w:numId="23">
    <w:abstractNumId w:val="4"/>
  </w:num>
  <w:num w:numId="24">
    <w:abstractNumId w:val="26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1"/>
  </w:num>
  <w:num w:numId="30">
    <w:abstractNumId w:val="24"/>
  </w:num>
  <w:num w:numId="31">
    <w:abstractNumId w:val="10"/>
  </w:num>
  <w:num w:numId="32">
    <w:abstractNumId w:val="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3"/>
    <w:rsid w:val="000128DA"/>
    <w:rsid w:val="000466E6"/>
    <w:rsid w:val="00081250"/>
    <w:rsid w:val="00084F0B"/>
    <w:rsid w:val="000C78A7"/>
    <w:rsid w:val="000D24BC"/>
    <w:rsid w:val="000F5E4B"/>
    <w:rsid w:val="00122B2A"/>
    <w:rsid w:val="00130128"/>
    <w:rsid w:val="00130EA5"/>
    <w:rsid w:val="00137F8D"/>
    <w:rsid w:val="00143039"/>
    <w:rsid w:val="00154506"/>
    <w:rsid w:val="00156208"/>
    <w:rsid w:val="00166408"/>
    <w:rsid w:val="00167620"/>
    <w:rsid w:val="00184D6B"/>
    <w:rsid w:val="001A5C2C"/>
    <w:rsid w:val="001B2B18"/>
    <w:rsid w:val="001C4719"/>
    <w:rsid w:val="001C4A8A"/>
    <w:rsid w:val="001C5682"/>
    <w:rsid w:val="001D6901"/>
    <w:rsid w:val="001E2F2B"/>
    <w:rsid w:val="001F187C"/>
    <w:rsid w:val="00206E42"/>
    <w:rsid w:val="002134C8"/>
    <w:rsid w:val="002167E4"/>
    <w:rsid w:val="002255AA"/>
    <w:rsid w:val="002272CD"/>
    <w:rsid w:val="002358D1"/>
    <w:rsid w:val="00246D30"/>
    <w:rsid w:val="00251435"/>
    <w:rsid w:val="00251B58"/>
    <w:rsid w:val="002644FA"/>
    <w:rsid w:val="00265018"/>
    <w:rsid w:val="00270490"/>
    <w:rsid w:val="002A2323"/>
    <w:rsid w:val="002A6BBD"/>
    <w:rsid w:val="002B43BC"/>
    <w:rsid w:val="002D622B"/>
    <w:rsid w:val="002F6628"/>
    <w:rsid w:val="0030356D"/>
    <w:rsid w:val="00305AA6"/>
    <w:rsid w:val="00310585"/>
    <w:rsid w:val="00311548"/>
    <w:rsid w:val="00334743"/>
    <w:rsid w:val="00335976"/>
    <w:rsid w:val="00346765"/>
    <w:rsid w:val="00373589"/>
    <w:rsid w:val="0037489E"/>
    <w:rsid w:val="0037614F"/>
    <w:rsid w:val="003773A1"/>
    <w:rsid w:val="003869C6"/>
    <w:rsid w:val="00390734"/>
    <w:rsid w:val="003C3336"/>
    <w:rsid w:val="003C566F"/>
    <w:rsid w:val="003D4E1C"/>
    <w:rsid w:val="003D5F99"/>
    <w:rsid w:val="003E0DB1"/>
    <w:rsid w:val="003E725E"/>
    <w:rsid w:val="003F597A"/>
    <w:rsid w:val="003F7079"/>
    <w:rsid w:val="00401CE4"/>
    <w:rsid w:val="004256EE"/>
    <w:rsid w:val="00427F34"/>
    <w:rsid w:val="0047367E"/>
    <w:rsid w:val="00477AA4"/>
    <w:rsid w:val="00486BA7"/>
    <w:rsid w:val="004958AA"/>
    <w:rsid w:val="004B505E"/>
    <w:rsid w:val="004B6FBB"/>
    <w:rsid w:val="004B7B49"/>
    <w:rsid w:val="004F722F"/>
    <w:rsid w:val="00500D6B"/>
    <w:rsid w:val="00506F0A"/>
    <w:rsid w:val="00506F27"/>
    <w:rsid w:val="00511EE0"/>
    <w:rsid w:val="00531E14"/>
    <w:rsid w:val="0053713E"/>
    <w:rsid w:val="005460DE"/>
    <w:rsid w:val="00555771"/>
    <w:rsid w:val="00563773"/>
    <w:rsid w:val="005776AD"/>
    <w:rsid w:val="00583E2A"/>
    <w:rsid w:val="005A74E5"/>
    <w:rsid w:val="005A7CC5"/>
    <w:rsid w:val="005B1FF0"/>
    <w:rsid w:val="005C5F0F"/>
    <w:rsid w:val="005D3480"/>
    <w:rsid w:val="005F076A"/>
    <w:rsid w:val="005F1436"/>
    <w:rsid w:val="00600F36"/>
    <w:rsid w:val="00610CD5"/>
    <w:rsid w:val="00613312"/>
    <w:rsid w:val="006160D1"/>
    <w:rsid w:val="00623CD2"/>
    <w:rsid w:val="00681AC4"/>
    <w:rsid w:val="00690969"/>
    <w:rsid w:val="006A52EE"/>
    <w:rsid w:val="006B1A04"/>
    <w:rsid w:val="006B3BB8"/>
    <w:rsid w:val="006B3E5C"/>
    <w:rsid w:val="006B7842"/>
    <w:rsid w:val="006C7083"/>
    <w:rsid w:val="006D1990"/>
    <w:rsid w:val="006D2577"/>
    <w:rsid w:val="006D33FE"/>
    <w:rsid w:val="006D3F95"/>
    <w:rsid w:val="006D420A"/>
    <w:rsid w:val="006D7649"/>
    <w:rsid w:val="006F4FF4"/>
    <w:rsid w:val="00700F45"/>
    <w:rsid w:val="0071354E"/>
    <w:rsid w:val="0072403A"/>
    <w:rsid w:val="007273C1"/>
    <w:rsid w:val="0073361B"/>
    <w:rsid w:val="00735B54"/>
    <w:rsid w:val="0075382F"/>
    <w:rsid w:val="00765666"/>
    <w:rsid w:val="0078145C"/>
    <w:rsid w:val="00790123"/>
    <w:rsid w:val="00791251"/>
    <w:rsid w:val="007A022F"/>
    <w:rsid w:val="007A7357"/>
    <w:rsid w:val="007A74D8"/>
    <w:rsid w:val="007B5AB8"/>
    <w:rsid w:val="007B6EB4"/>
    <w:rsid w:val="007D6F29"/>
    <w:rsid w:val="007E0F2E"/>
    <w:rsid w:val="007E32F3"/>
    <w:rsid w:val="00801111"/>
    <w:rsid w:val="008022FA"/>
    <w:rsid w:val="00831363"/>
    <w:rsid w:val="00853AF3"/>
    <w:rsid w:val="008614ED"/>
    <w:rsid w:val="0086725F"/>
    <w:rsid w:val="0087545D"/>
    <w:rsid w:val="008775E8"/>
    <w:rsid w:val="00877D93"/>
    <w:rsid w:val="00893F39"/>
    <w:rsid w:val="00896491"/>
    <w:rsid w:val="00897ED0"/>
    <w:rsid w:val="008A677C"/>
    <w:rsid w:val="008B4DFD"/>
    <w:rsid w:val="008E2A1F"/>
    <w:rsid w:val="008E6715"/>
    <w:rsid w:val="008F18CF"/>
    <w:rsid w:val="008F283F"/>
    <w:rsid w:val="009055BA"/>
    <w:rsid w:val="0090565A"/>
    <w:rsid w:val="00944969"/>
    <w:rsid w:val="009775E5"/>
    <w:rsid w:val="00980197"/>
    <w:rsid w:val="00985A1E"/>
    <w:rsid w:val="00995B82"/>
    <w:rsid w:val="009A17E6"/>
    <w:rsid w:val="009C0B80"/>
    <w:rsid w:val="009C4AD3"/>
    <w:rsid w:val="009D2561"/>
    <w:rsid w:val="009E0387"/>
    <w:rsid w:val="009E2AD3"/>
    <w:rsid w:val="009E3473"/>
    <w:rsid w:val="009E61C6"/>
    <w:rsid w:val="009F1489"/>
    <w:rsid w:val="00A005C1"/>
    <w:rsid w:val="00A02AED"/>
    <w:rsid w:val="00A10F73"/>
    <w:rsid w:val="00A26808"/>
    <w:rsid w:val="00A37B1D"/>
    <w:rsid w:val="00A4301F"/>
    <w:rsid w:val="00A5235D"/>
    <w:rsid w:val="00AB2B8A"/>
    <w:rsid w:val="00AB6D31"/>
    <w:rsid w:val="00AD37C7"/>
    <w:rsid w:val="00AE4BEB"/>
    <w:rsid w:val="00B02408"/>
    <w:rsid w:val="00B1615F"/>
    <w:rsid w:val="00B23444"/>
    <w:rsid w:val="00B5270D"/>
    <w:rsid w:val="00B54557"/>
    <w:rsid w:val="00B6310A"/>
    <w:rsid w:val="00B73270"/>
    <w:rsid w:val="00B7655E"/>
    <w:rsid w:val="00B82028"/>
    <w:rsid w:val="00B8380E"/>
    <w:rsid w:val="00BA1CA2"/>
    <w:rsid w:val="00BA5F17"/>
    <w:rsid w:val="00BB607D"/>
    <w:rsid w:val="00BC37FF"/>
    <w:rsid w:val="00BD2622"/>
    <w:rsid w:val="00BE5838"/>
    <w:rsid w:val="00BF159F"/>
    <w:rsid w:val="00BF40AE"/>
    <w:rsid w:val="00C1023C"/>
    <w:rsid w:val="00C179DD"/>
    <w:rsid w:val="00C263E9"/>
    <w:rsid w:val="00C32584"/>
    <w:rsid w:val="00C77F9B"/>
    <w:rsid w:val="00C84F2D"/>
    <w:rsid w:val="00C8770F"/>
    <w:rsid w:val="00CC7EC6"/>
    <w:rsid w:val="00CD410C"/>
    <w:rsid w:val="00CF2226"/>
    <w:rsid w:val="00D10A62"/>
    <w:rsid w:val="00D147F0"/>
    <w:rsid w:val="00D30ADB"/>
    <w:rsid w:val="00D37577"/>
    <w:rsid w:val="00D54A24"/>
    <w:rsid w:val="00D61720"/>
    <w:rsid w:val="00D85ABA"/>
    <w:rsid w:val="00D9330A"/>
    <w:rsid w:val="00D968E0"/>
    <w:rsid w:val="00DA683B"/>
    <w:rsid w:val="00DC71E6"/>
    <w:rsid w:val="00DC7F31"/>
    <w:rsid w:val="00DE0C31"/>
    <w:rsid w:val="00E02562"/>
    <w:rsid w:val="00E205F8"/>
    <w:rsid w:val="00E2369A"/>
    <w:rsid w:val="00E349DB"/>
    <w:rsid w:val="00E43296"/>
    <w:rsid w:val="00E43326"/>
    <w:rsid w:val="00E47678"/>
    <w:rsid w:val="00E72F3C"/>
    <w:rsid w:val="00E8072D"/>
    <w:rsid w:val="00E96A95"/>
    <w:rsid w:val="00E96F31"/>
    <w:rsid w:val="00EC1F0E"/>
    <w:rsid w:val="00EE05A7"/>
    <w:rsid w:val="00EE4380"/>
    <w:rsid w:val="00EE5D71"/>
    <w:rsid w:val="00F00961"/>
    <w:rsid w:val="00F01FDC"/>
    <w:rsid w:val="00F05446"/>
    <w:rsid w:val="00F05707"/>
    <w:rsid w:val="00F31BB7"/>
    <w:rsid w:val="00F3407C"/>
    <w:rsid w:val="00F370EB"/>
    <w:rsid w:val="00F5280F"/>
    <w:rsid w:val="00F7656C"/>
    <w:rsid w:val="00F81457"/>
    <w:rsid w:val="00F94899"/>
    <w:rsid w:val="00F948C1"/>
    <w:rsid w:val="00F94CEE"/>
    <w:rsid w:val="00F975CE"/>
    <w:rsid w:val="00FB58A4"/>
    <w:rsid w:val="00FB5E4D"/>
    <w:rsid w:val="00FC0852"/>
    <w:rsid w:val="00FC40E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BFDB8"/>
  <w15:docId w15:val="{3D079352-03BF-49F6-AA3F-DA14D63F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71354E"/>
    <w:pPr>
      <w:keepNext/>
      <w:numPr>
        <w:numId w:val="15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71354E"/>
    <w:pPr>
      <w:numPr>
        <w:ilvl w:val="1"/>
        <w:numId w:val="15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71354E"/>
    <w:pPr>
      <w:numPr>
        <w:ilvl w:val="2"/>
        <w:numId w:val="1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71354E"/>
    <w:pPr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71354E"/>
    <w:pPr>
      <w:numPr>
        <w:ilvl w:val="5"/>
        <w:numId w:val="15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71354E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1354E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1354E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A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A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4AD3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9C4AD3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4AD3"/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data1">
    <w:name w:val="data1"/>
    <w:basedOn w:val="Standardnpsmoodstavce"/>
    <w:rsid w:val="009C4AD3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4A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AD3"/>
  </w:style>
  <w:style w:type="character" w:styleId="Odkaznakoment">
    <w:name w:val="annotation reference"/>
    <w:basedOn w:val="Standardnpsmoodstavce"/>
    <w:uiPriority w:val="99"/>
    <w:semiHidden/>
    <w:unhideWhenUsed/>
    <w:rsid w:val="00753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8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8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89E"/>
  </w:style>
  <w:style w:type="paragraph" w:styleId="Zpat">
    <w:name w:val="footer"/>
    <w:basedOn w:val="Normln"/>
    <w:link w:val="Zpat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89E"/>
  </w:style>
  <w:style w:type="paragraph" w:styleId="Odstavecseseznamem">
    <w:name w:val="List Paragraph"/>
    <w:basedOn w:val="Normln"/>
    <w:uiPriority w:val="34"/>
    <w:qFormat/>
    <w:rsid w:val="00D933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143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1354E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71354E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71354E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71354E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F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D6901"/>
  </w:style>
  <w:style w:type="paragraph" w:styleId="Bezmezer">
    <w:name w:val="No Spacing"/>
    <w:aliases w:val="Text do tabulky"/>
    <w:link w:val="BezmezerChar"/>
    <w:uiPriority w:val="1"/>
    <w:qFormat/>
    <w:rsid w:val="001D6901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customStyle="1" w:styleId="BezmezerChar">
    <w:name w:val="Bez mezer Char"/>
    <w:aliases w:val="Text do tabulky Char"/>
    <w:basedOn w:val="Standardnpsmoodstavce"/>
    <w:link w:val="Bezmezer"/>
    <w:uiPriority w:val="1"/>
    <w:rsid w:val="001D6901"/>
    <w:rPr>
      <w:rFonts w:ascii="Times New Roman" w:eastAsiaTheme="minorEastAsia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thics@suez-env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0733-5AF3-4697-9AEA-1EB020F7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11784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Duchan</dc:creator>
  <cp:lastModifiedBy>Lucie Steklá</cp:lastModifiedBy>
  <cp:revision>2</cp:revision>
  <cp:lastPrinted>2017-08-30T13:05:00Z</cp:lastPrinted>
  <dcterms:created xsi:type="dcterms:W3CDTF">2022-07-26T08:45:00Z</dcterms:created>
  <dcterms:modified xsi:type="dcterms:W3CDTF">2022-07-26T08:45:00Z</dcterms:modified>
</cp:coreProperties>
</file>