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600F5" w14:textId="77777777" w:rsidR="0061620A" w:rsidRDefault="0061620A" w:rsidP="0061620A">
      <w:pPr>
        <w:keepNext/>
        <w:jc w:val="center"/>
        <w:outlineLvl w:val="0"/>
        <w:rPr>
          <w:rFonts w:ascii="Arial" w:hAnsi="Arial" w:cs="Arial"/>
          <w:b/>
          <w:color w:val="980098"/>
          <w:sz w:val="28"/>
          <w:szCs w:val="28"/>
        </w:rPr>
      </w:pPr>
      <w:bookmarkStart w:id="0" w:name="_GoBack"/>
      <w:bookmarkEnd w:id="0"/>
    </w:p>
    <w:p w14:paraId="416F7711" w14:textId="77777777" w:rsidR="0061620A" w:rsidRDefault="0061620A" w:rsidP="0061620A">
      <w:pPr>
        <w:keepNext/>
        <w:jc w:val="center"/>
        <w:outlineLvl w:val="0"/>
        <w:rPr>
          <w:rFonts w:ascii="Arial" w:hAnsi="Arial" w:cs="Arial"/>
          <w:b/>
          <w:color w:val="980098"/>
          <w:sz w:val="28"/>
          <w:szCs w:val="28"/>
        </w:rPr>
      </w:pPr>
    </w:p>
    <w:p w14:paraId="6C37ACA0" w14:textId="77777777" w:rsidR="0061620A" w:rsidRPr="0094443B" w:rsidRDefault="0061620A" w:rsidP="0061620A">
      <w:pPr>
        <w:keepNext/>
        <w:jc w:val="center"/>
        <w:outlineLvl w:val="0"/>
        <w:rPr>
          <w:rFonts w:ascii="Arial" w:hAnsi="Arial" w:cs="Arial"/>
          <w:color w:val="980098"/>
          <w:sz w:val="28"/>
          <w:szCs w:val="28"/>
        </w:rPr>
      </w:pPr>
      <w:r w:rsidRPr="0094443B">
        <w:rPr>
          <w:rFonts w:ascii="Arial" w:hAnsi="Arial" w:cs="Arial"/>
          <w:b/>
          <w:color w:val="980098"/>
          <w:sz w:val="28"/>
          <w:szCs w:val="28"/>
        </w:rPr>
        <w:t>KUPNÍ SMLOUVA</w:t>
      </w:r>
    </w:p>
    <w:p w14:paraId="2EE67415"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5A000A24"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4E91EFFA" w14:textId="77777777" w:rsidR="0061620A" w:rsidRPr="0094443B" w:rsidRDefault="0061620A" w:rsidP="0061620A">
      <w:pPr>
        <w:rPr>
          <w:rFonts w:ascii="Arial" w:hAnsi="Arial" w:cs="Arial"/>
          <w:sz w:val="20"/>
          <w:szCs w:val="20"/>
        </w:rPr>
      </w:pPr>
    </w:p>
    <w:p w14:paraId="4FB02F0C"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3509C869" w14:textId="6662D33A" w:rsidR="0061620A" w:rsidRPr="007C33D1" w:rsidRDefault="0061620A" w:rsidP="0061620A">
      <w:pPr>
        <w:jc w:val="both"/>
        <w:rPr>
          <w:rFonts w:ascii="Arial" w:hAnsi="Arial" w:cs="Arial"/>
          <w:sz w:val="20"/>
          <w:szCs w:val="20"/>
        </w:rPr>
      </w:pPr>
      <w:r w:rsidRPr="007C33D1">
        <w:rPr>
          <w:rFonts w:ascii="Arial" w:hAnsi="Arial" w:cs="Arial"/>
          <w:b/>
          <w:sz w:val="20"/>
          <w:szCs w:val="20"/>
        </w:rPr>
        <w:t>Společnost</w:t>
      </w:r>
      <w:r w:rsidRPr="007C33D1">
        <w:rPr>
          <w:rFonts w:ascii="Arial" w:hAnsi="Arial" w:cs="Arial"/>
          <w:sz w:val="20"/>
          <w:szCs w:val="20"/>
        </w:rPr>
        <w:t>:</w:t>
      </w:r>
      <w:r w:rsidRPr="007C33D1">
        <w:rPr>
          <w:rFonts w:ascii="Arial" w:hAnsi="Arial" w:cs="Arial"/>
          <w:sz w:val="20"/>
          <w:szCs w:val="20"/>
        </w:rPr>
        <w:tab/>
      </w:r>
      <w:r w:rsidR="007C33D1">
        <w:rPr>
          <w:rFonts w:ascii="Arial" w:hAnsi="Arial" w:cs="Arial"/>
          <w:sz w:val="20"/>
          <w:szCs w:val="20"/>
        </w:rPr>
        <w:tab/>
      </w:r>
      <w:r w:rsidR="007C33D1" w:rsidRPr="007C33D1">
        <w:rPr>
          <w:rFonts w:ascii="Arial" w:hAnsi="Arial" w:cs="Arial"/>
          <w:b/>
          <w:bCs/>
          <w:sz w:val="20"/>
          <w:szCs w:val="20"/>
        </w:rPr>
        <w:t>HPST, s.r.o.</w:t>
      </w:r>
    </w:p>
    <w:p w14:paraId="535A30F2" w14:textId="784E45D6" w:rsidR="0061620A" w:rsidRPr="007C33D1" w:rsidRDefault="0061620A" w:rsidP="0061620A">
      <w:pPr>
        <w:jc w:val="both"/>
        <w:rPr>
          <w:rFonts w:ascii="Arial" w:hAnsi="Arial" w:cs="Arial"/>
          <w:i/>
          <w:iCs/>
          <w:sz w:val="20"/>
          <w:szCs w:val="20"/>
        </w:rPr>
      </w:pPr>
      <w:r w:rsidRPr="007C33D1">
        <w:rPr>
          <w:rFonts w:ascii="Arial" w:hAnsi="Arial" w:cs="Arial"/>
          <w:b/>
          <w:sz w:val="20"/>
          <w:szCs w:val="20"/>
        </w:rPr>
        <w:t>Sídlo</w:t>
      </w:r>
      <w:r w:rsidRPr="007C33D1">
        <w:rPr>
          <w:rFonts w:ascii="Arial" w:hAnsi="Arial" w:cs="Arial"/>
          <w:sz w:val="20"/>
          <w:szCs w:val="20"/>
        </w:rPr>
        <w:t>:</w:t>
      </w:r>
      <w:r w:rsidRPr="007C33D1">
        <w:rPr>
          <w:rFonts w:ascii="Arial" w:hAnsi="Arial" w:cs="Arial"/>
          <w:sz w:val="20"/>
          <w:szCs w:val="20"/>
        </w:rPr>
        <w:tab/>
      </w:r>
      <w:r w:rsidRPr="007C33D1">
        <w:rPr>
          <w:rFonts w:ascii="Arial" w:hAnsi="Arial" w:cs="Arial"/>
          <w:sz w:val="20"/>
          <w:szCs w:val="20"/>
        </w:rPr>
        <w:tab/>
      </w:r>
      <w:r w:rsidR="007C33D1">
        <w:rPr>
          <w:rFonts w:ascii="Arial" w:hAnsi="Arial" w:cs="Arial"/>
          <w:sz w:val="20"/>
          <w:szCs w:val="20"/>
        </w:rPr>
        <w:tab/>
      </w:r>
      <w:r w:rsidR="007C33D1" w:rsidRPr="007C33D1">
        <w:rPr>
          <w:rFonts w:ascii="Arial" w:hAnsi="Arial" w:cs="Arial"/>
          <w:sz w:val="20"/>
          <w:szCs w:val="20"/>
        </w:rPr>
        <w:t>Na Jetelce 69/2, 190 00 Praha 9</w:t>
      </w:r>
    </w:p>
    <w:p w14:paraId="461494B9" w14:textId="684D34B7" w:rsidR="0061620A" w:rsidRPr="007C33D1" w:rsidRDefault="0061620A" w:rsidP="0061620A">
      <w:pPr>
        <w:jc w:val="both"/>
        <w:rPr>
          <w:rFonts w:ascii="Arial" w:hAnsi="Arial" w:cs="Arial"/>
          <w:sz w:val="20"/>
          <w:szCs w:val="20"/>
        </w:rPr>
      </w:pPr>
      <w:r w:rsidRPr="007C33D1">
        <w:rPr>
          <w:rFonts w:ascii="Arial" w:hAnsi="Arial" w:cs="Arial"/>
          <w:b/>
          <w:sz w:val="20"/>
          <w:szCs w:val="20"/>
        </w:rPr>
        <w:t>IČ</w:t>
      </w:r>
      <w:r w:rsidRPr="007C33D1">
        <w:rPr>
          <w:rFonts w:ascii="Arial" w:hAnsi="Arial" w:cs="Arial"/>
          <w:sz w:val="20"/>
          <w:szCs w:val="20"/>
        </w:rPr>
        <w:t>:</w:t>
      </w:r>
      <w:r w:rsidRPr="007C33D1">
        <w:rPr>
          <w:rFonts w:ascii="Arial" w:hAnsi="Arial" w:cs="Arial"/>
          <w:sz w:val="20"/>
          <w:szCs w:val="20"/>
        </w:rPr>
        <w:tab/>
      </w:r>
      <w:r w:rsidRPr="007C33D1">
        <w:rPr>
          <w:rFonts w:ascii="Arial" w:hAnsi="Arial" w:cs="Arial"/>
          <w:sz w:val="20"/>
          <w:szCs w:val="20"/>
        </w:rPr>
        <w:tab/>
      </w:r>
      <w:r w:rsidR="007C33D1">
        <w:rPr>
          <w:rFonts w:ascii="Arial" w:hAnsi="Arial" w:cs="Arial"/>
          <w:sz w:val="20"/>
          <w:szCs w:val="20"/>
        </w:rPr>
        <w:tab/>
      </w:r>
      <w:r w:rsidR="007C33D1" w:rsidRPr="007C33D1">
        <w:rPr>
          <w:rFonts w:ascii="Arial" w:hAnsi="Arial" w:cs="Arial"/>
          <w:sz w:val="20"/>
          <w:szCs w:val="20"/>
        </w:rPr>
        <w:t>25791079</w:t>
      </w:r>
    </w:p>
    <w:p w14:paraId="74EC3149" w14:textId="672BE674" w:rsidR="007C33D1" w:rsidRPr="007C33D1" w:rsidRDefault="007C33D1" w:rsidP="0061620A">
      <w:pPr>
        <w:jc w:val="both"/>
        <w:rPr>
          <w:rFonts w:ascii="Arial" w:hAnsi="Arial" w:cs="Arial"/>
          <w:sz w:val="20"/>
          <w:szCs w:val="20"/>
        </w:rPr>
      </w:pPr>
      <w:r w:rsidRPr="007C33D1">
        <w:rPr>
          <w:rFonts w:ascii="Arial" w:hAnsi="Arial" w:cs="Arial"/>
          <w:b/>
          <w:bCs/>
          <w:sz w:val="20"/>
          <w:szCs w:val="20"/>
        </w:rPr>
        <w:t>DIČ:</w:t>
      </w:r>
      <w:r w:rsidRPr="007C33D1">
        <w:rPr>
          <w:rFonts w:ascii="Arial" w:hAnsi="Arial" w:cs="Arial"/>
          <w:sz w:val="20"/>
          <w:szCs w:val="20"/>
        </w:rPr>
        <w:tab/>
      </w:r>
      <w:r w:rsidRPr="007C33D1">
        <w:rPr>
          <w:rFonts w:ascii="Arial" w:hAnsi="Arial" w:cs="Arial"/>
          <w:sz w:val="20"/>
          <w:szCs w:val="20"/>
        </w:rPr>
        <w:tab/>
      </w:r>
      <w:r w:rsidRPr="007C33D1">
        <w:rPr>
          <w:rFonts w:ascii="Arial" w:hAnsi="Arial" w:cs="Arial"/>
          <w:sz w:val="20"/>
          <w:szCs w:val="20"/>
        </w:rPr>
        <w:tab/>
        <w:t>CZ25791079</w:t>
      </w:r>
    </w:p>
    <w:p w14:paraId="1E9A4AC3" w14:textId="6513C8BB" w:rsidR="0061620A" w:rsidRPr="007C33D1" w:rsidRDefault="0061620A" w:rsidP="0061620A">
      <w:pPr>
        <w:jc w:val="both"/>
        <w:rPr>
          <w:rFonts w:ascii="Arial" w:hAnsi="Arial" w:cs="Arial"/>
          <w:sz w:val="20"/>
          <w:szCs w:val="20"/>
        </w:rPr>
      </w:pPr>
      <w:r w:rsidRPr="007C33D1">
        <w:rPr>
          <w:rFonts w:ascii="Arial" w:hAnsi="Arial" w:cs="Arial"/>
          <w:b/>
          <w:sz w:val="20"/>
          <w:szCs w:val="20"/>
        </w:rPr>
        <w:t>Zastoupená</w:t>
      </w:r>
      <w:r w:rsidRPr="007C33D1">
        <w:rPr>
          <w:rFonts w:ascii="Arial" w:hAnsi="Arial" w:cs="Arial"/>
          <w:sz w:val="20"/>
          <w:szCs w:val="20"/>
        </w:rPr>
        <w:t>:</w:t>
      </w:r>
      <w:r w:rsidRPr="007C33D1">
        <w:rPr>
          <w:rFonts w:ascii="Arial" w:hAnsi="Arial" w:cs="Arial"/>
          <w:sz w:val="20"/>
          <w:szCs w:val="20"/>
        </w:rPr>
        <w:tab/>
      </w:r>
      <w:r w:rsidR="007C33D1">
        <w:rPr>
          <w:rFonts w:ascii="Arial" w:hAnsi="Arial" w:cs="Arial"/>
          <w:sz w:val="20"/>
          <w:szCs w:val="20"/>
        </w:rPr>
        <w:tab/>
      </w:r>
      <w:r w:rsidR="007C33D1" w:rsidRPr="007C33D1">
        <w:rPr>
          <w:rFonts w:ascii="Arial" w:hAnsi="Arial" w:cs="Arial"/>
          <w:sz w:val="20"/>
          <w:szCs w:val="20"/>
        </w:rPr>
        <w:t>RNDr. Karlem Vranovským, CSc., jednatelem</w:t>
      </w:r>
    </w:p>
    <w:p w14:paraId="2032CE3E" w14:textId="43089329" w:rsidR="0061620A" w:rsidRPr="007C33D1" w:rsidRDefault="0061620A" w:rsidP="0061620A">
      <w:pPr>
        <w:jc w:val="both"/>
        <w:rPr>
          <w:rFonts w:ascii="Arial" w:hAnsi="Arial" w:cs="Arial"/>
          <w:sz w:val="20"/>
          <w:szCs w:val="20"/>
        </w:rPr>
      </w:pPr>
      <w:r w:rsidRPr="007C33D1">
        <w:rPr>
          <w:rFonts w:ascii="Arial" w:hAnsi="Arial" w:cs="Arial"/>
          <w:b/>
          <w:sz w:val="20"/>
          <w:szCs w:val="20"/>
        </w:rPr>
        <w:t>Bankovní spojení</w:t>
      </w:r>
      <w:r w:rsidRPr="007C33D1">
        <w:rPr>
          <w:rFonts w:ascii="Arial" w:hAnsi="Arial" w:cs="Arial"/>
          <w:sz w:val="20"/>
          <w:szCs w:val="20"/>
        </w:rPr>
        <w:t>:</w:t>
      </w:r>
      <w:r w:rsidR="007C33D1" w:rsidRPr="007C33D1">
        <w:rPr>
          <w:rFonts w:ascii="Arial" w:hAnsi="Arial" w:cs="Arial"/>
          <w:sz w:val="20"/>
          <w:szCs w:val="20"/>
        </w:rPr>
        <w:t xml:space="preserve"> </w:t>
      </w:r>
      <w:r w:rsidR="007C33D1">
        <w:rPr>
          <w:rFonts w:ascii="Arial" w:hAnsi="Arial" w:cs="Arial"/>
          <w:sz w:val="20"/>
          <w:szCs w:val="20"/>
        </w:rPr>
        <w:tab/>
      </w:r>
      <w:r w:rsidR="007C33D1" w:rsidRPr="007C33D1">
        <w:rPr>
          <w:rFonts w:ascii="Arial" w:hAnsi="Arial" w:cs="Arial"/>
          <w:sz w:val="20"/>
          <w:szCs w:val="20"/>
        </w:rPr>
        <w:t>Raiffeisen Bank, a.s.</w:t>
      </w:r>
    </w:p>
    <w:p w14:paraId="581EEB3A" w14:textId="3B0274F2" w:rsidR="0061620A" w:rsidRPr="0094443B" w:rsidRDefault="0061620A" w:rsidP="0061620A">
      <w:pPr>
        <w:jc w:val="both"/>
        <w:rPr>
          <w:rFonts w:ascii="Arial" w:hAnsi="Arial" w:cs="Arial"/>
          <w:sz w:val="20"/>
          <w:szCs w:val="20"/>
        </w:rPr>
      </w:pPr>
      <w:r w:rsidRPr="007C33D1">
        <w:rPr>
          <w:rFonts w:ascii="Arial" w:hAnsi="Arial" w:cs="Arial"/>
          <w:b/>
          <w:sz w:val="20"/>
          <w:szCs w:val="20"/>
        </w:rPr>
        <w:t>Číslo účtu</w:t>
      </w:r>
      <w:r w:rsidRPr="007C33D1">
        <w:rPr>
          <w:rFonts w:ascii="Arial" w:hAnsi="Arial" w:cs="Arial"/>
          <w:sz w:val="20"/>
          <w:szCs w:val="20"/>
        </w:rPr>
        <w:t>:</w:t>
      </w:r>
      <w:r w:rsidRPr="007C33D1">
        <w:rPr>
          <w:rFonts w:ascii="Arial" w:hAnsi="Arial" w:cs="Arial"/>
          <w:sz w:val="20"/>
          <w:szCs w:val="20"/>
        </w:rPr>
        <w:tab/>
      </w:r>
      <w:r w:rsidR="007C33D1">
        <w:rPr>
          <w:rFonts w:ascii="Arial" w:hAnsi="Arial" w:cs="Arial"/>
          <w:sz w:val="20"/>
          <w:szCs w:val="20"/>
        </w:rPr>
        <w:tab/>
      </w:r>
      <w:r w:rsidR="007C33D1" w:rsidRPr="007C33D1">
        <w:rPr>
          <w:rFonts w:ascii="Arial" w:hAnsi="Arial" w:cs="Arial"/>
          <w:sz w:val="20"/>
          <w:szCs w:val="20"/>
        </w:rPr>
        <w:t>16499002/5500</w:t>
      </w:r>
    </w:p>
    <w:p w14:paraId="3532ED95"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DD13AFA" w14:textId="77777777" w:rsidR="0061620A" w:rsidRPr="0094443B" w:rsidRDefault="0061620A" w:rsidP="0061620A">
      <w:pPr>
        <w:rPr>
          <w:rFonts w:ascii="Arial" w:hAnsi="Arial" w:cs="Arial"/>
          <w:sz w:val="20"/>
          <w:szCs w:val="20"/>
        </w:rPr>
      </w:pPr>
    </w:p>
    <w:p w14:paraId="5ED07E75"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7F902F3C" w14:textId="77777777" w:rsidR="0061620A" w:rsidRPr="0094443B" w:rsidRDefault="0061620A" w:rsidP="0061620A">
      <w:pPr>
        <w:numPr>
          <w:ilvl w:val="12"/>
          <w:numId w:val="0"/>
        </w:numPr>
        <w:jc w:val="both"/>
        <w:rPr>
          <w:rFonts w:ascii="Arial" w:hAnsi="Arial" w:cs="Arial"/>
          <w:sz w:val="20"/>
          <w:szCs w:val="20"/>
        </w:rPr>
      </w:pPr>
    </w:p>
    <w:p w14:paraId="5970FDBE"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5EC3400F"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37D57B8"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7A9AE044"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229A9A46"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201D35CA"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1BA54F5E"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2FE2797A"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1E5B1D3B" w14:textId="77777777" w:rsidR="0061620A" w:rsidRPr="0094443B" w:rsidRDefault="0061620A" w:rsidP="0061620A">
      <w:pPr>
        <w:rPr>
          <w:rFonts w:ascii="Arial" w:hAnsi="Arial" w:cs="Arial"/>
          <w:b/>
          <w:sz w:val="20"/>
          <w:szCs w:val="20"/>
        </w:rPr>
      </w:pPr>
    </w:p>
    <w:p w14:paraId="287D2718"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64518235"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25FD17D4"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7987DB0E" w14:textId="77777777" w:rsidR="0061620A" w:rsidRPr="0094443B" w:rsidRDefault="0061620A" w:rsidP="0061620A">
      <w:pPr>
        <w:rPr>
          <w:rFonts w:ascii="Arial" w:hAnsi="Arial" w:cs="Arial"/>
          <w:b/>
          <w:sz w:val="20"/>
          <w:szCs w:val="20"/>
        </w:rPr>
      </w:pPr>
    </w:p>
    <w:p w14:paraId="6BEBAD6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4B6767D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5907517C" w14:textId="77777777" w:rsidR="0061620A" w:rsidRPr="0094443B" w:rsidRDefault="0061620A" w:rsidP="0061620A">
      <w:pPr>
        <w:jc w:val="both"/>
        <w:rPr>
          <w:rFonts w:ascii="Arial" w:hAnsi="Arial" w:cs="Arial"/>
          <w:sz w:val="20"/>
          <w:szCs w:val="20"/>
        </w:rPr>
      </w:pPr>
    </w:p>
    <w:p w14:paraId="08CDEC99"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5EFA684C" w14:textId="77777777" w:rsidR="0061620A" w:rsidRPr="0094443B" w:rsidRDefault="0061620A" w:rsidP="0061620A">
      <w:pPr>
        <w:ind w:left="397"/>
        <w:jc w:val="both"/>
        <w:rPr>
          <w:rFonts w:ascii="Arial" w:hAnsi="Arial" w:cs="Arial"/>
          <w:sz w:val="20"/>
          <w:szCs w:val="20"/>
        </w:rPr>
      </w:pPr>
    </w:p>
    <w:p w14:paraId="478006B9" w14:textId="77777777"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Tandemový mikroreaktor - 2022/0069</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158EBC41" w14:textId="77777777" w:rsidR="0061620A" w:rsidRPr="0094443B" w:rsidRDefault="0061620A" w:rsidP="0061620A">
      <w:pPr>
        <w:keepNext/>
        <w:jc w:val="both"/>
        <w:outlineLvl w:val="1"/>
        <w:rPr>
          <w:rFonts w:ascii="Arial" w:hAnsi="Arial" w:cs="Arial"/>
          <w:bCs/>
          <w:sz w:val="20"/>
          <w:szCs w:val="20"/>
        </w:rPr>
      </w:pPr>
    </w:p>
    <w:p w14:paraId="1FD8C34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59C9824B" w14:textId="77777777" w:rsidR="0061620A" w:rsidRPr="0094443B" w:rsidRDefault="0061620A" w:rsidP="0061620A">
      <w:pPr>
        <w:ind w:left="708"/>
        <w:rPr>
          <w:rFonts w:ascii="Arial" w:hAnsi="Arial" w:cs="Arial"/>
        </w:rPr>
      </w:pPr>
    </w:p>
    <w:p w14:paraId="229853DC"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8D5E5E1" w14:textId="77777777" w:rsidR="0061620A" w:rsidRPr="0094443B" w:rsidRDefault="0061620A" w:rsidP="0061620A">
      <w:pPr>
        <w:ind w:left="397"/>
        <w:jc w:val="both"/>
        <w:rPr>
          <w:rFonts w:ascii="Arial" w:hAnsi="Arial" w:cs="Arial"/>
          <w:sz w:val="20"/>
          <w:szCs w:val="20"/>
        </w:rPr>
      </w:pPr>
    </w:p>
    <w:p w14:paraId="50E0C31A"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59A99888" w14:textId="77777777" w:rsidR="0061620A" w:rsidRPr="0094443B" w:rsidRDefault="0061620A" w:rsidP="0061620A">
      <w:pPr>
        <w:ind w:left="397"/>
        <w:jc w:val="both"/>
        <w:rPr>
          <w:rFonts w:ascii="Arial" w:hAnsi="Arial" w:cs="Arial"/>
          <w:sz w:val="20"/>
          <w:szCs w:val="20"/>
        </w:rPr>
      </w:pPr>
    </w:p>
    <w:p w14:paraId="5A4D7C4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69A6D9E8" w14:textId="77777777" w:rsidR="0061620A" w:rsidRPr="0094443B" w:rsidRDefault="0061620A" w:rsidP="0061620A">
      <w:pPr>
        <w:jc w:val="both"/>
        <w:rPr>
          <w:rFonts w:ascii="Arial" w:hAnsi="Arial" w:cs="Arial"/>
          <w:sz w:val="20"/>
          <w:szCs w:val="20"/>
        </w:rPr>
      </w:pPr>
    </w:p>
    <w:p w14:paraId="4102991C" w14:textId="77777777" w:rsidR="0061620A" w:rsidRPr="0094443B" w:rsidRDefault="0061620A" w:rsidP="0061620A">
      <w:pPr>
        <w:jc w:val="both"/>
        <w:rPr>
          <w:rFonts w:ascii="Arial" w:hAnsi="Arial" w:cs="Arial"/>
          <w:sz w:val="20"/>
          <w:szCs w:val="20"/>
        </w:rPr>
      </w:pPr>
    </w:p>
    <w:p w14:paraId="1BB89C5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145389C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63D98A02" w14:textId="77777777" w:rsidR="0061620A" w:rsidRPr="0094443B" w:rsidRDefault="0061620A" w:rsidP="0061620A">
      <w:pPr>
        <w:jc w:val="center"/>
        <w:rPr>
          <w:rFonts w:ascii="Arial" w:hAnsi="Arial" w:cs="Arial"/>
          <w:b/>
          <w:sz w:val="20"/>
          <w:szCs w:val="20"/>
        </w:rPr>
      </w:pPr>
    </w:p>
    <w:p w14:paraId="2B904C17" w14:textId="77777777"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14:paraId="59C3CE45" w14:textId="19E5FE79" w:rsidR="0061620A" w:rsidRPr="0094443B" w:rsidRDefault="0061620A" w:rsidP="0061620A">
      <w:pPr>
        <w:keepNext/>
        <w:spacing w:before="120"/>
        <w:ind w:firstLine="709"/>
        <w:jc w:val="both"/>
        <w:outlineLvl w:val="1"/>
        <w:rPr>
          <w:rFonts w:ascii="Arial" w:hAnsi="Arial" w:cs="Arial"/>
          <w:bCs/>
          <w:sz w:val="20"/>
          <w:szCs w:val="20"/>
        </w:rPr>
      </w:pPr>
      <w:r w:rsidRPr="0094443B">
        <w:rPr>
          <w:rFonts w:ascii="Arial" w:hAnsi="Arial" w:cs="Arial"/>
          <w:bCs/>
          <w:sz w:val="20"/>
          <w:szCs w:val="20"/>
        </w:rPr>
        <w:t>Cena bez DPH</w:t>
      </w:r>
      <w:r w:rsidRPr="0094443B">
        <w:rPr>
          <w:rFonts w:ascii="Arial" w:hAnsi="Arial" w:cs="Arial"/>
          <w:bCs/>
          <w:sz w:val="20"/>
          <w:szCs w:val="20"/>
        </w:rPr>
        <w:tab/>
        <w:t>celkem</w:t>
      </w:r>
      <w:r w:rsidRPr="0094443B">
        <w:rPr>
          <w:rFonts w:ascii="Arial" w:hAnsi="Arial" w:cs="Arial"/>
          <w:bCs/>
          <w:sz w:val="20"/>
          <w:szCs w:val="20"/>
        </w:rPr>
        <w:tab/>
      </w:r>
      <w:r w:rsidR="004578D2" w:rsidRPr="00050C7E">
        <w:rPr>
          <w:rFonts w:ascii="Arial" w:hAnsi="Arial" w:cs="Arial"/>
          <w:b/>
          <w:sz w:val="20"/>
          <w:szCs w:val="20"/>
        </w:rPr>
        <w:t>2 200 000,00</w:t>
      </w:r>
      <w:r w:rsidRPr="0094443B">
        <w:rPr>
          <w:rFonts w:ascii="Arial" w:hAnsi="Arial" w:cs="Arial"/>
          <w:bCs/>
          <w:sz w:val="20"/>
          <w:szCs w:val="20"/>
        </w:rPr>
        <w:t xml:space="preserve"> Kč </w:t>
      </w:r>
    </w:p>
    <w:p w14:paraId="47CD0495" w14:textId="76E1B9BA" w:rsidR="0061620A" w:rsidRPr="0094443B" w:rsidRDefault="0061620A" w:rsidP="0061620A">
      <w:pPr>
        <w:keepNext/>
        <w:ind w:firstLine="709"/>
        <w:jc w:val="both"/>
        <w:outlineLvl w:val="1"/>
        <w:rPr>
          <w:rFonts w:ascii="Arial" w:hAnsi="Arial" w:cs="Arial"/>
          <w:bCs/>
          <w:sz w:val="20"/>
          <w:szCs w:val="20"/>
        </w:rPr>
      </w:pPr>
      <w:r w:rsidRPr="0094443B">
        <w:rPr>
          <w:rFonts w:ascii="Arial" w:hAnsi="Arial" w:cs="Arial"/>
          <w:bCs/>
          <w:sz w:val="20"/>
          <w:szCs w:val="20"/>
        </w:rPr>
        <w:t xml:space="preserve">(slovy: </w:t>
      </w:r>
      <w:r w:rsidRPr="0094443B">
        <w:rPr>
          <w:rFonts w:ascii="Arial" w:hAnsi="Arial" w:cs="Arial"/>
          <w:bCs/>
          <w:sz w:val="20"/>
          <w:szCs w:val="20"/>
        </w:rPr>
        <w:tab/>
      </w:r>
      <w:r w:rsidR="004578D2">
        <w:rPr>
          <w:rFonts w:ascii="Arial" w:hAnsi="Arial" w:cs="Arial"/>
          <w:bCs/>
          <w:sz w:val="20"/>
          <w:szCs w:val="20"/>
        </w:rPr>
        <w:t xml:space="preserve">Dvamilionydvěstětisíc </w:t>
      </w:r>
      <w:r w:rsidRPr="0094443B">
        <w:rPr>
          <w:rFonts w:ascii="Arial" w:hAnsi="Arial" w:cs="Arial"/>
          <w:bCs/>
          <w:sz w:val="20"/>
          <w:szCs w:val="20"/>
        </w:rPr>
        <w:t>korunčeských)</w:t>
      </w:r>
    </w:p>
    <w:p w14:paraId="1F35A7F7" w14:textId="77777777" w:rsidR="0061620A" w:rsidRDefault="0061620A" w:rsidP="0061620A">
      <w:pPr>
        <w:rPr>
          <w:rFonts w:ascii="Arial" w:hAnsi="Arial" w:cs="Arial"/>
          <w:sz w:val="20"/>
          <w:szCs w:val="20"/>
        </w:rPr>
      </w:pPr>
    </w:p>
    <w:p w14:paraId="68796E6B" w14:textId="4CF9439E"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4578D2">
        <w:rPr>
          <w:rFonts w:ascii="Arial" w:hAnsi="Arial" w:cs="Arial"/>
          <w:sz w:val="20"/>
          <w:szCs w:val="20"/>
        </w:rPr>
        <w:t>462 000,00</w:t>
      </w:r>
      <w:r w:rsidRPr="005B5EA6">
        <w:rPr>
          <w:rFonts w:ascii="Arial" w:hAnsi="Arial" w:cs="Arial"/>
          <w:sz w:val="20"/>
          <w:szCs w:val="20"/>
        </w:rPr>
        <w:t xml:space="preserve"> Kč </w:t>
      </w:r>
    </w:p>
    <w:p w14:paraId="158DE7D9" w14:textId="3117BE06"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4578D2">
        <w:rPr>
          <w:rFonts w:ascii="Arial" w:hAnsi="Arial" w:cs="Arial"/>
          <w:sz w:val="20"/>
          <w:szCs w:val="20"/>
        </w:rPr>
        <w:t>Čtyřistašedesátdvatisíc</w:t>
      </w:r>
      <w:r w:rsidRPr="005B5EA6">
        <w:rPr>
          <w:rFonts w:ascii="Arial" w:hAnsi="Arial" w:cs="Arial"/>
          <w:sz w:val="20"/>
          <w:szCs w:val="20"/>
        </w:rPr>
        <w:t>.korunčeských</w:t>
      </w:r>
    </w:p>
    <w:p w14:paraId="000435AB" w14:textId="77777777" w:rsidR="005B5EA6" w:rsidRPr="0094443B" w:rsidRDefault="005B5EA6" w:rsidP="0061620A">
      <w:pPr>
        <w:rPr>
          <w:rFonts w:ascii="Arial" w:hAnsi="Arial" w:cs="Arial"/>
          <w:sz w:val="20"/>
          <w:szCs w:val="20"/>
        </w:rPr>
      </w:pPr>
    </w:p>
    <w:p w14:paraId="3C8B9FB0" w14:textId="1DAF4C91"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Cena vč. DPH</w:t>
      </w:r>
      <w:r w:rsidRPr="0094443B">
        <w:rPr>
          <w:rFonts w:ascii="Arial" w:hAnsi="Arial" w:cs="Arial"/>
          <w:bCs/>
          <w:sz w:val="20"/>
          <w:szCs w:val="20"/>
        </w:rPr>
        <w:tab/>
        <w:t>celkem</w:t>
      </w:r>
      <w:r w:rsidRPr="0094443B">
        <w:rPr>
          <w:rFonts w:ascii="Arial" w:hAnsi="Arial" w:cs="Arial"/>
          <w:bCs/>
          <w:sz w:val="20"/>
          <w:szCs w:val="20"/>
        </w:rPr>
        <w:tab/>
      </w:r>
      <w:r w:rsidR="004578D2" w:rsidRPr="00050C7E">
        <w:rPr>
          <w:rFonts w:ascii="Arial" w:hAnsi="Arial" w:cs="Arial"/>
          <w:b/>
          <w:sz w:val="20"/>
          <w:szCs w:val="20"/>
        </w:rPr>
        <w:t>2 662 000,00</w:t>
      </w:r>
      <w:r w:rsidR="004578D2">
        <w:rPr>
          <w:rFonts w:ascii="Arial" w:hAnsi="Arial" w:cs="Arial"/>
          <w:bCs/>
          <w:sz w:val="20"/>
          <w:szCs w:val="20"/>
        </w:rPr>
        <w:t xml:space="preserve"> </w:t>
      </w:r>
      <w:r w:rsidRPr="0094443B">
        <w:rPr>
          <w:rFonts w:ascii="Arial" w:hAnsi="Arial" w:cs="Arial"/>
          <w:bCs/>
          <w:sz w:val="20"/>
          <w:szCs w:val="20"/>
        </w:rPr>
        <w:t>Kč</w:t>
      </w:r>
      <w:r w:rsidRPr="0094443B">
        <w:rPr>
          <w:rFonts w:ascii="Arial" w:hAnsi="Arial" w:cs="Arial"/>
          <w:bCs/>
          <w:sz w:val="20"/>
          <w:szCs w:val="20"/>
        </w:rPr>
        <w:tab/>
      </w:r>
      <w:r w:rsidRPr="0094443B">
        <w:rPr>
          <w:rFonts w:ascii="Arial" w:hAnsi="Arial" w:cs="Arial"/>
          <w:bCs/>
          <w:sz w:val="20"/>
          <w:szCs w:val="20"/>
        </w:rPr>
        <w:tab/>
      </w:r>
    </w:p>
    <w:p w14:paraId="5379F01D" w14:textId="1164A23A"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 xml:space="preserve"> (slovy</w:t>
      </w:r>
      <w:r w:rsidRPr="004578D2">
        <w:rPr>
          <w:rFonts w:ascii="Arial" w:hAnsi="Arial" w:cs="Arial"/>
          <w:bCs/>
          <w:sz w:val="20"/>
          <w:szCs w:val="20"/>
        </w:rPr>
        <w:t>:</w:t>
      </w:r>
      <w:r w:rsidR="004578D2" w:rsidRPr="004578D2">
        <w:rPr>
          <w:rFonts w:ascii="Arial" w:hAnsi="Arial" w:cs="Arial"/>
          <w:bCs/>
          <w:sz w:val="20"/>
          <w:szCs w:val="20"/>
        </w:rPr>
        <w:t xml:space="preserve"> Dvamilionyšestsetšedesátdvatisíc korunčeských</w:t>
      </w:r>
      <w:r w:rsidRPr="004578D2">
        <w:rPr>
          <w:rFonts w:ascii="Arial" w:hAnsi="Arial" w:cs="Arial"/>
          <w:bCs/>
          <w:sz w:val="20"/>
          <w:szCs w:val="20"/>
        </w:rPr>
        <w:t>)</w:t>
      </w:r>
    </w:p>
    <w:p w14:paraId="07FD73B0" w14:textId="77777777" w:rsidR="0061620A" w:rsidRPr="0094443B" w:rsidRDefault="0061620A" w:rsidP="0061620A"/>
    <w:p w14:paraId="214BD0AD"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749136FD"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01F78651"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0FE89564" w14:textId="77777777" w:rsidR="0061620A" w:rsidRPr="0094443B" w:rsidRDefault="0061620A" w:rsidP="0061620A">
      <w:pPr>
        <w:jc w:val="both"/>
        <w:rPr>
          <w:rFonts w:ascii="Arial" w:hAnsi="Arial" w:cs="Arial"/>
          <w:sz w:val="20"/>
          <w:szCs w:val="20"/>
        </w:rPr>
      </w:pPr>
    </w:p>
    <w:p w14:paraId="68B7C723"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6D5F8831" w14:textId="77777777" w:rsidR="0061620A" w:rsidRPr="0094443B" w:rsidRDefault="0061620A" w:rsidP="0061620A">
      <w:pPr>
        <w:rPr>
          <w:sz w:val="20"/>
          <w:szCs w:val="20"/>
        </w:rPr>
      </w:pPr>
    </w:p>
    <w:p w14:paraId="04F8B105"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516622" w:rsidRPr="00F73338">
        <w:rPr>
          <w:rFonts w:ascii="Arial" w:hAnsi="Arial" w:cs="Arial"/>
          <w:b/>
          <w:sz w:val="20"/>
          <w:szCs w:val="20"/>
        </w:rPr>
        <w:t xml:space="preserve">„Univerzita 21. století – </w:t>
      </w:r>
      <w:r w:rsidR="00F73338" w:rsidRPr="00F73338">
        <w:rPr>
          <w:rFonts w:ascii="Arial" w:hAnsi="Arial" w:cs="Arial"/>
          <w:b/>
          <w:sz w:val="20"/>
          <w:szCs w:val="20"/>
        </w:rPr>
        <w:t>Kvalitní infrastruktura</w:t>
      </w:r>
      <w:r w:rsidR="00516622" w:rsidRPr="00F73338">
        <w:rPr>
          <w:rFonts w:ascii="Arial" w:hAnsi="Arial" w:cs="Arial"/>
          <w:b/>
          <w:sz w:val="20"/>
          <w:szCs w:val="20"/>
        </w:rPr>
        <w:t xml:space="preserve">“, reg. číslo </w:t>
      </w:r>
      <w:r w:rsidR="00516622" w:rsidRPr="00F73338">
        <w:rPr>
          <w:rFonts w:ascii="Arial" w:hAnsi="Arial" w:cs="Arial"/>
          <w:b/>
          <w:sz w:val="20"/>
          <w:szCs w:val="20"/>
        </w:rPr>
        <w:lastRenderedPageBreak/>
        <w:t>CZ.02.2.67/0.0/0.0/16_016/0002</w:t>
      </w:r>
      <w:r w:rsidR="00F73338" w:rsidRPr="00F73338">
        <w:rPr>
          <w:rFonts w:ascii="Arial" w:hAnsi="Arial" w:cs="Arial"/>
          <w:b/>
          <w:sz w:val="20"/>
          <w:szCs w:val="20"/>
        </w:rPr>
        <w:t>560</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53ABD1F9" w14:textId="77777777" w:rsidR="0061620A" w:rsidRPr="0094443B" w:rsidRDefault="0061620A" w:rsidP="0061620A">
      <w:pPr>
        <w:ind w:left="708"/>
        <w:rPr>
          <w:rFonts w:ascii="Arial" w:hAnsi="Arial" w:cs="Arial"/>
          <w:sz w:val="20"/>
          <w:szCs w:val="20"/>
        </w:rPr>
      </w:pPr>
    </w:p>
    <w:p w14:paraId="01A33067"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6C8484F4" w14:textId="77777777" w:rsidR="0061620A" w:rsidRPr="0094443B" w:rsidRDefault="0061620A" w:rsidP="0061620A">
      <w:pPr>
        <w:jc w:val="both"/>
        <w:rPr>
          <w:rFonts w:ascii="Arial" w:hAnsi="Arial" w:cs="Arial"/>
          <w:sz w:val="20"/>
          <w:szCs w:val="20"/>
        </w:rPr>
      </w:pPr>
    </w:p>
    <w:p w14:paraId="32ED84EC"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5D110F8C" w14:textId="77777777" w:rsidR="0061620A" w:rsidRPr="0094443B" w:rsidRDefault="0061620A" w:rsidP="0061620A">
      <w:pPr>
        <w:ind w:left="708"/>
        <w:rPr>
          <w:rFonts w:ascii="Arial" w:hAnsi="Arial" w:cs="Arial"/>
          <w:sz w:val="20"/>
          <w:szCs w:val="20"/>
        </w:rPr>
      </w:pPr>
    </w:p>
    <w:p w14:paraId="728E687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5C49972F" w14:textId="77777777" w:rsidR="0061620A" w:rsidRPr="0094443B" w:rsidRDefault="0061620A" w:rsidP="0061620A">
      <w:pPr>
        <w:ind w:left="708"/>
        <w:rPr>
          <w:rFonts w:ascii="Arial" w:eastAsia="Arial" w:hAnsi="Arial" w:cs="Arial"/>
          <w:sz w:val="20"/>
          <w:szCs w:val="20"/>
        </w:rPr>
      </w:pPr>
    </w:p>
    <w:p w14:paraId="0E39C1B7"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58C94293" w14:textId="77777777" w:rsidR="0061620A" w:rsidRPr="0094443B" w:rsidRDefault="0061620A" w:rsidP="0061620A">
      <w:pPr>
        <w:ind w:left="708"/>
        <w:rPr>
          <w:rFonts w:ascii="Arial" w:hAnsi="Arial" w:cs="Arial"/>
          <w:sz w:val="20"/>
          <w:szCs w:val="20"/>
        </w:rPr>
      </w:pPr>
    </w:p>
    <w:p w14:paraId="3C0BEAFA"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3042500A" w14:textId="77777777" w:rsidR="0061620A" w:rsidRPr="0094443B" w:rsidRDefault="0061620A" w:rsidP="0061620A">
      <w:pPr>
        <w:ind w:left="360"/>
        <w:rPr>
          <w:rFonts w:ascii="Arial" w:hAnsi="Arial" w:cs="Arial"/>
          <w:sz w:val="20"/>
          <w:szCs w:val="20"/>
        </w:rPr>
      </w:pPr>
    </w:p>
    <w:p w14:paraId="7B055397"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1664BE65" w14:textId="77777777" w:rsidR="0061620A" w:rsidRPr="0094443B" w:rsidRDefault="0061620A" w:rsidP="0061620A">
      <w:pPr>
        <w:ind w:left="927"/>
        <w:contextualSpacing/>
        <w:rPr>
          <w:rFonts w:ascii="Arial" w:hAnsi="Arial" w:cs="Arial"/>
          <w:sz w:val="20"/>
          <w:szCs w:val="20"/>
        </w:rPr>
      </w:pPr>
    </w:p>
    <w:p w14:paraId="31E8E9F5"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4F64177F" w14:textId="77777777" w:rsidR="0061620A" w:rsidRPr="00D746F1" w:rsidRDefault="0061620A" w:rsidP="0061620A">
      <w:pPr>
        <w:ind w:left="927"/>
        <w:contextualSpacing/>
        <w:rPr>
          <w:rFonts w:ascii="Arial" w:hAnsi="Arial" w:cs="Arial"/>
          <w:sz w:val="20"/>
          <w:szCs w:val="20"/>
        </w:rPr>
      </w:pPr>
    </w:p>
    <w:p w14:paraId="4DE64584"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1605C5C0" w14:textId="77777777" w:rsidR="0061620A" w:rsidRPr="00D746F1" w:rsidRDefault="0061620A" w:rsidP="0061620A">
      <w:pPr>
        <w:ind w:left="708"/>
        <w:rPr>
          <w:rFonts w:ascii="Arial" w:hAnsi="Arial" w:cs="Arial"/>
          <w:sz w:val="20"/>
          <w:szCs w:val="20"/>
        </w:rPr>
      </w:pPr>
    </w:p>
    <w:p w14:paraId="768026B2"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2D59739A" w14:textId="77777777" w:rsidR="0061620A" w:rsidRPr="0094443B" w:rsidRDefault="0061620A" w:rsidP="0061620A">
      <w:pPr>
        <w:ind w:left="708"/>
        <w:rPr>
          <w:rFonts w:ascii="Arial" w:hAnsi="Arial" w:cs="Arial"/>
          <w:sz w:val="20"/>
          <w:szCs w:val="20"/>
        </w:rPr>
      </w:pPr>
    </w:p>
    <w:p w14:paraId="5BB49503"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39C58B87" w14:textId="77777777" w:rsidR="0061620A" w:rsidRPr="0094443B" w:rsidRDefault="0061620A" w:rsidP="0061620A">
      <w:pPr>
        <w:ind w:left="708"/>
        <w:rPr>
          <w:rFonts w:ascii="Arial" w:hAnsi="Arial" w:cs="Arial"/>
          <w:sz w:val="20"/>
          <w:szCs w:val="20"/>
        </w:rPr>
      </w:pPr>
    </w:p>
    <w:p w14:paraId="6A86820C"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w:t>
      </w:r>
      <w:r w:rsidR="0061620A" w:rsidRPr="0094443B">
        <w:rPr>
          <w:rFonts w:ascii="Arial" w:hAnsi="Arial" w:cs="Arial"/>
          <w:sz w:val="20"/>
          <w:szCs w:val="20"/>
        </w:rPr>
        <w:lastRenderedPageBreak/>
        <w:t>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4537F58E" w14:textId="77777777" w:rsidR="0061620A" w:rsidRPr="0094443B" w:rsidRDefault="0061620A" w:rsidP="0061620A">
      <w:pPr>
        <w:ind w:left="708"/>
        <w:rPr>
          <w:rFonts w:ascii="Arial" w:hAnsi="Arial" w:cs="Arial"/>
          <w:sz w:val="20"/>
          <w:szCs w:val="20"/>
        </w:rPr>
      </w:pPr>
    </w:p>
    <w:p w14:paraId="0ED41158"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78AA1EC1" w14:textId="77777777" w:rsidR="0061620A" w:rsidRPr="0094443B" w:rsidRDefault="0061620A" w:rsidP="0061620A">
      <w:pPr>
        <w:ind w:left="927"/>
        <w:rPr>
          <w:rFonts w:ascii="Arial" w:hAnsi="Arial" w:cs="Arial"/>
          <w:sz w:val="20"/>
          <w:szCs w:val="20"/>
        </w:rPr>
      </w:pPr>
    </w:p>
    <w:p w14:paraId="316ABE63"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6716A192"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6A41546C"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6750B323" w14:textId="77777777" w:rsidR="0061620A" w:rsidRPr="0094443B" w:rsidRDefault="0061620A" w:rsidP="0061620A">
      <w:pPr>
        <w:ind w:left="708"/>
        <w:rPr>
          <w:rFonts w:ascii="Arial" w:hAnsi="Arial" w:cs="Arial"/>
          <w:sz w:val="20"/>
          <w:szCs w:val="20"/>
        </w:rPr>
      </w:pPr>
    </w:p>
    <w:p w14:paraId="1DF521E1"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6021783F" w14:textId="77777777" w:rsidR="0061620A" w:rsidRDefault="0061620A" w:rsidP="0061620A">
      <w:pPr>
        <w:ind w:left="397"/>
        <w:jc w:val="both"/>
      </w:pPr>
    </w:p>
    <w:p w14:paraId="7F0EFBF9"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7CE57FA8" w14:textId="77777777" w:rsidR="0061620A" w:rsidRPr="0094443B" w:rsidRDefault="0061620A" w:rsidP="0061620A"/>
    <w:p w14:paraId="0B5F482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615F6D8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24F90BAA" w14:textId="77777777" w:rsidR="0061620A" w:rsidRPr="0094443B" w:rsidRDefault="0061620A" w:rsidP="0061620A">
      <w:pPr>
        <w:jc w:val="center"/>
        <w:rPr>
          <w:rFonts w:ascii="Arial" w:hAnsi="Arial" w:cs="Arial"/>
          <w:b/>
          <w:sz w:val="20"/>
          <w:szCs w:val="20"/>
        </w:rPr>
      </w:pPr>
    </w:p>
    <w:p w14:paraId="014140C5"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F65C3A">
        <w:rPr>
          <w:rFonts w:ascii="Arial" w:hAnsi="Arial" w:cs="Arial"/>
          <w:sz w:val="20"/>
          <w:szCs w:val="20"/>
        </w:rPr>
        <w:t>80</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F5E6809" w14:textId="77777777" w:rsidR="0061620A" w:rsidRPr="0094443B" w:rsidRDefault="0061620A" w:rsidP="0061620A">
      <w:pPr>
        <w:ind w:left="397"/>
        <w:jc w:val="both"/>
        <w:rPr>
          <w:rFonts w:ascii="Arial" w:hAnsi="Arial" w:cs="Arial"/>
          <w:sz w:val="20"/>
          <w:szCs w:val="20"/>
        </w:rPr>
      </w:pPr>
    </w:p>
    <w:p w14:paraId="23C9EA07"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1423DBCC" w14:textId="77777777" w:rsidR="0061620A" w:rsidRPr="0094443B" w:rsidRDefault="0061620A" w:rsidP="0061620A">
      <w:pPr>
        <w:keepNext/>
        <w:jc w:val="both"/>
        <w:outlineLvl w:val="1"/>
        <w:rPr>
          <w:rFonts w:ascii="Arial" w:hAnsi="Arial" w:cs="Arial"/>
          <w:bCs/>
          <w:sz w:val="20"/>
          <w:szCs w:val="20"/>
        </w:rPr>
      </w:pPr>
    </w:p>
    <w:p w14:paraId="3EB3DF00" w14:textId="77777777" w:rsidR="0061620A" w:rsidRPr="003E53ED" w:rsidRDefault="0061620A" w:rsidP="0061620A">
      <w:pPr>
        <w:numPr>
          <w:ilvl w:val="0"/>
          <w:numId w:val="4"/>
        </w:numPr>
        <w:jc w:val="both"/>
        <w:rPr>
          <w:rFonts w:ascii="Arial" w:hAnsi="Arial" w:cs="Arial"/>
          <w:sz w:val="20"/>
        </w:rPr>
      </w:pPr>
      <w:r w:rsidRPr="003E53ED">
        <w:rPr>
          <w:rFonts w:ascii="Arial" w:hAnsi="Arial" w:cs="Arial"/>
          <w:sz w:val="20"/>
          <w:szCs w:val="20"/>
        </w:rPr>
        <w:t xml:space="preserve">Místem </w:t>
      </w:r>
      <w:r w:rsidR="00F92972" w:rsidRPr="003E53ED">
        <w:rPr>
          <w:rFonts w:ascii="Arial" w:hAnsi="Arial" w:cs="Arial"/>
          <w:sz w:val="20"/>
          <w:szCs w:val="20"/>
        </w:rPr>
        <w:t>dodávky</w:t>
      </w:r>
      <w:r w:rsidRPr="003E53ED">
        <w:rPr>
          <w:rFonts w:ascii="Arial" w:hAnsi="Arial" w:cs="Arial"/>
          <w:sz w:val="20"/>
          <w:szCs w:val="20"/>
        </w:rPr>
        <w:t xml:space="preserve"> je </w:t>
      </w:r>
      <w:r w:rsidR="00F65C3A" w:rsidRPr="003E53ED">
        <w:rPr>
          <w:rFonts w:ascii="Arial" w:hAnsi="Arial" w:cs="Arial"/>
          <w:sz w:val="20"/>
          <w:szCs w:val="20"/>
        </w:rPr>
        <w:t xml:space="preserve">detašované pracoviště FŽP, Revoluční 84, Ústí nad Labem 400 01.  </w:t>
      </w:r>
    </w:p>
    <w:p w14:paraId="157EDE31" w14:textId="77777777" w:rsidR="003E53ED" w:rsidRDefault="003E53ED" w:rsidP="003E53ED">
      <w:pPr>
        <w:pStyle w:val="Odstavecseseznamem"/>
        <w:rPr>
          <w:rFonts w:ascii="Arial" w:hAnsi="Arial" w:cs="Arial"/>
          <w:sz w:val="20"/>
        </w:rPr>
      </w:pPr>
    </w:p>
    <w:p w14:paraId="3F1EB373" w14:textId="77777777" w:rsidR="0061620A" w:rsidRPr="0094443B" w:rsidRDefault="0061620A" w:rsidP="0061620A">
      <w:pPr>
        <w:keepNext/>
        <w:numPr>
          <w:ilvl w:val="0"/>
          <w:numId w:val="4"/>
        </w:numPr>
        <w:ind w:right="-18"/>
        <w:jc w:val="both"/>
        <w:outlineLvl w:val="1"/>
        <w:rPr>
          <w:rFonts w:ascii="Arial" w:hAnsi="Arial" w:cs="Arial"/>
          <w:bCs/>
          <w:sz w:val="20"/>
          <w:szCs w:val="20"/>
        </w:rPr>
      </w:pPr>
      <w:r w:rsidRPr="0094443B">
        <w:rPr>
          <w:rFonts w:ascii="Arial" w:hAnsi="Arial" w:cs="Arial"/>
          <w:bCs/>
          <w:color w:val="000000"/>
          <w:sz w:val="20"/>
          <w:szCs w:val="20"/>
        </w:rPr>
        <w:t xml:space="preserve">Dodávka je splněna předáním zboží a </w:t>
      </w:r>
      <w:r w:rsidRPr="0094443B">
        <w:rPr>
          <w:rFonts w:ascii="Arial" w:hAnsi="Arial" w:cs="Arial"/>
          <w:bCs/>
          <w:sz w:val="20"/>
          <w:szCs w:val="20"/>
        </w:rPr>
        <w:t>dokumentace potřebné k převzetí a užívání zboží</w:t>
      </w:r>
      <w:r w:rsidR="00F92972">
        <w:rPr>
          <w:rFonts w:ascii="Arial" w:hAnsi="Arial" w:cs="Arial"/>
          <w:bCs/>
          <w:sz w:val="20"/>
          <w:szCs w:val="20"/>
        </w:rPr>
        <w:t xml:space="preserve"> v termínu a </w:t>
      </w:r>
      <w:r w:rsidRPr="0094443B">
        <w:rPr>
          <w:rFonts w:ascii="Arial" w:hAnsi="Arial" w:cs="Arial"/>
          <w:bCs/>
          <w:sz w:val="20"/>
          <w:szCs w:val="20"/>
        </w:rPr>
        <w:t xml:space="preserve">v místě </w:t>
      </w:r>
      <w:r w:rsidR="00F92972">
        <w:rPr>
          <w:rFonts w:ascii="Arial" w:hAnsi="Arial" w:cs="Arial"/>
          <w:bCs/>
          <w:sz w:val="20"/>
          <w:szCs w:val="20"/>
        </w:rPr>
        <w:t>dodávky</w:t>
      </w:r>
      <w:r w:rsidRPr="00D971EE">
        <w:rPr>
          <w:rFonts w:ascii="Arial" w:hAnsi="Arial" w:cs="Arial"/>
          <w:bCs/>
          <w:sz w:val="20"/>
          <w:szCs w:val="20"/>
        </w:rPr>
        <w:t xml:space="preserve">, </w:t>
      </w:r>
      <w:r w:rsidR="003A456B" w:rsidRPr="00D971EE">
        <w:rPr>
          <w:rFonts w:ascii="Arial" w:hAnsi="Arial" w:cs="Arial"/>
          <w:bCs/>
          <w:sz w:val="20"/>
          <w:szCs w:val="20"/>
        </w:rPr>
        <w:t xml:space="preserve">ověření kompatibility se stávajícím GC/MS systémem na pracovišti (Agilen 7820 v kombinaci s 5977 MSD, GC PAL sampler 80, </w:t>
      </w:r>
      <w:r w:rsidRPr="00D971EE">
        <w:rPr>
          <w:rFonts w:ascii="Arial" w:hAnsi="Arial" w:cs="Arial"/>
          <w:bCs/>
          <w:sz w:val="20"/>
          <w:szCs w:val="20"/>
        </w:rPr>
        <w:t xml:space="preserve">instalací zboží v místě </w:t>
      </w:r>
      <w:r w:rsidR="00F92972" w:rsidRPr="00D971EE">
        <w:rPr>
          <w:rFonts w:ascii="Arial" w:hAnsi="Arial" w:cs="Arial"/>
          <w:bCs/>
          <w:sz w:val="20"/>
          <w:szCs w:val="20"/>
        </w:rPr>
        <w:t>dodávky</w:t>
      </w:r>
      <w:r w:rsidRPr="00D971EE">
        <w:rPr>
          <w:rFonts w:ascii="Arial" w:hAnsi="Arial" w:cs="Arial"/>
          <w:bCs/>
          <w:sz w:val="20"/>
          <w:szCs w:val="20"/>
        </w:rPr>
        <w:t>, odzkoušením zboží, předvedením provozuschopnosti a základních parametrů zboží a zaškolením obsluhy</w:t>
      </w:r>
      <w:r w:rsidR="00B0151B" w:rsidRPr="00D971EE">
        <w:rPr>
          <w:rFonts w:ascii="Arial" w:hAnsi="Arial" w:cs="Arial"/>
          <w:bCs/>
          <w:sz w:val="20"/>
          <w:szCs w:val="20"/>
        </w:rPr>
        <w:t xml:space="preserve"> v počtu </w:t>
      </w:r>
      <w:r w:rsidR="003A456B" w:rsidRPr="00D971EE">
        <w:rPr>
          <w:rFonts w:ascii="Arial" w:hAnsi="Arial" w:cs="Arial"/>
          <w:bCs/>
          <w:sz w:val="20"/>
          <w:szCs w:val="20"/>
        </w:rPr>
        <w:t>3</w:t>
      </w:r>
      <w:r w:rsidRPr="00D971EE">
        <w:rPr>
          <w:rFonts w:ascii="Arial" w:hAnsi="Arial" w:cs="Arial"/>
          <w:bCs/>
          <w:sz w:val="20"/>
          <w:szCs w:val="20"/>
        </w:rPr>
        <w:t xml:space="preserve"> zaměstnanců kupujícího v místě </w:t>
      </w:r>
      <w:r w:rsidR="00F92972" w:rsidRPr="00D971EE">
        <w:rPr>
          <w:rFonts w:ascii="Arial" w:hAnsi="Arial" w:cs="Arial"/>
          <w:bCs/>
          <w:sz w:val="20"/>
          <w:szCs w:val="20"/>
        </w:rPr>
        <w:t>dodávky</w:t>
      </w:r>
      <w:r w:rsidRPr="00D971EE">
        <w:rPr>
          <w:rFonts w:ascii="Arial" w:hAnsi="Arial" w:cs="Arial"/>
          <w:bCs/>
          <w:sz w:val="20"/>
          <w:szCs w:val="20"/>
        </w:rPr>
        <w:t xml:space="preserve">. </w:t>
      </w:r>
      <w:r w:rsidR="003E53ED" w:rsidRPr="00D971EE">
        <w:rPr>
          <w:rFonts w:ascii="Arial" w:hAnsi="Arial" w:cs="Arial"/>
          <w:bCs/>
          <w:sz w:val="20"/>
          <w:szCs w:val="20"/>
        </w:rPr>
        <w:t>Školení bude obsahovat minimálně základní seznámení s ovládacím softwarem (optimalizace podmínek mik</w:t>
      </w:r>
      <w:r w:rsidR="00D971EE" w:rsidRPr="00D971EE">
        <w:rPr>
          <w:rFonts w:ascii="Arial" w:hAnsi="Arial" w:cs="Arial"/>
          <w:bCs/>
          <w:sz w:val="20"/>
          <w:szCs w:val="20"/>
        </w:rPr>
        <w:t>roreaktoru, orientace v softwaru</w:t>
      </w:r>
      <w:r w:rsidR="003E53ED" w:rsidRPr="00D971EE">
        <w:rPr>
          <w:rFonts w:ascii="Arial" w:hAnsi="Arial" w:cs="Arial"/>
          <w:bCs/>
          <w:sz w:val="20"/>
          <w:szCs w:val="20"/>
        </w:rPr>
        <w:t>), ukázání práce s hardwarem (zapojení kolon, nastavení fokusace, propojení s</w:t>
      </w:r>
      <w:r w:rsidR="00D971EE" w:rsidRPr="00D971EE">
        <w:rPr>
          <w:rFonts w:ascii="Arial" w:hAnsi="Arial" w:cs="Arial"/>
          <w:bCs/>
          <w:sz w:val="20"/>
          <w:szCs w:val="20"/>
        </w:rPr>
        <w:t> </w:t>
      </w:r>
      <w:r w:rsidR="003E53ED" w:rsidRPr="00D971EE">
        <w:rPr>
          <w:rFonts w:ascii="Arial" w:hAnsi="Arial" w:cs="Arial"/>
          <w:bCs/>
          <w:sz w:val="20"/>
          <w:szCs w:val="20"/>
        </w:rPr>
        <w:t>GC</w:t>
      </w:r>
      <w:r w:rsidR="00D971EE" w:rsidRPr="00D971EE">
        <w:rPr>
          <w:rFonts w:ascii="Arial" w:hAnsi="Arial" w:cs="Arial"/>
          <w:bCs/>
          <w:sz w:val="20"/>
          <w:szCs w:val="20"/>
        </w:rPr>
        <w:t>-</w:t>
      </w:r>
      <w:r w:rsidR="003E53ED" w:rsidRPr="00D971EE">
        <w:rPr>
          <w:rFonts w:ascii="Arial" w:hAnsi="Arial" w:cs="Arial"/>
          <w:bCs/>
          <w:sz w:val="20"/>
          <w:szCs w:val="20"/>
        </w:rPr>
        <w:t>MS), interpretace dat ve vyhodnocovacím softwaru (zobrazení spekter, identifikace, práce se spektry</w:t>
      </w:r>
      <w:r w:rsidR="003A456B" w:rsidRPr="00D971EE">
        <w:rPr>
          <w:rFonts w:ascii="Arial" w:hAnsi="Arial" w:cs="Arial"/>
          <w:bCs/>
          <w:sz w:val="20"/>
          <w:szCs w:val="20"/>
        </w:rPr>
        <w:t xml:space="preserve"> </w:t>
      </w:r>
      <w:r w:rsidR="003E53ED" w:rsidRPr="00D971EE">
        <w:rPr>
          <w:rFonts w:ascii="Arial" w:hAnsi="Arial" w:cs="Arial"/>
          <w:bCs/>
          <w:sz w:val="20"/>
          <w:szCs w:val="20"/>
        </w:rPr>
        <w:t>a knihovnou).</w:t>
      </w:r>
      <w:r w:rsidR="003E53ED">
        <w:rPr>
          <w:rFonts w:ascii="Arial" w:hAnsi="Arial" w:cs="Arial"/>
          <w:bCs/>
          <w:sz w:val="20"/>
          <w:szCs w:val="20"/>
        </w:rPr>
        <w:t xml:space="preserve"> </w:t>
      </w:r>
      <w:r w:rsidRPr="0094443B">
        <w:rPr>
          <w:rFonts w:ascii="Arial" w:hAnsi="Arial" w:cs="Arial"/>
          <w:bCs/>
          <w:sz w:val="20"/>
          <w:szCs w:val="20"/>
        </w:rPr>
        <w:t xml:space="preserve">Dodání po částech není povoleno. </w:t>
      </w:r>
    </w:p>
    <w:p w14:paraId="17D71EB8" w14:textId="77777777" w:rsidR="0061620A" w:rsidRPr="0094443B" w:rsidRDefault="0061620A" w:rsidP="0061620A">
      <w:pPr>
        <w:keepNext/>
        <w:ind w:right="-18"/>
        <w:jc w:val="both"/>
        <w:outlineLvl w:val="1"/>
        <w:rPr>
          <w:rFonts w:ascii="Arial" w:hAnsi="Arial" w:cs="Arial"/>
          <w:bCs/>
          <w:sz w:val="20"/>
          <w:szCs w:val="20"/>
        </w:rPr>
      </w:pPr>
    </w:p>
    <w:p w14:paraId="32C22773" w14:textId="77777777" w:rsidR="0061620A" w:rsidRPr="0094443B" w:rsidRDefault="0061620A" w:rsidP="0061620A">
      <w:pPr>
        <w:keepNext/>
        <w:numPr>
          <w:ilvl w:val="0"/>
          <w:numId w:val="4"/>
        </w:numPr>
        <w:tabs>
          <w:tab w:val="left" w:pos="180"/>
        </w:tabs>
        <w:ind w:right="-18"/>
        <w:jc w:val="both"/>
        <w:outlineLvl w:val="1"/>
        <w:rPr>
          <w:rFonts w:ascii="Arial" w:hAnsi="Arial" w:cs="Arial"/>
          <w:bCs/>
          <w:sz w:val="20"/>
          <w:szCs w:val="20"/>
        </w:rPr>
      </w:pPr>
      <w:r w:rsidRPr="0094443B">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je </w:t>
      </w:r>
      <w:r w:rsidR="00F10B4E">
        <w:rPr>
          <w:rFonts w:ascii="Arial" w:hAnsi="Arial" w:cs="Arial"/>
          <w:bCs/>
          <w:sz w:val="20"/>
          <w:szCs w:val="20"/>
        </w:rPr>
        <w:t>Burdová Hana, Pilnaj Dominik, Midula Pavol</w:t>
      </w:r>
      <w:r w:rsidR="003E53ED">
        <w:rPr>
          <w:rFonts w:ascii="Arial" w:hAnsi="Arial" w:cs="Arial"/>
          <w:bCs/>
          <w:sz w:val="20"/>
          <w:szCs w:val="20"/>
        </w:rPr>
        <w:t>.</w:t>
      </w:r>
      <w:r w:rsidRPr="0094443B">
        <w:rPr>
          <w:rFonts w:ascii="Arial" w:hAnsi="Arial" w:cs="Arial"/>
          <w:b/>
          <w:bCs/>
          <w:sz w:val="20"/>
          <w:szCs w:val="20"/>
        </w:rPr>
        <w:t xml:space="preserve"> </w:t>
      </w:r>
      <w:r w:rsidRPr="0094443B">
        <w:rPr>
          <w:rFonts w:ascii="Arial" w:hAnsi="Arial" w:cs="Arial"/>
          <w:bCs/>
          <w:sz w:val="20"/>
          <w:szCs w:val="20"/>
        </w:rPr>
        <w:t xml:space="preserve">V případě, že budou při předání </w:t>
      </w:r>
      <w:r w:rsidR="00F92972">
        <w:rPr>
          <w:rFonts w:ascii="Arial" w:hAnsi="Arial" w:cs="Arial"/>
          <w:bCs/>
          <w:sz w:val="20"/>
          <w:szCs w:val="20"/>
        </w:rPr>
        <w:t xml:space="preserve">zboží </w:t>
      </w:r>
      <w:r w:rsidRPr="0094443B">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5D703FDE" w14:textId="77777777" w:rsidR="0061620A" w:rsidRPr="0094443B" w:rsidRDefault="0061620A" w:rsidP="0061620A">
      <w:pPr>
        <w:jc w:val="both"/>
        <w:rPr>
          <w:rFonts w:ascii="Arial" w:hAnsi="Arial" w:cs="Arial"/>
          <w:b/>
          <w:sz w:val="20"/>
          <w:szCs w:val="20"/>
        </w:rPr>
      </w:pPr>
    </w:p>
    <w:p w14:paraId="364F005D"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lastRenderedPageBreak/>
        <w:t>Kupující je oprávněn zadržet kupní cenu nebo její část v případě, že předmět koupě při předání vykazuje vady, a to až do odstranění vad. Lhůta splatnosti faktury se o tuto dobu prodlužuje.</w:t>
      </w:r>
    </w:p>
    <w:p w14:paraId="0FCDCC06" w14:textId="77777777" w:rsidR="0061620A" w:rsidRPr="0094443B" w:rsidRDefault="0061620A" w:rsidP="0061620A">
      <w:pPr>
        <w:ind w:left="397"/>
        <w:jc w:val="both"/>
        <w:rPr>
          <w:rFonts w:ascii="Arial" w:hAnsi="Arial" w:cs="Arial"/>
          <w:sz w:val="20"/>
          <w:szCs w:val="20"/>
        </w:rPr>
      </w:pPr>
    </w:p>
    <w:p w14:paraId="6518CCA8"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03703801" w14:textId="77777777" w:rsidR="0061620A" w:rsidRPr="0094443B" w:rsidRDefault="0061620A" w:rsidP="0061620A">
      <w:pPr>
        <w:ind w:left="708"/>
        <w:rPr>
          <w:rFonts w:ascii="Arial" w:hAnsi="Arial" w:cs="Arial"/>
          <w:color w:val="000000"/>
          <w:sz w:val="20"/>
        </w:rPr>
      </w:pPr>
    </w:p>
    <w:p w14:paraId="03213238"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2B903622" w14:textId="77777777" w:rsidR="0061620A" w:rsidRPr="0094443B" w:rsidRDefault="0061620A" w:rsidP="0061620A"/>
    <w:p w14:paraId="56797B23" w14:textId="77777777" w:rsidR="0061620A" w:rsidRPr="0094443B" w:rsidRDefault="0061620A" w:rsidP="0061620A"/>
    <w:p w14:paraId="0D75D4D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7C722D5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43434803" w14:textId="77777777" w:rsidR="0061620A" w:rsidRPr="0094443B" w:rsidRDefault="0061620A" w:rsidP="0061620A">
      <w:pPr>
        <w:jc w:val="center"/>
        <w:rPr>
          <w:rFonts w:ascii="Arial" w:hAnsi="Arial" w:cs="Arial"/>
          <w:b/>
          <w:sz w:val="20"/>
          <w:szCs w:val="20"/>
        </w:rPr>
      </w:pPr>
    </w:p>
    <w:p w14:paraId="072E856B"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výslovně ujišťuje kupujícího, že kupované zboží je bez vad.</w:t>
      </w:r>
    </w:p>
    <w:p w14:paraId="1EC103AF" w14:textId="77777777" w:rsidR="0061620A" w:rsidRPr="0094443B" w:rsidRDefault="0061620A" w:rsidP="0061620A"/>
    <w:p w14:paraId="6DB711AF"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232E60DC" w14:textId="77777777" w:rsidR="0061620A" w:rsidRPr="0094443B" w:rsidRDefault="0061620A" w:rsidP="0061620A">
      <w:pPr>
        <w:jc w:val="both"/>
        <w:rPr>
          <w:rFonts w:ascii="Arial" w:hAnsi="Arial" w:cs="Arial"/>
          <w:sz w:val="20"/>
          <w:szCs w:val="20"/>
        </w:rPr>
      </w:pPr>
    </w:p>
    <w:p w14:paraId="45469C2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40E27CC2" w14:textId="77777777" w:rsidR="0061620A" w:rsidRPr="0094443B" w:rsidRDefault="0061620A" w:rsidP="0061620A">
      <w:pPr>
        <w:ind w:left="397"/>
        <w:jc w:val="both"/>
        <w:rPr>
          <w:rFonts w:ascii="Arial" w:hAnsi="Arial" w:cs="Arial"/>
          <w:sz w:val="20"/>
          <w:szCs w:val="20"/>
        </w:rPr>
      </w:pPr>
    </w:p>
    <w:p w14:paraId="4BD8F578"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3A456B">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5D4DD203" w14:textId="77777777" w:rsidR="0061620A" w:rsidRPr="0094443B" w:rsidRDefault="0061620A" w:rsidP="0061620A">
      <w:pPr>
        <w:jc w:val="both"/>
        <w:rPr>
          <w:rFonts w:ascii="Arial" w:hAnsi="Arial" w:cs="Arial"/>
          <w:sz w:val="20"/>
          <w:szCs w:val="20"/>
        </w:rPr>
      </w:pPr>
    </w:p>
    <w:p w14:paraId="0D7E99A1"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4CD8757A" w14:textId="77777777" w:rsidR="0061620A" w:rsidRPr="0094443B" w:rsidRDefault="0061620A" w:rsidP="0061620A">
      <w:pPr>
        <w:jc w:val="both"/>
        <w:rPr>
          <w:rFonts w:ascii="Arial" w:hAnsi="Arial" w:cs="Arial"/>
          <w:sz w:val="20"/>
          <w:szCs w:val="20"/>
        </w:rPr>
      </w:pPr>
    </w:p>
    <w:p w14:paraId="271FA7C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0475658D" w14:textId="77777777" w:rsidR="0061620A" w:rsidRPr="0094443B" w:rsidRDefault="0061620A" w:rsidP="0061620A">
      <w:pPr>
        <w:tabs>
          <w:tab w:val="left" w:pos="720"/>
        </w:tabs>
        <w:ind w:left="397"/>
        <w:jc w:val="both"/>
        <w:rPr>
          <w:rFonts w:ascii="Arial" w:hAnsi="Arial" w:cs="Arial"/>
          <w:sz w:val="20"/>
          <w:szCs w:val="20"/>
        </w:rPr>
      </w:pPr>
    </w:p>
    <w:p w14:paraId="26C5924A"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0489DFFA" w14:textId="77777777" w:rsidR="0061620A" w:rsidRPr="0094443B" w:rsidRDefault="0061620A" w:rsidP="0061620A">
      <w:pPr>
        <w:tabs>
          <w:tab w:val="left" w:pos="720"/>
        </w:tabs>
        <w:ind w:left="709"/>
        <w:jc w:val="both"/>
        <w:rPr>
          <w:rFonts w:ascii="Arial" w:hAnsi="Arial" w:cs="Arial"/>
          <w:sz w:val="20"/>
          <w:szCs w:val="20"/>
        </w:rPr>
      </w:pPr>
    </w:p>
    <w:p w14:paraId="38622B0D"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291A522A"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1CED0D3" w14:textId="77777777" w:rsidR="0061620A" w:rsidRPr="0094443B" w:rsidRDefault="0061620A" w:rsidP="0061620A">
      <w:pPr>
        <w:tabs>
          <w:tab w:val="left" w:pos="720"/>
        </w:tabs>
        <w:ind w:left="709"/>
        <w:jc w:val="both"/>
        <w:rPr>
          <w:rFonts w:ascii="Arial" w:hAnsi="Arial" w:cs="Arial"/>
          <w:sz w:val="20"/>
          <w:szCs w:val="20"/>
        </w:rPr>
      </w:pPr>
    </w:p>
    <w:p w14:paraId="262E1801"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515BA0D3" w14:textId="77777777" w:rsidR="0061620A" w:rsidRPr="0094443B" w:rsidRDefault="0061620A" w:rsidP="0061620A">
      <w:pPr>
        <w:tabs>
          <w:tab w:val="left" w:pos="720"/>
        </w:tabs>
        <w:ind w:left="397"/>
        <w:jc w:val="both"/>
        <w:rPr>
          <w:rFonts w:ascii="Arial" w:hAnsi="Arial" w:cs="Arial"/>
          <w:sz w:val="20"/>
          <w:szCs w:val="20"/>
        </w:rPr>
      </w:pPr>
    </w:p>
    <w:p w14:paraId="43359CEA" w14:textId="77777777" w:rsidR="00516622" w:rsidRPr="003A456B"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lastRenderedPageBreak/>
        <w:t xml:space="preserve">Prodávající se zavazuje </w:t>
      </w:r>
      <w:r w:rsidRPr="00D911F6">
        <w:rPr>
          <w:rFonts w:ascii="Arial" w:hAnsi="Arial" w:cs="Arial"/>
          <w:sz w:val="20"/>
          <w:szCs w:val="20"/>
        </w:rPr>
        <w:t xml:space="preserve">zahájit odstranění vady </w:t>
      </w:r>
      <w:r w:rsidRPr="003A456B">
        <w:rPr>
          <w:rFonts w:ascii="Arial" w:hAnsi="Arial" w:cs="Arial"/>
          <w:sz w:val="20"/>
          <w:szCs w:val="20"/>
        </w:rPr>
        <w:t xml:space="preserve">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AD183D0" w14:textId="77777777" w:rsidR="0061620A" w:rsidRPr="0094443B" w:rsidRDefault="0061620A" w:rsidP="0061620A">
      <w:pPr>
        <w:tabs>
          <w:tab w:val="left" w:pos="720"/>
        </w:tabs>
        <w:ind w:left="397"/>
        <w:jc w:val="both"/>
        <w:rPr>
          <w:rFonts w:ascii="Arial" w:hAnsi="Arial" w:cs="Arial"/>
          <w:sz w:val="20"/>
          <w:szCs w:val="20"/>
        </w:rPr>
      </w:pPr>
    </w:p>
    <w:p w14:paraId="52BAB55A"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5FCC2206" w14:textId="77777777" w:rsidR="0061620A" w:rsidRPr="0094443B" w:rsidRDefault="0061620A" w:rsidP="0061620A">
      <w:pPr>
        <w:jc w:val="both"/>
        <w:rPr>
          <w:rFonts w:ascii="Arial" w:hAnsi="Arial" w:cs="Arial"/>
          <w:sz w:val="20"/>
          <w:szCs w:val="20"/>
        </w:rPr>
      </w:pPr>
    </w:p>
    <w:p w14:paraId="3542225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452C1522" w14:textId="77777777" w:rsidR="0061620A" w:rsidRPr="0094443B" w:rsidRDefault="0061620A" w:rsidP="0061620A">
      <w:pPr>
        <w:ind w:left="708"/>
        <w:rPr>
          <w:rFonts w:ascii="Arial" w:hAnsi="Arial" w:cs="Arial"/>
          <w:sz w:val="20"/>
          <w:szCs w:val="20"/>
        </w:rPr>
      </w:pPr>
    </w:p>
    <w:p w14:paraId="473395AA"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21016C35" w14:textId="77777777" w:rsidR="0061620A" w:rsidRPr="0094443B" w:rsidRDefault="0061620A" w:rsidP="0061620A">
      <w:pPr>
        <w:tabs>
          <w:tab w:val="num" w:pos="0"/>
        </w:tabs>
        <w:jc w:val="both"/>
        <w:rPr>
          <w:rFonts w:ascii="Arial" w:hAnsi="Arial" w:cs="Arial"/>
          <w:sz w:val="20"/>
          <w:szCs w:val="20"/>
        </w:rPr>
      </w:pPr>
    </w:p>
    <w:p w14:paraId="4EA0F1BD"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0F66BA40" w14:textId="77777777" w:rsidR="0061620A" w:rsidRPr="0094443B" w:rsidRDefault="0061620A" w:rsidP="0061620A">
      <w:pPr>
        <w:tabs>
          <w:tab w:val="num" w:pos="0"/>
        </w:tabs>
        <w:jc w:val="both"/>
        <w:rPr>
          <w:rFonts w:ascii="Arial" w:hAnsi="Arial" w:cs="Arial"/>
          <w:sz w:val="20"/>
          <w:szCs w:val="20"/>
        </w:rPr>
      </w:pPr>
    </w:p>
    <w:p w14:paraId="7303F3E0"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79AFD547" w14:textId="77777777" w:rsidR="0061620A" w:rsidRPr="0094443B" w:rsidRDefault="0061620A" w:rsidP="0061620A">
      <w:pPr>
        <w:tabs>
          <w:tab w:val="left" w:pos="720"/>
        </w:tabs>
        <w:ind w:left="397"/>
        <w:jc w:val="both"/>
        <w:rPr>
          <w:rFonts w:ascii="Arial" w:hAnsi="Arial" w:cs="Arial"/>
          <w:sz w:val="20"/>
          <w:szCs w:val="20"/>
        </w:rPr>
      </w:pPr>
    </w:p>
    <w:p w14:paraId="6995FD33"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3A1F89D6"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66F7975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43756162"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0925CDB6" w14:textId="77777777" w:rsidR="0061620A" w:rsidRPr="0094443B" w:rsidRDefault="0061620A" w:rsidP="0061620A">
      <w:pPr>
        <w:tabs>
          <w:tab w:val="left" w:pos="720"/>
        </w:tabs>
        <w:ind w:left="397"/>
        <w:jc w:val="both"/>
        <w:rPr>
          <w:rFonts w:ascii="Arial" w:hAnsi="Arial" w:cs="Arial"/>
          <w:sz w:val="20"/>
          <w:szCs w:val="20"/>
        </w:rPr>
      </w:pPr>
    </w:p>
    <w:p w14:paraId="0A51822E"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3FBE7FD"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21FFC77A"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6C9462D1" w14:textId="77777777" w:rsidR="0061620A" w:rsidRPr="0094443B" w:rsidRDefault="0061620A" w:rsidP="0061620A">
      <w:pPr>
        <w:jc w:val="both"/>
        <w:rPr>
          <w:rFonts w:ascii="Arial" w:hAnsi="Arial" w:cs="Arial"/>
          <w:sz w:val="20"/>
          <w:szCs w:val="20"/>
        </w:rPr>
      </w:pPr>
    </w:p>
    <w:p w14:paraId="139FE16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7797722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0803296C" w14:textId="77777777" w:rsidR="0061620A" w:rsidRPr="0094443B" w:rsidRDefault="0061620A" w:rsidP="0061620A">
      <w:pPr>
        <w:jc w:val="center"/>
        <w:rPr>
          <w:rFonts w:ascii="Arial" w:hAnsi="Arial" w:cs="Arial"/>
          <w:b/>
          <w:sz w:val="20"/>
          <w:szCs w:val="20"/>
        </w:rPr>
      </w:pPr>
    </w:p>
    <w:p w14:paraId="7C58D365"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76B2CE9C" w14:textId="77777777" w:rsidR="0061620A" w:rsidRPr="0094443B" w:rsidRDefault="0061620A" w:rsidP="0061620A">
      <w:pPr>
        <w:ind w:left="397"/>
        <w:jc w:val="both"/>
        <w:rPr>
          <w:rFonts w:ascii="Arial" w:hAnsi="Arial" w:cs="Arial"/>
          <w:color w:val="000000"/>
          <w:sz w:val="20"/>
          <w:szCs w:val="20"/>
        </w:rPr>
      </w:pPr>
    </w:p>
    <w:p w14:paraId="44AD3FDE"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4577F19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57C8580"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51A5033"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83800E" w14:textId="77777777" w:rsidR="0061620A" w:rsidRPr="0094443B" w:rsidRDefault="0061620A" w:rsidP="0061620A">
      <w:pPr>
        <w:jc w:val="both"/>
        <w:rPr>
          <w:rFonts w:ascii="Arial" w:hAnsi="Arial" w:cs="Arial"/>
          <w:color w:val="000000"/>
          <w:sz w:val="20"/>
          <w:szCs w:val="20"/>
        </w:rPr>
      </w:pPr>
    </w:p>
    <w:p w14:paraId="48D47685"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19D3B991" w14:textId="77777777" w:rsidR="0061620A" w:rsidRDefault="0061620A" w:rsidP="0061620A">
      <w:pPr>
        <w:jc w:val="center"/>
        <w:rPr>
          <w:rFonts w:ascii="Arial" w:hAnsi="Arial" w:cs="Arial"/>
          <w:b/>
          <w:sz w:val="20"/>
          <w:szCs w:val="20"/>
        </w:rPr>
      </w:pPr>
    </w:p>
    <w:p w14:paraId="6A829CB5" w14:textId="77777777" w:rsidR="00480CBD" w:rsidRDefault="00480CBD" w:rsidP="0061620A">
      <w:pPr>
        <w:jc w:val="center"/>
        <w:rPr>
          <w:rFonts w:ascii="Arial" w:hAnsi="Arial" w:cs="Arial"/>
          <w:b/>
          <w:sz w:val="20"/>
          <w:szCs w:val="20"/>
        </w:rPr>
      </w:pPr>
    </w:p>
    <w:p w14:paraId="2FC2ABF7" w14:textId="77777777" w:rsidR="00480CBD" w:rsidRDefault="00480CBD" w:rsidP="0061620A">
      <w:pPr>
        <w:jc w:val="center"/>
        <w:rPr>
          <w:rFonts w:ascii="Arial" w:hAnsi="Arial" w:cs="Arial"/>
          <w:b/>
          <w:sz w:val="20"/>
          <w:szCs w:val="20"/>
        </w:rPr>
      </w:pPr>
    </w:p>
    <w:p w14:paraId="5A4BDEE6" w14:textId="77777777" w:rsidR="00480CBD" w:rsidRPr="0094443B" w:rsidRDefault="00480CBD" w:rsidP="0061620A">
      <w:pPr>
        <w:jc w:val="center"/>
        <w:rPr>
          <w:rFonts w:ascii="Arial" w:hAnsi="Arial" w:cs="Arial"/>
          <w:b/>
          <w:sz w:val="20"/>
          <w:szCs w:val="20"/>
        </w:rPr>
      </w:pPr>
    </w:p>
    <w:p w14:paraId="2BB2F1E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0AF7D8C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61452A28" w14:textId="77777777" w:rsidR="0061620A" w:rsidRPr="0094443B" w:rsidRDefault="0061620A" w:rsidP="0061620A">
      <w:pPr>
        <w:jc w:val="center"/>
        <w:rPr>
          <w:rFonts w:ascii="Arial" w:hAnsi="Arial" w:cs="Arial"/>
          <w:b/>
          <w:sz w:val="20"/>
          <w:szCs w:val="20"/>
        </w:rPr>
      </w:pPr>
    </w:p>
    <w:p w14:paraId="356F19C6"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rPr>
        <w:t xml:space="preserve">o </w:t>
      </w:r>
      <w:r w:rsidRPr="0094443B">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rPr>
        <w:t xml:space="preserve">zboží </w:t>
      </w:r>
      <w:r w:rsidRPr="0094443B">
        <w:rPr>
          <w:rFonts w:ascii="Arial" w:hAnsi="Arial" w:cs="Arial"/>
          <w:bCs/>
          <w:sz w:val="20"/>
          <w:szCs w:val="20"/>
        </w:rPr>
        <w:t xml:space="preserve">zjištěné v záruční době. </w:t>
      </w:r>
    </w:p>
    <w:p w14:paraId="023C8139" w14:textId="77777777" w:rsidR="0061620A" w:rsidRPr="0094443B" w:rsidRDefault="0061620A" w:rsidP="0061620A"/>
    <w:p w14:paraId="66361556"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rPr>
        <w:t xml:space="preserve">o </w:t>
      </w:r>
      <w:r w:rsidRPr="0094443B">
        <w:rPr>
          <w:rFonts w:ascii="Arial" w:hAnsi="Arial" w:cs="Arial"/>
          <w:bCs/>
          <w:sz w:val="20"/>
          <w:szCs w:val="20"/>
        </w:rPr>
        <w:t>déle než 30 dní a nezjedná nápravu ani do patnácti dnů od doručení písemného oznámení prodávajícího o takovém prodlení.</w:t>
      </w:r>
    </w:p>
    <w:p w14:paraId="43DD75D6" w14:textId="77777777" w:rsidR="0061620A" w:rsidRPr="0094443B" w:rsidRDefault="0061620A" w:rsidP="0061620A">
      <w:pPr>
        <w:rPr>
          <w:rFonts w:ascii="Arial" w:hAnsi="Arial" w:cs="Arial"/>
          <w:sz w:val="20"/>
          <w:szCs w:val="20"/>
        </w:rPr>
      </w:pPr>
    </w:p>
    <w:p w14:paraId="21FE6B4F"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38678400" w14:textId="77777777" w:rsidR="0061620A" w:rsidRPr="0094443B" w:rsidRDefault="0061620A" w:rsidP="0061620A">
      <w:pPr>
        <w:rPr>
          <w:rFonts w:ascii="Arial" w:hAnsi="Arial" w:cs="Arial"/>
          <w:sz w:val="20"/>
          <w:szCs w:val="20"/>
        </w:rPr>
      </w:pPr>
    </w:p>
    <w:p w14:paraId="763FC6B8"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07B76F11" w14:textId="77777777" w:rsidR="0061620A" w:rsidRPr="0094443B" w:rsidRDefault="0061620A" w:rsidP="0061620A">
      <w:pPr>
        <w:jc w:val="both"/>
        <w:rPr>
          <w:rFonts w:ascii="Arial" w:hAnsi="Arial" w:cs="Arial"/>
          <w:sz w:val="20"/>
          <w:szCs w:val="20"/>
        </w:rPr>
      </w:pPr>
    </w:p>
    <w:p w14:paraId="232C9A25"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01225569"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1D335A1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5612E523"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2DED6671"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077FBC72" w14:textId="77777777" w:rsidR="0061620A" w:rsidRPr="0094443B" w:rsidRDefault="0061620A" w:rsidP="0061620A">
      <w:pPr>
        <w:rPr>
          <w:rFonts w:ascii="Arial" w:hAnsi="Arial" w:cs="Arial"/>
          <w:sz w:val="20"/>
          <w:szCs w:val="20"/>
        </w:rPr>
      </w:pPr>
    </w:p>
    <w:p w14:paraId="4A6D0827" w14:textId="77777777" w:rsidR="007702BF" w:rsidRPr="0094443B" w:rsidRDefault="007702BF" w:rsidP="0061620A">
      <w:pPr>
        <w:rPr>
          <w:rFonts w:ascii="Arial" w:hAnsi="Arial" w:cs="Arial"/>
          <w:sz w:val="20"/>
          <w:szCs w:val="20"/>
        </w:rPr>
      </w:pPr>
    </w:p>
    <w:p w14:paraId="53DE967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1D3FF67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39DF8195" w14:textId="77777777" w:rsidR="0061620A" w:rsidRPr="0094443B" w:rsidRDefault="0061620A" w:rsidP="0061620A">
      <w:pPr>
        <w:tabs>
          <w:tab w:val="left" w:pos="426"/>
        </w:tabs>
        <w:ind w:left="426" w:hanging="426"/>
        <w:jc w:val="both"/>
        <w:rPr>
          <w:rFonts w:ascii="Arial" w:hAnsi="Arial" w:cs="Arial"/>
          <w:sz w:val="20"/>
          <w:szCs w:val="20"/>
        </w:rPr>
      </w:pPr>
    </w:p>
    <w:p w14:paraId="4E7B141C"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62BF4DFC" w14:textId="77777777" w:rsidR="0061620A" w:rsidRPr="0094443B" w:rsidRDefault="0061620A" w:rsidP="0061620A">
      <w:pPr>
        <w:tabs>
          <w:tab w:val="left" w:pos="426"/>
        </w:tabs>
        <w:ind w:left="426" w:hanging="426"/>
        <w:jc w:val="both"/>
        <w:rPr>
          <w:rFonts w:ascii="Arial" w:hAnsi="Arial" w:cs="Arial"/>
          <w:sz w:val="20"/>
          <w:szCs w:val="20"/>
        </w:rPr>
      </w:pPr>
    </w:p>
    <w:p w14:paraId="601FB840"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3BEC6B2F" w14:textId="77777777" w:rsidR="0061620A" w:rsidRPr="0094443B" w:rsidRDefault="0061620A" w:rsidP="0061620A">
      <w:pPr>
        <w:rPr>
          <w:rFonts w:ascii="Arial" w:hAnsi="Arial" w:cs="Arial"/>
          <w:b/>
          <w:sz w:val="20"/>
          <w:szCs w:val="20"/>
        </w:rPr>
      </w:pPr>
    </w:p>
    <w:p w14:paraId="77D8AE2E" w14:textId="77777777" w:rsidR="0061620A" w:rsidRDefault="0061620A" w:rsidP="0061620A">
      <w:pPr>
        <w:rPr>
          <w:rFonts w:ascii="Arial" w:hAnsi="Arial" w:cs="Arial"/>
          <w:b/>
          <w:sz w:val="20"/>
          <w:szCs w:val="20"/>
        </w:rPr>
      </w:pPr>
    </w:p>
    <w:p w14:paraId="4E9F1F2F" w14:textId="77777777" w:rsidR="00480CBD" w:rsidRPr="0094443B" w:rsidRDefault="00480CBD" w:rsidP="0061620A">
      <w:pPr>
        <w:rPr>
          <w:rFonts w:ascii="Arial" w:hAnsi="Arial" w:cs="Arial"/>
          <w:b/>
          <w:sz w:val="20"/>
          <w:szCs w:val="20"/>
        </w:rPr>
      </w:pPr>
    </w:p>
    <w:p w14:paraId="497C2D4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3BE3045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0F2B6DBB" w14:textId="77777777" w:rsidR="0061620A" w:rsidRPr="0094443B" w:rsidRDefault="0061620A" w:rsidP="0061620A">
      <w:pPr>
        <w:jc w:val="center"/>
        <w:rPr>
          <w:rFonts w:ascii="Arial" w:hAnsi="Arial" w:cs="Arial"/>
          <w:b/>
          <w:sz w:val="20"/>
          <w:szCs w:val="20"/>
        </w:rPr>
      </w:pPr>
    </w:p>
    <w:p w14:paraId="101D61C6" w14:textId="77777777" w:rsidR="00C27337" w:rsidRPr="00F73338"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v </w:t>
      </w:r>
      <w:r w:rsidRPr="00516622">
        <w:rPr>
          <w:rFonts w:ascii="Arial" w:hAnsi="Arial" w:cs="Arial"/>
          <w:color w:val="000000"/>
          <w:sz w:val="20"/>
          <w:szCs w:val="20"/>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rPr>
        <w:t>Kupující</w:t>
      </w:r>
      <w:r w:rsidRPr="00516622">
        <w:rPr>
          <w:rFonts w:ascii="Arial" w:hAnsi="Arial" w:cs="Arial"/>
          <w:color w:val="000000"/>
          <w:sz w:val="20"/>
          <w:szCs w:val="20"/>
        </w:rPr>
        <w:t xml:space="preserve"> je oprávněn požadovat předložení dokladů, ze kterých dané povinnosti vyplývají a </w:t>
      </w:r>
      <w:r w:rsidR="00F73338" w:rsidRPr="00F73338">
        <w:rPr>
          <w:rFonts w:ascii="Arial" w:hAnsi="Arial" w:cs="Arial"/>
          <w:color w:val="000000"/>
          <w:sz w:val="20"/>
          <w:szCs w:val="20"/>
        </w:rPr>
        <w:t>Prodávající</w:t>
      </w:r>
      <w:r w:rsidRPr="00F73338">
        <w:rPr>
          <w:rFonts w:ascii="Arial" w:hAnsi="Arial" w:cs="Arial"/>
          <w:color w:val="000000"/>
          <w:sz w:val="20"/>
          <w:szCs w:val="20"/>
        </w:rPr>
        <w:t xml:space="preserve"> je povinen je bez zbytečného odkladu Kupujícímu předložit. Prodávající je povinen zajistit splnění požadavků tohoto ustanovení Smlouvy i u svých poddodavatelů. N</w:t>
      </w:r>
      <w:bookmarkStart w:id="1" w:name="_Hlk40712153"/>
      <w:r w:rsidRPr="00F73338">
        <w:rPr>
          <w:rFonts w:ascii="Arial" w:hAnsi="Arial" w:cs="Arial"/>
          <w:color w:val="000000"/>
          <w:sz w:val="20"/>
          <w:szCs w:val="20"/>
        </w:rPr>
        <w:t>esplnění povinností Prodávajícího dle tohoto ustanovení Smlouvy se považuje za podstatné porušení Smlouvy</w:t>
      </w:r>
      <w:bookmarkEnd w:id="1"/>
      <w:r w:rsidRPr="00F73338">
        <w:rPr>
          <w:rFonts w:ascii="Arial" w:hAnsi="Arial" w:cs="Arial"/>
          <w:color w:val="000000"/>
          <w:sz w:val="20"/>
          <w:szCs w:val="20"/>
        </w:rPr>
        <w:t>.</w:t>
      </w:r>
    </w:p>
    <w:p w14:paraId="523C9D4E" w14:textId="77777777" w:rsidR="00C27337" w:rsidRPr="00F73338" w:rsidRDefault="00C27337" w:rsidP="00C27337">
      <w:pPr>
        <w:ind w:left="397"/>
        <w:jc w:val="both"/>
        <w:rPr>
          <w:rFonts w:ascii="Arial" w:hAnsi="Arial" w:cs="Arial"/>
          <w:color w:val="000000"/>
          <w:sz w:val="20"/>
          <w:szCs w:val="20"/>
        </w:rPr>
      </w:pPr>
    </w:p>
    <w:p w14:paraId="7A6B91E6" w14:textId="77777777" w:rsidR="00C27337" w:rsidRPr="00516622" w:rsidRDefault="00C27337" w:rsidP="00C27337">
      <w:pPr>
        <w:numPr>
          <w:ilvl w:val="0"/>
          <w:numId w:val="9"/>
        </w:numPr>
        <w:jc w:val="both"/>
        <w:rPr>
          <w:rFonts w:ascii="Arial" w:hAnsi="Arial" w:cs="Arial"/>
          <w:color w:val="000000"/>
          <w:sz w:val="20"/>
          <w:szCs w:val="20"/>
        </w:rPr>
      </w:pPr>
      <w:r w:rsidRPr="00F73338">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F73338">
        <w:rPr>
          <w:rFonts w:ascii="Arial" w:hAnsi="Arial" w:cs="Arial"/>
          <w:color w:val="000000"/>
          <w:sz w:val="20"/>
          <w:szCs w:val="20"/>
        </w:rPr>
        <w:t>Prodávající</w:t>
      </w:r>
      <w:r w:rsidRPr="00F73338">
        <w:rPr>
          <w:rFonts w:ascii="Arial" w:hAnsi="Arial" w:cs="Arial"/>
          <w:color w:val="000000"/>
          <w:sz w:val="20"/>
          <w:szCs w:val="20"/>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w:t>
      </w:r>
      <w:r w:rsidRPr="00516622">
        <w:rPr>
          <w:rFonts w:ascii="Arial" w:hAnsi="Arial" w:cs="Arial"/>
          <w:color w:val="000000"/>
          <w:sz w:val="20"/>
          <w:szCs w:val="20"/>
        </w:rPr>
        <w:t>ávajícím a poddodavateli a Prodávající je povinen je bezodkladně poskytnout. Nesplnění povinností Prodávajícího dle tohoto ustanovení Smlouvy se považuje za podstatné porušení Smlouvy.</w:t>
      </w:r>
    </w:p>
    <w:p w14:paraId="0BC91939" w14:textId="77777777" w:rsidR="00C27337" w:rsidRPr="00C27337" w:rsidRDefault="00C27337" w:rsidP="00C27337">
      <w:pPr>
        <w:ind w:left="397"/>
        <w:jc w:val="both"/>
        <w:rPr>
          <w:rFonts w:ascii="Arial" w:hAnsi="Arial" w:cs="Arial"/>
          <w:color w:val="000000"/>
          <w:sz w:val="20"/>
          <w:szCs w:val="20"/>
        </w:rPr>
      </w:pPr>
    </w:p>
    <w:p w14:paraId="3CD94C24" w14:textId="77777777" w:rsidR="00C27337" w:rsidRPr="00C27337"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774ACFE6" w14:textId="77777777" w:rsidR="00C27337" w:rsidRPr="00C27337" w:rsidRDefault="00C27337" w:rsidP="00C27337">
      <w:pPr>
        <w:ind w:left="397"/>
        <w:jc w:val="both"/>
        <w:rPr>
          <w:rFonts w:ascii="Arial" w:hAnsi="Arial" w:cs="Arial"/>
          <w:color w:val="000000"/>
          <w:sz w:val="20"/>
          <w:szCs w:val="20"/>
        </w:rPr>
      </w:pPr>
    </w:p>
    <w:p w14:paraId="0C16AE0F" w14:textId="77777777" w:rsidR="007702BF" w:rsidRPr="007702BF" w:rsidRDefault="0061620A" w:rsidP="007702BF">
      <w:pPr>
        <w:numPr>
          <w:ilvl w:val="0"/>
          <w:numId w:val="9"/>
        </w:numPr>
        <w:jc w:val="both"/>
        <w:rPr>
          <w:rFonts w:ascii="Arial" w:hAnsi="Arial" w:cs="Arial"/>
          <w:color w:val="000000"/>
          <w:sz w:val="20"/>
          <w:szCs w:val="20"/>
        </w:rPr>
      </w:pPr>
      <w:r w:rsidRPr="0094443B">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rPr>
        <w:t xml:space="preserve">( dále jen </w:t>
      </w:r>
      <w:r w:rsidR="007702BF" w:rsidRPr="007702BF">
        <w:rPr>
          <w:rFonts w:ascii="Arial" w:hAnsi="Arial" w:cs="Arial"/>
          <w:color w:val="000000"/>
          <w:sz w:val="20"/>
          <w:szCs w:val="20"/>
        </w:rPr>
        <w:t>„občanský zákoník“).</w:t>
      </w:r>
    </w:p>
    <w:p w14:paraId="5D202088" w14:textId="77777777" w:rsidR="0061620A" w:rsidRPr="0094443B" w:rsidRDefault="0061620A" w:rsidP="0061620A">
      <w:pPr>
        <w:ind w:left="397"/>
        <w:jc w:val="both"/>
        <w:rPr>
          <w:rFonts w:ascii="Arial" w:hAnsi="Arial" w:cs="Arial"/>
          <w:color w:val="000000"/>
          <w:sz w:val="20"/>
          <w:szCs w:val="20"/>
        </w:rPr>
      </w:pPr>
    </w:p>
    <w:p w14:paraId="348CEC41" w14:textId="77777777" w:rsidR="00861800" w:rsidRPr="00861800" w:rsidRDefault="00861800" w:rsidP="0061620A">
      <w:pPr>
        <w:numPr>
          <w:ilvl w:val="0"/>
          <w:numId w:val="9"/>
        </w:numPr>
        <w:jc w:val="both"/>
        <w:rPr>
          <w:rFonts w:ascii="Arial" w:hAnsi="Arial" w:cs="Arial"/>
          <w:color w:val="000000"/>
          <w:sz w:val="20"/>
          <w:szCs w:val="20"/>
        </w:rPr>
      </w:pPr>
      <w:r>
        <w:rPr>
          <w:rFonts w:ascii="Arial" w:hAnsi="Arial" w:cs="Arial"/>
          <w:color w:val="000000"/>
          <w:sz w:val="20"/>
          <w:szCs w:val="20"/>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D505434" w14:textId="77777777" w:rsidR="00861800" w:rsidRPr="00861800" w:rsidRDefault="00861800" w:rsidP="00861800">
      <w:pPr>
        <w:ind w:left="397"/>
        <w:jc w:val="both"/>
        <w:rPr>
          <w:rFonts w:ascii="Arial" w:hAnsi="Arial" w:cs="Arial"/>
          <w:color w:val="000000"/>
          <w:sz w:val="20"/>
          <w:szCs w:val="20"/>
        </w:rPr>
      </w:pPr>
    </w:p>
    <w:p w14:paraId="2DBB1985"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rPr>
        <w:t xml:space="preserve">Minimálně </w:t>
      </w:r>
      <w:r w:rsidR="00861800">
        <w:rPr>
          <w:rFonts w:ascii="Arial" w:hAnsi="Arial"/>
          <w:color w:val="000000"/>
          <w:sz w:val="20"/>
          <w:szCs w:val="20"/>
        </w:rPr>
        <w:t>však do roku 2033</w:t>
      </w:r>
      <w:r w:rsidR="00861800" w:rsidRPr="001B1E1D">
        <w:rPr>
          <w:rFonts w:ascii="Arial" w:hAnsi="Arial"/>
          <w:color w:val="000000"/>
          <w:sz w:val="20"/>
          <w:szCs w:val="20"/>
        </w:rPr>
        <w:t>.</w:t>
      </w:r>
    </w:p>
    <w:p w14:paraId="7DCED9DB" w14:textId="77777777" w:rsidR="0061620A" w:rsidRPr="0094443B" w:rsidRDefault="0061620A" w:rsidP="0061620A">
      <w:pPr>
        <w:ind w:left="397"/>
        <w:jc w:val="both"/>
        <w:rPr>
          <w:rFonts w:ascii="Arial" w:hAnsi="Arial" w:cs="Arial"/>
        </w:rPr>
      </w:pPr>
    </w:p>
    <w:p w14:paraId="03889EE6"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2B44863E" w14:textId="77777777" w:rsidR="0061620A" w:rsidRPr="0094443B" w:rsidRDefault="0061620A" w:rsidP="0061620A">
      <w:pPr>
        <w:autoSpaceDE w:val="0"/>
        <w:autoSpaceDN w:val="0"/>
        <w:adjustRightInd w:val="0"/>
        <w:rPr>
          <w:rFonts w:ascii="Arial" w:hAnsi="Arial" w:cs="Arial"/>
          <w:color w:val="000000"/>
        </w:rPr>
      </w:pPr>
    </w:p>
    <w:p w14:paraId="7EDEC43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319C3E6"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4E7D33A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432A8F7" w14:textId="77777777" w:rsidR="0061620A" w:rsidRPr="0094443B" w:rsidRDefault="0061620A" w:rsidP="0061620A">
      <w:pPr>
        <w:autoSpaceDE w:val="0"/>
        <w:autoSpaceDN w:val="0"/>
        <w:adjustRightInd w:val="0"/>
        <w:rPr>
          <w:rFonts w:ascii="Arial" w:hAnsi="Arial" w:cs="Arial"/>
          <w:color w:val="000000"/>
        </w:rPr>
      </w:pPr>
    </w:p>
    <w:p w14:paraId="1688E0C7"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C23EBFE" w14:textId="77777777" w:rsidR="0061620A" w:rsidRPr="0094443B" w:rsidRDefault="0061620A" w:rsidP="0061620A">
      <w:pPr>
        <w:autoSpaceDE w:val="0"/>
        <w:autoSpaceDN w:val="0"/>
        <w:adjustRightInd w:val="0"/>
        <w:rPr>
          <w:rFonts w:ascii="Arial" w:hAnsi="Arial" w:cs="Arial"/>
          <w:color w:val="000000"/>
        </w:rPr>
      </w:pPr>
    </w:p>
    <w:p w14:paraId="29211D8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7675BA79" w14:textId="77777777" w:rsidR="0061620A" w:rsidRPr="0094443B" w:rsidRDefault="0061620A" w:rsidP="0061620A">
      <w:pPr>
        <w:autoSpaceDE w:val="0"/>
        <w:autoSpaceDN w:val="0"/>
        <w:adjustRightInd w:val="0"/>
        <w:rPr>
          <w:rFonts w:ascii="Arial" w:hAnsi="Arial" w:cs="Arial"/>
          <w:color w:val="000000"/>
        </w:rPr>
      </w:pPr>
    </w:p>
    <w:p w14:paraId="1D7FA14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445AFB3B" w14:textId="77777777" w:rsidR="0061620A" w:rsidRPr="0094443B" w:rsidRDefault="0061620A" w:rsidP="0061620A">
      <w:pPr>
        <w:autoSpaceDE w:val="0"/>
        <w:autoSpaceDN w:val="0"/>
        <w:adjustRightInd w:val="0"/>
        <w:rPr>
          <w:rFonts w:ascii="Arial" w:hAnsi="Arial" w:cs="Arial"/>
          <w:color w:val="000000"/>
        </w:rPr>
      </w:pPr>
    </w:p>
    <w:p w14:paraId="7164E97C"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75E3F32" w14:textId="77777777" w:rsidR="0061620A" w:rsidRPr="0094443B" w:rsidRDefault="0061620A" w:rsidP="0061620A">
      <w:pPr>
        <w:ind w:left="397"/>
        <w:jc w:val="both"/>
        <w:rPr>
          <w:rFonts w:ascii="Arial" w:hAnsi="Arial" w:cs="Arial"/>
          <w:sz w:val="20"/>
          <w:szCs w:val="20"/>
        </w:rPr>
      </w:pPr>
    </w:p>
    <w:p w14:paraId="05AB3277"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13BBB5C8" w14:textId="77777777" w:rsidR="0061620A" w:rsidRPr="0094443B" w:rsidRDefault="0061620A" w:rsidP="0061620A">
      <w:pPr>
        <w:jc w:val="both"/>
        <w:rPr>
          <w:rFonts w:ascii="Arial" w:hAnsi="Arial" w:cs="Arial"/>
          <w:sz w:val="20"/>
          <w:szCs w:val="20"/>
        </w:rPr>
      </w:pPr>
    </w:p>
    <w:p w14:paraId="23397620"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E757380" w14:textId="77777777" w:rsidR="0061620A" w:rsidRPr="0094443B" w:rsidRDefault="0061620A" w:rsidP="0061620A">
      <w:pPr>
        <w:jc w:val="both"/>
        <w:rPr>
          <w:rFonts w:ascii="Arial" w:hAnsi="Arial" w:cs="Arial"/>
          <w:sz w:val="20"/>
          <w:szCs w:val="20"/>
        </w:rPr>
      </w:pPr>
    </w:p>
    <w:p w14:paraId="2ADCF973"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7A5A85AB" w14:textId="77777777" w:rsidR="00480CBD" w:rsidRDefault="00480CBD" w:rsidP="00480CBD">
      <w:pPr>
        <w:ind w:left="397"/>
        <w:jc w:val="both"/>
        <w:rPr>
          <w:rFonts w:ascii="Arial" w:hAnsi="Arial" w:cs="Arial"/>
          <w:sz w:val="20"/>
          <w:szCs w:val="20"/>
        </w:rPr>
      </w:pPr>
    </w:p>
    <w:p w14:paraId="7DC6E99A"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52FCBC25" w14:textId="77777777" w:rsidR="0061620A" w:rsidRPr="0094443B" w:rsidRDefault="0061620A" w:rsidP="0061620A">
      <w:pPr>
        <w:jc w:val="both"/>
        <w:rPr>
          <w:rFonts w:ascii="Arial" w:hAnsi="Arial" w:cs="Arial"/>
          <w:sz w:val="20"/>
          <w:szCs w:val="20"/>
        </w:rPr>
      </w:pPr>
    </w:p>
    <w:p w14:paraId="44CAB361"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2F506535" w14:textId="77777777" w:rsidR="0061620A" w:rsidRPr="0094443B" w:rsidRDefault="0061620A" w:rsidP="0061620A">
      <w:pPr>
        <w:ind w:left="360" w:hanging="360"/>
        <w:jc w:val="both"/>
        <w:rPr>
          <w:rFonts w:ascii="Arial" w:hAnsi="Arial" w:cs="Arial"/>
          <w:sz w:val="20"/>
          <w:szCs w:val="20"/>
        </w:rPr>
      </w:pPr>
    </w:p>
    <w:p w14:paraId="3A477B58"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6353B7AF" w14:textId="77777777" w:rsidR="0061620A" w:rsidRPr="0094443B" w:rsidRDefault="0061620A" w:rsidP="0061620A">
      <w:pPr>
        <w:jc w:val="both"/>
        <w:rPr>
          <w:rFonts w:ascii="Arial" w:hAnsi="Arial" w:cs="Arial"/>
          <w:color w:val="000000"/>
          <w:sz w:val="20"/>
          <w:szCs w:val="20"/>
        </w:rPr>
      </w:pPr>
    </w:p>
    <w:p w14:paraId="1DBA90D0"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952460B" w14:textId="77777777" w:rsidR="0061620A" w:rsidRPr="0094443B" w:rsidRDefault="0061620A" w:rsidP="0061620A">
      <w:pPr>
        <w:tabs>
          <w:tab w:val="right" w:pos="11592"/>
        </w:tabs>
        <w:suppressAutoHyphens/>
        <w:jc w:val="both"/>
        <w:rPr>
          <w:rFonts w:ascii="Arial" w:hAnsi="Arial" w:cs="Arial"/>
          <w:sz w:val="20"/>
          <w:szCs w:val="20"/>
        </w:rPr>
      </w:pPr>
    </w:p>
    <w:p w14:paraId="0455DC9B"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CFCDA28"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3B4A250C" w14:textId="77777777" w:rsid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Tato smlouva nabývá</w:t>
      </w:r>
      <w:r w:rsidR="00EE002F">
        <w:rPr>
          <w:rFonts w:ascii="Arial" w:hAnsi="Arial" w:cs="Arial"/>
          <w:sz w:val="20"/>
          <w:szCs w:val="20"/>
        </w:rPr>
        <w:t xml:space="preserve"> </w:t>
      </w:r>
      <w:r w:rsidR="00F77D71" w:rsidRPr="00E40695">
        <w:rPr>
          <w:rFonts w:ascii="Arial" w:hAnsi="Arial" w:cs="Arial"/>
          <w:sz w:val="20"/>
          <w:szCs w:val="20"/>
        </w:rPr>
        <w:t xml:space="preserve">účinnosti </w:t>
      </w:r>
      <w:r w:rsidRPr="00E40695">
        <w:rPr>
          <w:rFonts w:ascii="Arial" w:hAnsi="Arial" w:cs="Arial"/>
          <w:sz w:val="20"/>
          <w:szCs w:val="20"/>
        </w:rPr>
        <w:t>dnem</w:t>
      </w:r>
      <w:r w:rsidR="00E40695" w:rsidRPr="00E40695">
        <w:rPr>
          <w:rFonts w:ascii="Arial" w:hAnsi="Arial" w:cs="Arial"/>
          <w:sz w:val="20"/>
          <w:szCs w:val="20"/>
        </w:rPr>
        <w:t xml:space="preserve"> 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267C0238" w14:textId="77777777" w:rsidR="003A456B" w:rsidRDefault="003A456B" w:rsidP="003A456B">
      <w:pPr>
        <w:pStyle w:val="Odstavecseseznamem"/>
        <w:rPr>
          <w:rFonts w:ascii="Arial" w:hAnsi="Arial" w:cs="Arial"/>
          <w:sz w:val="20"/>
          <w:szCs w:val="20"/>
        </w:rPr>
      </w:pPr>
    </w:p>
    <w:p w14:paraId="7E6DF568" w14:textId="77777777" w:rsidR="00B0151B" w:rsidRPr="003A456B" w:rsidRDefault="003A456B" w:rsidP="003A456B">
      <w:pPr>
        <w:pStyle w:val="Odstavecseseznamem"/>
        <w:widowControl w:val="0"/>
        <w:numPr>
          <w:ilvl w:val="0"/>
          <w:numId w:val="9"/>
        </w:numPr>
        <w:autoSpaceDE w:val="0"/>
        <w:autoSpaceDN w:val="0"/>
        <w:adjustRightInd w:val="0"/>
        <w:jc w:val="both"/>
        <w:rPr>
          <w:rFonts w:ascii="Arial" w:hAnsi="Arial" w:cs="Arial"/>
          <w:sz w:val="20"/>
          <w:szCs w:val="20"/>
        </w:rPr>
      </w:pPr>
      <w:r w:rsidRPr="003A456B">
        <w:rPr>
          <w:rFonts w:ascii="Arial" w:hAnsi="Arial" w:cs="Arial"/>
          <w:sz w:val="20"/>
          <w:szCs w:val="20"/>
        </w:rPr>
        <w:t>S</w:t>
      </w:r>
      <w:r w:rsidR="008E4F05" w:rsidRPr="003A456B">
        <w:rPr>
          <w:rFonts w:ascii="Arial" w:hAnsi="Arial" w:cs="Arial"/>
          <w:sz w:val="20"/>
          <w:szCs w:val="20"/>
        </w:rPr>
        <w:t>mluvní strany berou na vědomí, že kupující je ve smyslu § 2 odst.</w:t>
      </w:r>
      <w:r w:rsidR="00421A07" w:rsidRPr="003A456B">
        <w:rPr>
          <w:rFonts w:ascii="Arial" w:hAnsi="Arial" w:cs="Arial"/>
          <w:sz w:val="20"/>
          <w:szCs w:val="20"/>
        </w:rPr>
        <w:t xml:space="preserve"> </w:t>
      </w:r>
      <w:r w:rsidR="008E4F05" w:rsidRPr="003A456B">
        <w:rPr>
          <w:rFonts w:ascii="Arial" w:hAnsi="Arial" w:cs="Arial"/>
          <w:sz w:val="20"/>
          <w:szCs w:val="20"/>
        </w:rPr>
        <w:t>1 písm. e) osobou, na n</w:t>
      </w:r>
      <w:r w:rsidR="00463512" w:rsidRPr="003A456B">
        <w:rPr>
          <w:rFonts w:ascii="Arial" w:hAnsi="Arial" w:cs="Arial"/>
          <w:sz w:val="20"/>
          <w:szCs w:val="20"/>
        </w:rPr>
        <w:t>i</w:t>
      </w:r>
      <w:r w:rsidR="008E4F05" w:rsidRPr="003A456B">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3A456B">
        <w:rPr>
          <w:rFonts w:ascii="Arial" w:hAnsi="Arial" w:cs="Arial"/>
          <w:sz w:val="20"/>
          <w:szCs w:val="20"/>
        </w:rPr>
        <w:t> </w:t>
      </w:r>
      <w:r w:rsidR="008E4F05" w:rsidRPr="003A456B">
        <w:rPr>
          <w:rFonts w:ascii="Arial" w:hAnsi="Arial" w:cs="Arial"/>
          <w:sz w:val="20"/>
          <w:szCs w:val="20"/>
        </w:rPr>
        <w:t xml:space="preserve"> registru smluv znečitelnit. </w:t>
      </w:r>
      <w:r w:rsidR="00090AAA" w:rsidRPr="003A456B">
        <w:rPr>
          <w:rFonts w:ascii="Arial" w:hAnsi="Arial" w:cs="Arial"/>
          <w:sz w:val="20"/>
          <w:szCs w:val="20"/>
        </w:rPr>
        <w:t xml:space="preserve">Uveřejnění </w:t>
      </w:r>
      <w:r w:rsidR="00B0151B" w:rsidRPr="003A456B">
        <w:rPr>
          <w:rFonts w:ascii="Arial" w:hAnsi="Arial" w:cs="Arial"/>
          <w:sz w:val="20"/>
          <w:szCs w:val="20"/>
        </w:rPr>
        <w:t xml:space="preserve">této smlouvy </w:t>
      </w:r>
      <w:r w:rsidR="00090AAA" w:rsidRPr="003A456B">
        <w:rPr>
          <w:rFonts w:ascii="Arial" w:hAnsi="Arial" w:cs="Arial"/>
          <w:sz w:val="20"/>
          <w:szCs w:val="20"/>
        </w:rPr>
        <w:t xml:space="preserve">prostřednictvím registru smluv </w:t>
      </w:r>
      <w:r w:rsidR="00B66DF9" w:rsidRPr="003A456B">
        <w:rPr>
          <w:rFonts w:ascii="Arial" w:hAnsi="Arial" w:cs="Arial"/>
          <w:sz w:val="20"/>
          <w:szCs w:val="20"/>
        </w:rPr>
        <w:t xml:space="preserve">zajistí </w:t>
      </w:r>
      <w:r w:rsidR="00E40695" w:rsidRPr="003A456B">
        <w:rPr>
          <w:rFonts w:ascii="Arial" w:hAnsi="Arial" w:cs="Arial"/>
          <w:sz w:val="20"/>
          <w:szCs w:val="20"/>
        </w:rPr>
        <w:t xml:space="preserve">kupující </w:t>
      </w:r>
      <w:r w:rsidR="00B66DF9" w:rsidRPr="003A456B">
        <w:rPr>
          <w:rFonts w:ascii="Arial" w:hAnsi="Arial" w:cs="Arial"/>
          <w:sz w:val="20"/>
          <w:szCs w:val="20"/>
        </w:rPr>
        <w:t>do 15 dnů od uzavření smlouvy</w:t>
      </w:r>
      <w:r w:rsidR="00B0151B" w:rsidRPr="003A456B">
        <w:rPr>
          <w:rFonts w:ascii="Arial" w:hAnsi="Arial" w:cs="Arial"/>
          <w:sz w:val="20"/>
          <w:szCs w:val="20"/>
        </w:rPr>
        <w:t>.</w:t>
      </w:r>
    </w:p>
    <w:p w14:paraId="5B6C9988" w14:textId="77777777" w:rsidR="00B0151B" w:rsidRDefault="00B0151B" w:rsidP="00B0151B">
      <w:pPr>
        <w:widowControl w:val="0"/>
        <w:autoSpaceDE w:val="0"/>
        <w:autoSpaceDN w:val="0"/>
        <w:adjustRightInd w:val="0"/>
        <w:ind w:left="397"/>
        <w:jc w:val="both"/>
        <w:rPr>
          <w:rFonts w:ascii="Arial" w:hAnsi="Arial" w:cs="Arial"/>
          <w:sz w:val="20"/>
          <w:szCs w:val="20"/>
        </w:rPr>
      </w:pPr>
    </w:p>
    <w:p w14:paraId="704ACEE5"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00F014E4"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14:paraId="155E1F4F" w14:textId="77777777" w:rsidR="008E4F05" w:rsidRDefault="008E4F05" w:rsidP="008E4F05">
      <w:pPr>
        <w:pStyle w:val="Default"/>
        <w:rPr>
          <w:sz w:val="20"/>
          <w:szCs w:val="20"/>
        </w:rPr>
      </w:pPr>
    </w:p>
    <w:p w14:paraId="56E3E12E" w14:textId="77777777" w:rsidR="0061620A" w:rsidRDefault="00FA2793"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7E78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7F4291FD" w14:textId="244D061F" w:rsidR="00FE4C25" w:rsidRDefault="00FA2793"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48D3F9C5">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p w14:paraId="39F0ABD4" w14:textId="60FCB250" w:rsidR="00B13B3C" w:rsidRDefault="00B13B3C" w:rsidP="0061620A">
      <w:pPr>
        <w:widowControl w:val="0"/>
        <w:autoSpaceDE w:val="0"/>
        <w:autoSpaceDN w:val="0"/>
        <w:adjustRightInd w:val="0"/>
        <w:ind w:left="397"/>
        <w:jc w:val="both"/>
        <w:rPr>
          <w:rFonts w:ascii="Arial" w:hAnsi="Arial" w:cs="Arial"/>
          <w:sz w:val="20"/>
          <w:szCs w:val="20"/>
        </w:rPr>
      </w:pPr>
    </w:p>
    <w:p w14:paraId="5951A025" w14:textId="2B7999AA" w:rsidR="00B13B3C" w:rsidRDefault="00B13B3C" w:rsidP="0061620A">
      <w:pPr>
        <w:widowControl w:val="0"/>
        <w:autoSpaceDE w:val="0"/>
        <w:autoSpaceDN w:val="0"/>
        <w:adjustRightInd w:val="0"/>
        <w:ind w:left="397"/>
        <w:jc w:val="both"/>
        <w:rPr>
          <w:rFonts w:ascii="Arial" w:hAnsi="Arial" w:cs="Arial"/>
          <w:sz w:val="20"/>
          <w:szCs w:val="20"/>
        </w:rPr>
      </w:pPr>
    </w:p>
    <w:p w14:paraId="7308C9A6" w14:textId="332CDCAB" w:rsidR="00B13B3C" w:rsidRDefault="00B13B3C" w:rsidP="0061620A">
      <w:pPr>
        <w:widowControl w:val="0"/>
        <w:autoSpaceDE w:val="0"/>
        <w:autoSpaceDN w:val="0"/>
        <w:adjustRightInd w:val="0"/>
        <w:ind w:left="397"/>
        <w:jc w:val="both"/>
        <w:rPr>
          <w:rFonts w:ascii="Arial" w:hAnsi="Arial" w:cs="Arial"/>
          <w:sz w:val="20"/>
          <w:szCs w:val="20"/>
        </w:rPr>
      </w:pPr>
    </w:p>
    <w:p w14:paraId="5B1A4D3C" w14:textId="1B11CAB8" w:rsidR="00B13B3C" w:rsidRDefault="00B13B3C" w:rsidP="0061620A">
      <w:pPr>
        <w:widowControl w:val="0"/>
        <w:autoSpaceDE w:val="0"/>
        <w:autoSpaceDN w:val="0"/>
        <w:adjustRightInd w:val="0"/>
        <w:ind w:left="397"/>
        <w:jc w:val="both"/>
        <w:rPr>
          <w:rFonts w:ascii="Arial" w:hAnsi="Arial" w:cs="Arial"/>
          <w:sz w:val="20"/>
          <w:szCs w:val="20"/>
        </w:rPr>
      </w:pPr>
    </w:p>
    <w:p w14:paraId="149AB91B" w14:textId="0EBC067F" w:rsidR="00B13B3C" w:rsidRDefault="00B13B3C" w:rsidP="0061620A">
      <w:pPr>
        <w:widowControl w:val="0"/>
        <w:autoSpaceDE w:val="0"/>
        <w:autoSpaceDN w:val="0"/>
        <w:adjustRightInd w:val="0"/>
        <w:ind w:left="397"/>
        <w:jc w:val="both"/>
        <w:rPr>
          <w:rFonts w:ascii="Arial" w:hAnsi="Arial" w:cs="Arial"/>
          <w:sz w:val="20"/>
          <w:szCs w:val="20"/>
        </w:rPr>
      </w:pPr>
    </w:p>
    <w:p w14:paraId="5E51E6C3" w14:textId="070EC2A0" w:rsidR="00B13B3C" w:rsidRDefault="00B13B3C" w:rsidP="0061620A">
      <w:pPr>
        <w:widowControl w:val="0"/>
        <w:autoSpaceDE w:val="0"/>
        <w:autoSpaceDN w:val="0"/>
        <w:adjustRightInd w:val="0"/>
        <w:ind w:left="397"/>
        <w:jc w:val="both"/>
        <w:rPr>
          <w:rFonts w:ascii="Arial" w:hAnsi="Arial" w:cs="Arial"/>
          <w:sz w:val="20"/>
          <w:szCs w:val="20"/>
        </w:rPr>
      </w:pPr>
    </w:p>
    <w:p w14:paraId="5C4D2A4C" w14:textId="175C8BF7" w:rsidR="00B13B3C" w:rsidRDefault="00B13B3C" w:rsidP="0061620A">
      <w:pPr>
        <w:widowControl w:val="0"/>
        <w:autoSpaceDE w:val="0"/>
        <w:autoSpaceDN w:val="0"/>
        <w:adjustRightInd w:val="0"/>
        <w:ind w:left="397"/>
        <w:jc w:val="both"/>
        <w:rPr>
          <w:rFonts w:ascii="Arial" w:hAnsi="Arial" w:cs="Arial"/>
          <w:sz w:val="20"/>
          <w:szCs w:val="20"/>
        </w:rPr>
      </w:pPr>
    </w:p>
    <w:p w14:paraId="54723ADA" w14:textId="3D4898E8" w:rsidR="00B13B3C" w:rsidRDefault="00B13B3C" w:rsidP="0061620A">
      <w:pPr>
        <w:widowControl w:val="0"/>
        <w:autoSpaceDE w:val="0"/>
        <w:autoSpaceDN w:val="0"/>
        <w:adjustRightInd w:val="0"/>
        <w:ind w:left="397"/>
        <w:jc w:val="both"/>
        <w:rPr>
          <w:rFonts w:ascii="Arial" w:hAnsi="Arial" w:cs="Arial"/>
          <w:sz w:val="20"/>
          <w:szCs w:val="20"/>
        </w:rPr>
      </w:pPr>
    </w:p>
    <w:p w14:paraId="251EE2B6" w14:textId="2CEC1F35" w:rsidR="00B13B3C" w:rsidRDefault="00B13B3C" w:rsidP="0061620A">
      <w:pPr>
        <w:widowControl w:val="0"/>
        <w:autoSpaceDE w:val="0"/>
        <w:autoSpaceDN w:val="0"/>
        <w:adjustRightInd w:val="0"/>
        <w:ind w:left="397"/>
        <w:jc w:val="both"/>
        <w:rPr>
          <w:rFonts w:ascii="Arial" w:hAnsi="Arial" w:cs="Arial"/>
          <w:sz w:val="20"/>
          <w:szCs w:val="20"/>
        </w:rPr>
      </w:pPr>
    </w:p>
    <w:p w14:paraId="79760BD8" w14:textId="40B14445" w:rsidR="00B13B3C" w:rsidRDefault="00B13B3C" w:rsidP="0061620A">
      <w:pPr>
        <w:widowControl w:val="0"/>
        <w:autoSpaceDE w:val="0"/>
        <w:autoSpaceDN w:val="0"/>
        <w:adjustRightInd w:val="0"/>
        <w:ind w:left="397"/>
        <w:jc w:val="both"/>
        <w:rPr>
          <w:rFonts w:ascii="Arial" w:hAnsi="Arial" w:cs="Arial"/>
          <w:sz w:val="20"/>
          <w:szCs w:val="20"/>
        </w:rPr>
      </w:pPr>
    </w:p>
    <w:p w14:paraId="6B94ECFF" w14:textId="4B54DBFC" w:rsidR="00B13B3C" w:rsidRDefault="00B13B3C" w:rsidP="0061620A">
      <w:pPr>
        <w:widowControl w:val="0"/>
        <w:autoSpaceDE w:val="0"/>
        <w:autoSpaceDN w:val="0"/>
        <w:adjustRightInd w:val="0"/>
        <w:ind w:left="397"/>
        <w:jc w:val="both"/>
        <w:rPr>
          <w:rFonts w:ascii="Arial" w:hAnsi="Arial" w:cs="Arial"/>
          <w:sz w:val="20"/>
          <w:szCs w:val="20"/>
        </w:rPr>
      </w:pPr>
    </w:p>
    <w:p w14:paraId="11883B60" w14:textId="325A89C6" w:rsidR="00B13B3C" w:rsidRDefault="00B13B3C" w:rsidP="0061620A">
      <w:pPr>
        <w:widowControl w:val="0"/>
        <w:autoSpaceDE w:val="0"/>
        <w:autoSpaceDN w:val="0"/>
        <w:adjustRightInd w:val="0"/>
        <w:ind w:left="397"/>
        <w:jc w:val="both"/>
        <w:rPr>
          <w:rFonts w:ascii="Arial" w:hAnsi="Arial" w:cs="Arial"/>
          <w:sz w:val="20"/>
          <w:szCs w:val="20"/>
        </w:rPr>
      </w:pPr>
    </w:p>
    <w:p w14:paraId="566437BC" w14:textId="5DBB1A16" w:rsidR="00B13B3C" w:rsidRDefault="00B13B3C" w:rsidP="0061620A">
      <w:pPr>
        <w:widowControl w:val="0"/>
        <w:autoSpaceDE w:val="0"/>
        <w:autoSpaceDN w:val="0"/>
        <w:adjustRightInd w:val="0"/>
        <w:ind w:left="397"/>
        <w:jc w:val="both"/>
        <w:rPr>
          <w:rFonts w:ascii="Arial" w:hAnsi="Arial" w:cs="Arial"/>
          <w:sz w:val="20"/>
          <w:szCs w:val="20"/>
        </w:rPr>
      </w:pPr>
    </w:p>
    <w:p w14:paraId="6DE4A252" w14:textId="773405F1" w:rsidR="00B13B3C" w:rsidRDefault="00B13B3C" w:rsidP="0061620A">
      <w:pPr>
        <w:widowControl w:val="0"/>
        <w:autoSpaceDE w:val="0"/>
        <w:autoSpaceDN w:val="0"/>
        <w:adjustRightInd w:val="0"/>
        <w:ind w:left="397"/>
        <w:jc w:val="both"/>
        <w:rPr>
          <w:rFonts w:ascii="Arial" w:hAnsi="Arial" w:cs="Arial"/>
          <w:sz w:val="20"/>
          <w:szCs w:val="20"/>
        </w:rPr>
      </w:pPr>
    </w:p>
    <w:p w14:paraId="21D4ECF5" w14:textId="009336F8" w:rsidR="00B13B3C" w:rsidRDefault="00B13B3C" w:rsidP="0061620A">
      <w:pPr>
        <w:widowControl w:val="0"/>
        <w:autoSpaceDE w:val="0"/>
        <w:autoSpaceDN w:val="0"/>
        <w:adjustRightInd w:val="0"/>
        <w:ind w:left="397"/>
        <w:jc w:val="both"/>
        <w:rPr>
          <w:rFonts w:ascii="Arial" w:hAnsi="Arial" w:cs="Arial"/>
          <w:sz w:val="20"/>
          <w:szCs w:val="20"/>
        </w:rPr>
      </w:pPr>
    </w:p>
    <w:p w14:paraId="2AB071E8" w14:textId="4E0E9265" w:rsidR="00B13B3C" w:rsidRDefault="00B13B3C" w:rsidP="0061620A">
      <w:pPr>
        <w:widowControl w:val="0"/>
        <w:autoSpaceDE w:val="0"/>
        <w:autoSpaceDN w:val="0"/>
        <w:adjustRightInd w:val="0"/>
        <w:ind w:left="397"/>
        <w:jc w:val="both"/>
        <w:rPr>
          <w:rFonts w:ascii="Arial" w:hAnsi="Arial" w:cs="Arial"/>
          <w:sz w:val="20"/>
          <w:szCs w:val="20"/>
        </w:rPr>
      </w:pPr>
    </w:p>
    <w:p w14:paraId="20130C1D" w14:textId="15C48769" w:rsidR="00B13B3C" w:rsidRDefault="00B13B3C" w:rsidP="0061620A">
      <w:pPr>
        <w:widowControl w:val="0"/>
        <w:autoSpaceDE w:val="0"/>
        <w:autoSpaceDN w:val="0"/>
        <w:adjustRightInd w:val="0"/>
        <w:ind w:left="397"/>
        <w:jc w:val="both"/>
        <w:rPr>
          <w:rFonts w:ascii="Arial" w:hAnsi="Arial" w:cs="Arial"/>
          <w:sz w:val="20"/>
          <w:szCs w:val="20"/>
        </w:rPr>
      </w:pPr>
    </w:p>
    <w:p w14:paraId="2F8B7693" w14:textId="1450BE6C" w:rsidR="00B13B3C" w:rsidRDefault="00B13B3C" w:rsidP="0061620A">
      <w:pPr>
        <w:widowControl w:val="0"/>
        <w:autoSpaceDE w:val="0"/>
        <w:autoSpaceDN w:val="0"/>
        <w:adjustRightInd w:val="0"/>
        <w:ind w:left="397"/>
        <w:jc w:val="both"/>
        <w:rPr>
          <w:rFonts w:ascii="Arial" w:hAnsi="Arial" w:cs="Arial"/>
          <w:sz w:val="20"/>
          <w:szCs w:val="20"/>
        </w:rPr>
      </w:pPr>
    </w:p>
    <w:p w14:paraId="78A5E09D" w14:textId="0EA6EDC2" w:rsidR="00B13B3C" w:rsidRDefault="00B13B3C" w:rsidP="0061620A">
      <w:pPr>
        <w:widowControl w:val="0"/>
        <w:autoSpaceDE w:val="0"/>
        <w:autoSpaceDN w:val="0"/>
        <w:adjustRightInd w:val="0"/>
        <w:ind w:left="397"/>
        <w:jc w:val="both"/>
        <w:rPr>
          <w:rFonts w:ascii="Arial" w:hAnsi="Arial" w:cs="Arial"/>
          <w:sz w:val="20"/>
          <w:szCs w:val="20"/>
        </w:rPr>
      </w:pPr>
    </w:p>
    <w:p w14:paraId="34FBF5BB" w14:textId="410EE0FF" w:rsidR="00B13B3C" w:rsidRDefault="00B13B3C" w:rsidP="0061620A">
      <w:pPr>
        <w:widowControl w:val="0"/>
        <w:autoSpaceDE w:val="0"/>
        <w:autoSpaceDN w:val="0"/>
        <w:adjustRightInd w:val="0"/>
        <w:ind w:left="397"/>
        <w:jc w:val="both"/>
        <w:rPr>
          <w:rFonts w:ascii="Arial" w:hAnsi="Arial" w:cs="Arial"/>
          <w:sz w:val="20"/>
          <w:szCs w:val="20"/>
        </w:rPr>
      </w:pPr>
    </w:p>
    <w:p w14:paraId="72DA7D36" w14:textId="43027402" w:rsidR="00B13B3C" w:rsidRDefault="00B13B3C" w:rsidP="0061620A">
      <w:pPr>
        <w:widowControl w:val="0"/>
        <w:autoSpaceDE w:val="0"/>
        <w:autoSpaceDN w:val="0"/>
        <w:adjustRightInd w:val="0"/>
        <w:ind w:left="397"/>
        <w:jc w:val="both"/>
        <w:rPr>
          <w:rFonts w:ascii="Arial" w:hAnsi="Arial" w:cs="Arial"/>
          <w:sz w:val="20"/>
          <w:szCs w:val="20"/>
        </w:rPr>
      </w:pPr>
    </w:p>
    <w:p w14:paraId="50294013" w14:textId="598C0074" w:rsidR="00B13B3C" w:rsidRDefault="00B13B3C" w:rsidP="0061620A">
      <w:pPr>
        <w:widowControl w:val="0"/>
        <w:autoSpaceDE w:val="0"/>
        <w:autoSpaceDN w:val="0"/>
        <w:adjustRightInd w:val="0"/>
        <w:ind w:left="397"/>
        <w:jc w:val="both"/>
        <w:rPr>
          <w:rFonts w:ascii="Arial" w:hAnsi="Arial" w:cs="Arial"/>
          <w:sz w:val="20"/>
          <w:szCs w:val="20"/>
        </w:rPr>
      </w:pPr>
    </w:p>
    <w:tbl>
      <w:tblPr>
        <w:tblStyle w:val="Mkatabulky"/>
        <w:tblW w:w="0" w:type="auto"/>
        <w:tblLook w:val="04A0" w:firstRow="1" w:lastRow="0" w:firstColumn="1" w:lastColumn="0" w:noHBand="0" w:noVBand="1"/>
      </w:tblPr>
      <w:tblGrid>
        <w:gridCol w:w="698"/>
        <w:gridCol w:w="645"/>
        <w:gridCol w:w="685"/>
        <w:gridCol w:w="698"/>
        <w:gridCol w:w="698"/>
        <w:gridCol w:w="525"/>
        <w:gridCol w:w="1442"/>
        <w:gridCol w:w="731"/>
        <w:gridCol w:w="700"/>
        <w:gridCol w:w="727"/>
        <w:gridCol w:w="716"/>
      </w:tblGrid>
      <w:tr w:rsidR="00050C7E" w:rsidRPr="00050C7E" w14:paraId="295B3B7B" w14:textId="77777777" w:rsidTr="00050C7E">
        <w:trPr>
          <w:trHeight w:val="420"/>
        </w:trPr>
        <w:tc>
          <w:tcPr>
            <w:tcW w:w="7549" w:type="dxa"/>
            <w:gridSpan w:val="10"/>
            <w:noWrap/>
            <w:hideMark/>
          </w:tcPr>
          <w:p w14:paraId="5DAFD42E" w14:textId="577AA2BF" w:rsidR="00050C7E" w:rsidRPr="00050C7E" w:rsidRDefault="00050C7E" w:rsidP="00050C7E">
            <w:pPr>
              <w:widowControl w:val="0"/>
              <w:autoSpaceDE w:val="0"/>
              <w:autoSpaceDN w:val="0"/>
              <w:adjustRightInd w:val="0"/>
              <w:ind w:left="397"/>
              <w:jc w:val="both"/>
              <w:rPr>
                <w:rFonts w:ascii="Arial" w:hAnsi="Arial" w:cs="Arial"/>
                <w:b/>
                <w:bCs/>
                <w:sz w:val="20"/>
                <w:szCs w:val="20"/>
              </w:rPr>
            </w:pPr>
            <w:r w:rsidRPr="00050C7E">
              <w:rPr>
                <w:rFonts w:ascii="Arial" w:hAnsi="Arial" w:cs="Arial"/>
                <w:b/>
                <w:bCs/>
                <w:sz w:val="20"/>
                <w:szCs w:val="20"/>
              </w:rPr>
              <w:t>Příloha</w:t>
            </w:r>
            <w:r w:rsidR="00575AEF">
              <w:rPr>
                <w:rFonts w:ascii="Arial" w:hAnsi="Arial" w:cs="Arial"/>
                <w:b/>
                <w:bCs/>
                <w:sz w:val="20"/>
                <w:szCs w:val="20"/>
              </w:rPr>
              <w:t xml:space="preserve"> č.1</w:t>
            </w:r>
            <w:r w:rsidRPr="00050C7E">
              <w:rPr>
                <w:rFonts w:ascii="Arial" w:hAnsi="Arial" w:cs="Arial"/>
                <w:b/>
                <w:bCs/>
                <w:sz w:val="20"/>
                <w:szCs w:val="20"/>
              </w:rPr>
              <w:t xml:space="preserve"> - Technická specifikace</w:t>
            </w:r>
          </w:p>
        </w:tc>
        <w:tc>
          <w:tcPr>
            <w:tcW w:w="716" w:type="dxa"/>
            <w:noWrap/>
            <w:hideMark/>
          </w:tcPr>
          <w:p w14:paraId="3D6BD103"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p>
        </w:tc>
      </w:tr>
      <w:tr w:rsidR="00050C7E" w:rsidRPr="00050C7E" w14:paraId="0B3BF24C" w14:textId="77777777" w:rsidTr="00050C7E">
        <w:trPr>
          <w:trHeight w:val="420"/>
        </w:trPr>
        <w:tc>
          <w:tcPr>
            <w:tcW w:w="698" w:type="dxa"/>
            <w:noWrap/>
            <w:hideMark/>
          </w:tcPr>
          <w:p w14:paraId="2C05A7A4"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p>
        </w:tc>
        <w:tc>
          <w:tcPr>
            <w:tcW w:w="645" w:type="dxa"/>
            <w:noWrap/>
            <w:hideMark/>
          </w:tcPr>
          <w:p w14:paraId="6FFCFCC4"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p>
        </w:tc>
        <w:tc>
          <w:tcPr>
            <w:tcW w:w="685" w:type="dxa"/>
            <w:noWrap/>
            <w:hideMark/>
          </w:tcPr>
          <w:p w14:paraId="5779E243"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p>
        </w:tc>
        <w:tc>
          <w:tcPr>
            <w:tcW w:w="698" w:type="dxa"/>
            <w:noWrap/>
            <w:hideMark/>
          </w:tcPr>
          <w:p w14:paraId="79EA164D"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p>
        </w:tc>
        <w:tc>
          <w:tcPr>
            <w:tcW w:w="698" w:type="dxa"/>
            <w:noWrap/>
            <w:hideMark/>
          </w:tcPr>
          <w:p w14:paraId="246692BE"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p>
        </w:tc>
        <w:tc>
          <w:tcPr>
            <w:tcW w:w="525" w:type="dxa"/>
            <w:noWrap/>
            <w:hideMark/>
          </w:tcPr>
          <w:p w14:paraId="0E1845CA"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p>
        </w:tc>
        <w:tc>
          <w:tcPr>
            <w:tcW w:w="1442" w:type="dxa"/>
            <w:noWrap/>
            <w:hideMark/>
          </w:tcPr>
          <w:p w14:paraId="543A03CA"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p>
        </w:tc>
        <w:tc>
          <w:tcPr>
            <w:tcW w:w="731" w:type="dxa"/>
            <w:noWrap/>
            <w:hideMark/>
          </w:tcPr>
          <w:p w14:paraId="50B03912"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p>
        </w:tc>
        <w:tc>
          <w:tcPr>
            <w:tcW w:w="700" w:type="dxa"/>
            <w:noWrap/>
            <w:hideMark/>
          </w:tcPr>
          <w:p w14:paraId="138A3578"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p>
        </w:tc>
        <w:tc>
          <w:tcPr>
            <w:tcW w:w="727" w:type="dxa"/>
            <w:noWrap/>
            <w:hideMark/>
          </w:tcPr>
          <w:p w14:paraId="3831EC79"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p>
        </w:tc>
        <w:tc>
          <w:tcPr>
            <w:tcW w:w="716" w:type="dxa"/>
            <w:noWrap/>
            <w:hideMark/>
          </w:tcPr>
          <w:p w14:paraId="6E49BA6B"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p>
        </w:tc>
      </w:tr>
      <w:tr w:rsidR="00050C7E" w:rsidRPr="00050C7E" w14:paraId="3C8462CB" w14:textId="77777777" w:rsidTr="00050C7E">
        <w:trPr>
          <w:trHeight w:val="1395"/>
        </w:trPr>
        <w:tc>
          <w:tcPr>
            <w:tcW w:w="8265" w:type="dxa"/>
            <w:gridSpan w:val="11"/>
            <w:hideMark/>
          </w:tcPr>
          <w:p w14:paraId="15CB098E"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Předmětem zakázky je tandemový mikroreaktor pro online spojení s plynovým chromatografem s hmotnostně spektrometrickou detekcí pro možnost experimentů EGA (evolved gas analysis), TDU (termální desorpce), pyrolýzy a testování katalyzátorů. Systém bude dodán včetně řídícího softwaru a softwaru pro identifikaci polymerů.</w:t>
            </w:r>
          </w:p>
        </w:tc>
      </w:tr>
      <w:tr w:rsidR="00050C7E" w:rsidRPr="00050C7E" w14:paraId="62B5D5BD" w14:textId="77777777" w:rsidTr="00050C7E">
        <w:trPr>
          <w:trHeight w:val="300"/>
        </w:trPr>
        <w:tc>
          <w:tcPr>
            <w:tcW w:w="698" w:type="dxa"/>
            <w:noWrap/>
            <w:hideMark/>
          </w:tcPr>
          <w:p w14:paraId="3DCED7F1"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p>
        </w:tc>
        <w:tc>
          <w:tcPr>
            <w:tcW w:w="645" w:type="dxa"/>
            <w:noWrap/>
            <w:hideMark/>
          </w:tcPr>
          <w:p w14:paraId="433F1C5B"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p>
        </w:tc>
        <w:tc>
          <w:tcPr>
            <w:tcW w:w="685" w:type="dxa"/>
            <w:noWrap/>
            <w:hideMark/>
          </w:tcPr>
          <w:p w14:paraId="672FA6CC"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p>
        </w:tc>
        <w:tc>
          <w:tcPr>
            <w:tcW w:w="698" w:type="dxa"/>
            <w:noWrap/>
            <w:hideMark/>
          </w:tcPr>
          <w:p w14:paraId="2A1ED4D9"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p>
        </w:tc>
        <w:tc>
          <w:tcPr>
            <w:tcW w:w="698" w:type="dxa"/>
            <w:noWrap/>
            <w:hideMark/>
          </w:tcPr>
          <w:p w14:paraId="7BD86285"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p>
        </w:tc>
        <w:tc>
          <w:tcPr>
            <w:tcW w:w="525" w:type="dxa"/>
            <w:noWrap/>
            <w:hideMark/>
          </w:tcPr>
          <w:p w14:paraId="3748726A"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p>
        </w:tc>
        <w:tc>
          <w:tcPr>
            <w:tcW w:w="1442" w:type="dxa"/>
            <w:noWrap/>
            <w:hideMark/>
          </w:tcPr>
          <w:p w14:paraId="715A2E23"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p>
        </w:tc>
        <w:tc>
          <w:tcPr>
            <w:tcW w:w="731" w:type="dxa"/>
            <w:noWrap/>
            <w:hideMark/>
          </w:tcPr>
          <w:p w14:paraId="2BA8E88E"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p>
        </w:tc>
        <w:tc>
          <w:tcPr>
            <w:tcW w:w="700" w:type="dxa"/>
            <w:noWrap/>
            <w:hideMark/>
          </w:tcPr>
          <w:p w14:paraId="09EE6289"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p>
        </w:tc>
        <w:tc>
          <w:tcPr>
            <w:tcW w:w="727" w:type="dxa"/>
            <w:noWrap/>
            <w:hideMark/>
          </w:tcPr>
          <w:p w14:paraId="1946D82C"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p>
        </w:tc>
        <w:tc>
          <w:tcPr>
            <w:tcW w:w="716" w:type="dxa"/>
            <w:noWrap/>
            <w:hideMark/>
          </w:tcPr>
          <w:p w14:paraId="4DDFBE84"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p>
        </w:tc>
      </w:tr>
      <w:tr w:rsidR="00050C7E" w:rsidRPr="00050C7E" w14:paraId="7FD8750C" w14:textId="77777777" w:rsidTr="00050C7E">
        <w:trPr>
          <w:trHeight w:val="600"/>
        </w:trPr>
        <w:tc>
          <w:tcPr>
            <w:tcW w:w="2028" w:type="dxa"/>
            <w:gridSpan w:val="3"/>
            <w:noWrap/>
            <w:hideMark/>
          </w:tcPr>
          <w:p w14:paraId="74D58F85"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r w:rsidRPr="00050C7E">
              <w:rPr>
                <w:rFonts w:ascii="Arial" w:hAnsi="Arial" w:cs="Arial"/>
                <w:b/>
                <w:bCs/>
                <w:sz w:val="20"/>
                <w:szCs w:val="20"/>
              </w:rPr>
              <w:t>Předmět zakázky</w:t>
            </w:r>
          </w:p>
        </w:tc>
        <w:tc>
          <w:tcPr>
            <w:tcW w:w="3363" w:type="dxa"/>
            <w:gridSpan w:val="4"/>
            <w:hideMark/>
          </w:tcPr>
          <w:p w14:paraId="3FEFD5AE"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r w:rsidRPr="00050C7E">
              <w:rPr>
                <w:rFonts w:ascii="Arial" w:hAnsi="Arial" w:cs="Arial"/>
                <w:b/>
                <w:bCs/>
                <w:sz w:val="20"/>
                <w:szCs w:val="20"/>
              </w:rPr>
              <w:t>Požadované parametry zadavatele</w:t>
            </w:r>
          </w:p>
        </w:tc>
        <w:tc>
          <w:tcPr>
            <w:tcW w:w="2874" w:type="dxa"/>
            <w:gridSpan w:val="4"/>
            <w:hideMark/>
          </w:tcPr>
          <w:p w14:paraId="6EE5517E"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r w:rsidRPr="00050C7E">
              <w:rPr>
                <w:rFonts w:ascii="Arial" w:hAnsi="Arial" w:cs="Arial"/>
                <w:b/>
                <w:bCs/>
                <w:sz w:val="20"/>
                <w:szCs w:val="20"/>
              </w:rPr>
              <w:t>Parametry od účastníka*</w:t>
            </w:r>
          </w:p>
        </w:tc>
      </w:tr>
      <w:tr w:rsidR="00050C7E" w:rsidRPr="00050C7E" w14:paraId="5813D181" w14:textId="77777777" w:rsidTr="00050C7E">
        <w:trPr>
          <w:trHeight w:val="1605"/>
        </w:trPr>
        <w:tc>
          <w:tcPr>
            <w:tcW w:w="2028" w:type="dxa"/>
            <w:gridSpan w:val="3"/>
            <w:vMerge w:val="restart"/>
            <w:hideMark/>
          </w:tcPr>
          <w:p w14:paraId="2E0F5342"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r w:rsidRPr="00050C7E">
              <w:rPr>
                <w:rFonts w:ascii="Arial" w:hAnsi="Arial" w:cs="Arial"/>
                <w:b/>
                <w:bCs/>
                <w:sz w:val="20"/>
                <w:szCs w:val="20"/>
              </w:rPr>
              <w:t>Tandemový mikroreaktor pro online GC/MS analýzu</w:t>
            </w:r>
          </w:p>
        </w:tc>
        <w:tc>
          <w:tcPr>
            <w:tcW w:w="3363" w:type="dxa"/>
            <w:gridSpan w:val="4"/>
            <w:hideMark/>
          </w:tcPr>
          <w:p w14:paraId="1CF9D53C"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 xml:space="preserve">Tandemový reaktor včetně ovládacího softwaru předmětu plnění zakázky od jednoho výrobce z důvodu kompatibility hardwaru modulů a software a funkčnosti řešení jako celku </w:t>
            </w:r>
          </w:p>
        </w:tc>
        <w:tc>
          <w:tcPr>
            <w:tcW w:w="2874" w:type="dxa"/>
            <w:gridSpan w:val="4"/>
            <w:hideMark/>
          </w:tcPr>
          <w:p w14:paraId="37761280"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ANO</w:t>
            </w:r>
          </w:p>
        </w:tc>
      </w:tr>
      <w:tr w:rsidR="00050C7E" w:rsidRPr="00050C7E" w14:paraId="10752DDE" w14:textId="77777777" w:rsidTr="00050C7E">
        <w:trPr>
          <w:trHeight w:val="1020"/>
        </w:trPr>
        <w:tc>
          <w:tcPr>
            <w:tcW w:w="2028" w:type="dxa"/>
            <w:gridSpan w:val="3"/>
            <w:vMerge/>
            <w:hideMark/>
          </w:tcPr>
          <w:p w14:paraId="0B593794"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p>
        </w:tc>
        <w:tc>
          <w:tcPr>
            <w:tcW w:w="3363" w:type="dxa"/>
            <w:gridSpan w:val="4"/>
            <w:hideMark/>
          </w:tcPr>
          <w:p w14:paraId="78B5E9F3"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 xml:space="preserve"> Kompatibilita se stávajícím GC/MS systémem na pracovišti (Agilent 7820 GC v kombinaci s 5977 MSD, GC PAL sampler 80) </w:t>
            </w:r>
          </w:p>
        </w:tc>
        <w:tc>
          <w:tcPr>
            <w:tcW w:w="2874" w:type="dxa"/>
            <w:gridSpan w:val="4"/>
            <w:hideMark/>
          </w:tcPr>
          <w:p w14:paraId="75DD1087"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ANO</w:t>
            </w:r>
          </w:p>
        </w:tc>
      </w:tr>
      <w:tr w:rsidR="00050C7E" w:rsidRPr="00050C7E" w14:paraId="79F6495E" w14:textId="77777777" w:rsidTr="00050C7E">
        <w:trPr>
          <w:trHeight w:val="1995"/>
        </w:trPr>
        <w:tc>
          <w:tcPr>
            <w:tcW w:w="2028" w:type="dxa"/>
            <w:gridSpan w:val="3"/>
            <w:vMerge/>
            <w:hideMark/>
          </w:tcPr>
          <w:p w14:paraId="7A6D4D99"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p>
        </w:tc>
        <w:tc>
          <w:tcPr>
            <w:tcW w:w="3363" w:type="dxa"/>
            <w:gridSpan w:val="4"/>
            <w:hideMark/>
          </w:tcPr>
          <w:p w14:paraId="4E46F060"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 xml:space="preserve">Tandemový mikroreaktor sestává ze dvou oddělených reaktorů umožňujících jak in-situ experimenty (katalyzátor a vzorek umístěny v jednom reaktoru), tak ex-situ (vzorek je umístěn v jiném reaktoru než katalyzátor). </w:t>
            </w:r>
          </w:p>
        </w:tc>
        <w:tc>
          <w:tcPr>
            <w:tcW w:w="2874" w:type="dxa"/>
            <w:gridSpan w:val="4"/>
            <w:hideMark/>
          </w:tcPr>
          <w:p w14:paraId="12806E37"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ANO</w:t>
            </w:r>
          </w:p>
        </w:tc>
      </w:tr>
      <w:tr w:rsidR="00050C7E" w:rsidRPr="00050C7E" w14:paraId="76057DC4" w14:textId="77777777" w:rsidTr="00050C7E">
        <w:trPr>
          <w:trHeight w:val="705"/>
        </w:trPr>
        <w:tc>
          <w:tcPr>
            <w:tcW w:w="2028" w:type="dxa"/>
            <w:gridSpan w:val="3"/>
            <w:vMerge/>
            <w:hideMark/>
          </w:tcPr>
          <w:p w14:paraId="7869973A"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p>
        </w:tc>
        <w:tc>
          <w:tcPr>
            <w:tcW w:w="3363" w:type="dxa"/>
            <w:gridSpan w:val="4"/>
            <w:hideMark/>
          </w:tcPr>
          <w:p w14:paraId="05DB847C"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Reprodukovatelnost teploty maximálně +/- 0.1 ᵒC.</w:t>
            </w:r>
          </w:p>
        </w:tc>
        <w:tc>
          <w:tcPr>
            <w:tcW w:w="2874" w:type="dxa"/>
            <w:gridSpan w:val="4"/>
            <w:hideMark/>
          </w:tcPr>
          <w:p w14:paraId="517638A0"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ANO, ± 0,1°C</w:t>
            </w:r>
          </w:p>
        </w:tc>
      </w:tr>
      <w:tr w:rsidR="00050C7E" w:rsidRPr="00050C7E" w14:paraId="7F215E65" w14:textId="77777777" w:rsidTr="00050C7E">
        <w:trPr>
          <w:trHeight w:val="810"/>
        </w:trPr>
        <w:tc>
          <w:tcPr>
            <w:tcW w:w="2028" w:type="dxa"/>
            <w:gridSpan w:val="3"/>
            <w:vMerge/>
            <w:hideMark/>
          </w:tcPr>
          <w:p w14:paraId="4BB6CFAC"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p>
        </w:tc>
        <w:tc>
          <w:tcPr>
            <w:tcW w:w="3363" w:type="dxa"/>
            <w:gridSpan w:val="4"/>
            <w:hideMark/>
          </w:tcPr>
          <w:p w14:paraId="3F49E2E9"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Konstrukce reaktorů: pec s mechanismem volného pádu pyrolýzních kelímků.</w:t>
            </w:r>
          </w:p>
        </w:tc>
        <w:tc>
          <w:tcPr>
            <w:tcW w:w="2874" w:type="dxa"/>
            <w:gridSpan w:val="4"/>
            <w:hideMark/>
          </w:tcPr>
          <w:p w14:paraId="1092CDED"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ANO</w:t>
            </w:r>
          </w:p>
        </w:tc>
      </w:tr>
      <w:tr w:rsidR="00050C7E" w:rsidRPr="00050C7E" w14:paraId="5968B9C6" w14:textId="77777777" w:rsidTr="00050C7E">
        <w:trPr>
          <w:trHeight w:val="960"/>
        </w:trPr>
        <w:tc>
          <w:tcPr>
            <w:tcW w:w="2028" w:type="dxa"/>
            <w:gridSpan w:val="3"/>
            <w:vMerge/>
            <w:hideMark/>
          </w:tcPr>
          <w:p w14:paraId="3E2F3736"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p>
        </w:tc>
        <w:tc>
          <w:tcPr>
            <w:tcW w:w="3363" w:type="dxa"/>
            <w:gridSpan w:val="4"/>
            <w:hideMark/>
          </w:tcPr>
          <w:p w14:paraId="3465E976"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Měření skutečné teploty uvnitř reaktorů pomocí termočlánků umožňující teplotní kalibraci.</w:t>
            </w:r>
          </w:p>
        </w:tc>
        <w:tc>
          <w:tcPr>
            <w:tcW w:w="2874" w:type="dxa"/>
            <w:gridSpan w:val="4"/>
            <w:hideMark/>
          </w:tcPr>
          <w:p w14:paraId="44BA1B59"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ANO</w:t>
            </w:r>
          </w:p>
        </w:tc>
      </w:tr>
      <w:tr w:rsidR="00050C7E" w:rsidRPr="00050C7E" w14:paraId="72D04A17" w14:textId="77777777" w:rsidTr="00050C7E">
        <w:trPr>
          <w:trHeight w:val="855"/>
        </w:trPr>
        <w:tc>
          <w:tcPr>
            <w:tcW w:w="2028" w:type="dxa"/>
            <w:gridSpan w:val="3"/>
            <w:vMerge/>
            <w:hideMark/>
          </w:tcPr>
          <w:p w14:paraId="21ABC676"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p>
        </w:tc>
        <w:tc>
          <w:tcPr>
            <w:tcW w:w="3363" w:type="dxa"/>
            <w:gridSpan w:val="4"/>
            <w:hideMark/>
          </w:tcPr>
          <w:p w14:paraId="55E95510"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Přímé připojení k nástřiku plynového chromatografu bez použití transferline</w:t>
            </w:r>
          </w:p>
        </w:tc>
        <w:tc>
          <w:tcPr>
            <w:tcW w:w="2874" w:type="dxa"/>
            <w:gridSpan w:val="4"/>
            <w:hideMark/>
          </w:tcPr>
          <w:p w14:paraId="7371297E"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ANO</w:t>
            </w:r>
          </w:p>
        </w:tc>
      </w:tr>
      <w:tr w:rsidR="00050C7E" w:rsidRPr="00050C7E" w14:paraId="6D9DD070" w14:textId="77777777" w:rsidTr="00050C7E">
        <w:trPr>
          <w:trHeight w:val="1395"/>
        </w:trPr>
        <w:tc>
          <w:tcPr>
            <w:tcW w:w="2028" w:type="dxa"/>
            <w:gridSpan w:val="3"/>
            <w:vMerge/>
            <w:hideMark/>
          </w:tcPr>
          <w:p w14:paraId="3BB74ECA"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p>
        </w:tc>
        <w:tc>
          <w:tcPr>
            <w:tcW w:w="3363" w:type="dxa"/>
            <w:gridSpan w:val="4"/>
            <w:hideMark/>
          </w:tcPr>
          <w:p w14:paraId="02566DBC"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Horní reaktor: programování teploty v min. rozmezí  40 ᵒC až 900 ᵒC s krokem  max. 1ᵒC a se stabilitou teploty max. +/- 0.1 ᵒC, možnost kalibrace teploty reaktoru</w:t>
            </w:r>
          </w:p>
        </w:tc>
        <w:tc>
          <w:tcPr>
            <w:tcW w:w="2874" w:type="dxa"/>
            <w:gridSpan w:val="4"/>
            <w:hideMark/>
          </w:tcPr>
          <w:p w14:paraId="48BC6A50"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 xml:space="preserve">ANO, 40-900°C, krok 1°C, stabilita teploty ± 0,1 °C </w:t>
            </w:r>
          </w:p>
        </w:tc>
      </w:tr>
      <w:tr w:rsidR="00050C7E" w:rsidRPr="00050C7E" w14:paraId="59693556" w14:textId="77777777" w:rsidTr="00050C7E">
        <w:trPr>
          <w:trHeight w:val="1380"/>
        </w:trPr>
        <w:tc>
          <w:tcPr>
            <w:tcW w:w="2028" w:type="dxa"/>
            <w:gridSpan w:val="3"/>
            <w:vMerge/>
            <w:hideMark/>
          </w:tcPr>
          <w:p w14:paraId="5A5248B4"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p>
        </w:tc>
        <w:tc>
          <w:tcPr>
            <w:tcW w:w="3363" w:type="dxa"/>
            <w:gridSpan w:val="4"/>
            <w:hideMark/>
          </w:tcPr>
          <w:p w14:paraId="21BC1083"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Dolní reaktor: programování teploty v rozmezí  alespoň 40 ᵒC až 700 ᵒC s krokem  max. 1ᵒC a se stabilitou teploty max. +/- 0.1 ᵒC, možnost kalibrace teploty reaktoru.</w:t>
            </w:r>
          </w:p>
        </w:tc>
        <w:tc>
          <w:tcPr>
            <w:tcW w:w="2874" w:type="dxa"/>
            <w:gridSpan w:val="4"/>
            <w:hideMark/>
          </w:tcPr>
          <w:p w14:paraId="46D23360"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ANO, 40-700°C, krok 1°C, stabilita teploty ± 0,1 °C</w:t>
            </w:r>
          </w:p>
        </w:tc>
      </w:tr>
      <w:tr w:rsidR="00050C7E" w:rsidRPr="00050C7E" w14:paraId="44CF7B1D" w14:textId="77777777" w:rsidTr="00050C7E">
        <w:trPr>
          <w:trHeight w:val="1305"/>
        </w:trPr>
        <w:tc>
          <w:tcPr>
            <w:tcW w:w="2028" w:type="dxa"/>
            <w:gridSpan w:val="3"/>
            <w:vMerge/>
            <w:hideMark/>
          </w:tcPr>
          <w:p w14:paraId="343013A9"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p>
        </w:tc>
        <w:tc>
          <w:tcPr>
            <w:tcW w:w="3363" w:type="dxa"/>
            <w:gridSpan w:val="4"/>
            <w:hideMark/>
          </w:tcPr>
          <w:p w14:paraId="336F180E"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 xml:space="preserve"> Možnost instalace trubičky s katalyzátorem (křemenné sklo, rozměry 78 mm (délka),  3 mm (vnitřní průměr) do dolního reaktoru.</w:t>
            </w:r>
          </w:p>
        </w:tc>
        <w:tc>
          <w:tcPr>
            <w:tcW w:w="2874" w:type="dxa"/>
            <w:gridSpan w:val="4"/>
            <w:hideMark/>
          </w:tcPr>
          <w:p w14:paraId="47FAACDF"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ANO</w:t>
            </w:r>
          </w:p>
        </w:tc>
      </w:tr>
      <w:tr w:rsidR="00050C7E" w:rsidRPr="00050C7E" w14:paraId="2DFA9D17" w14:textId="77777777" w:rsidTr="00050C7E">
        <w:trPr>
          <w:trHeight w:val="870"/>
        </w:trPr>
        <w:tc>
          <w:tcPr>
            <w:tcW w:w="2028" w:type="dxa"/>
            <w:gridSpan w:val="3"/>
            <w:vMerge/>
            <w:hideMark/>
          </w:tcPr>
          <w:p w14:paraId="66B2DF93"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p>
        </w:tc>
        <w:tc>
          <w:tcPr>
            <w:tcW w:w="3363" w:type="dxa"/>
            <w:gridSpan w:val="4"/>
            <w:hideMark/>
          </w:tcPr>
          <w:p w14:paraId="7737F4A6"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Možnost naplnění trubičky s katalyzátorem alespoň na výšku 40 mm.</w:t>
            </w:r>
          </w:p>
        </w:tc>
        <w:tc>
          <w:tcPr>
            <w:tcW w:w="2874" w:type="dxa"/>
            <w:gridSpan w:val="4"/>
            <w:hideMark/>
          </w:tcPr>
          <w:p w14:paraId="38B173E0"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ANO</w:t>
            </w:r>
          </w:p>
        </w:tc>
      </w:tr>
      <w:tr w:rsidR="00050C7E" w:rsidRPr="00050C7E" w14:paraId="42536D98" w14:textId="77777777" w:rsidTr="00050C7E">
        <w:trPr>
          <w:trHeight w:val="1395"/>
        </w:trPr>
        <w:tc>
          <w:tcPr>
            <w:tcW w:w="2028" w:type="dxa"/>
            <w:gridSpan w:val="3"/>
            <w:vMerge/>
            <w:hideMark/>
          </w:tcPr>
          <w:p w14:paraId="02693F05"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p>
        </w:tc>
        <w:tc>
          <w:tcPr>
            <w:tcW w:w="3363" w:type="dxa"/>
            <w:gridSpan w:val="4"/>
            <w:hideMark/>
          </w:tcPr>
          <w:p w14:paraId="1AA3571E"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Možnost nastavení teploty interface mezi oběma reaktory min. v rozsahu 40 ᵒC až 400ᵒC s krokem  max. 1ᵒC a se stabilitou teploty max. +/- 0.1 ᵒC.</w:t>
            </w:r>
          </w:p>
        </w:tc>
        <w:tc>
          <w:tcPr>
            <w:tcW w:w="2874" w:type="dxa"/>
            <w:gridSpan w:val="4"/>
            <w:hideMark/>
          </w:tcPr>
          <w:p w14:paraId="0751EB80"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ANO, rozsah teplot 40-400°C, krok 1°C, stabilita teploty ± 0,1 ºC</w:t>
            </w:r>
          </w:p>
        </w:tc>
      </w:tr>
      <w:tr w:rsidR="00050C7E" w:rsidRPr="00050C7E" w14:paraId="47C84F86" w14:textId="77777777" w:rsidTr="00050C7E">
        <w:trPr>
          <w:trHeight w:val="990"/>
        </w:trPr>
        <w:tc>
          <w:tcPr>
            <w:tcW w:w="2028" w:type="dxa"/>
            <w:gridSpan w:val="3"/>
            <w:vMerge/>
            <w:hideMark/>
          </w:tcPr>
          <w:p w14:paraId="15A02C93"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p>
        </w:tc>
        <w:tc>
          <w:tcPr>
            <w:tcW w:w="3363" w:type="dxa"/>
            <w:gridSpan w:val="4"/>
            <w:hideMark/>
          </w:tcPr>
          <w:p w14:paraId="3CDABA66"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Možnost aktivního chlazení reaktorů pomocí min. stlačeného vzduchu nebo dusíku</w:t>
            </w:r>
          </w:p>
        </w:tc>
        <w:tc>
          <w:tcPr>
            <w:tcW w:w="2874" w:type="dxa"/>
            <w:gridSpan w:val="4"/>
            <w:hideMark/>
          </w:tcPr>
          <w:p w14:paraId="2E2DC155"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ANO</w:t>
            </w:r>
          </w:p>
        </w:tc>
      </w:tr>
      <w:tr w:rsidR="00050C7E" w:rsidRPr="00050C7E" w14:paraId="0A2CD06E" w14:textId="77777777" w:rsidTr="00050C7E">
        <w:trPr>
          <w:trHeight w:val="450"/>
        </w:trPr>
        <w:tc>
          <w:tcPr>
            <w:tcW w:w="2028" w:type="dxa"/>
            <w:gridSpan w:val="3"/>
            <w:vMerge/>
            <w:hideMark/>
          </w:tcPr>
          <w:p w14:paraId="6A9FADBB"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p>
        </w:tc>
        <w:tc>
          <w:tcPr>
            <w:tcW w:w="3363" w:type="dxa"/>
            <w:gridSpan w:val="4"/>
            <w:hideMark/>
          </w:tcPr>
          <w:p w14:paraId="0AD8C7E9"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r w:rsidRPr="00050C7E">
              <w:rPr>
                <w:rFonts w:ascii="Arial" w:hAnsi="Arial" w:cs="Arial"/>
                <w:b/>
                <w:bCs/>
                <w:sz w:val="20"/>
                <w:szCs w:val="20"/>
              </w:rPr>
              <w:t xml:space="preserve">Příslušenství minimálně: </w:t>
            </w:r>
          </w:p>
        </w:tc>
        <w:tc>
          <w:tcPr>
            <w:tcW w:w="2874" w:type="dxa"/>
            <w:gridSpan w:val="4"/>
            <w:hideMark/>
          </w:tcPr>
          <w:p w14:paraId="3979FB7A"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 </w:t>
            </w:r>
          </w:p>
        </w:tc>
      </w:tr>
      <w:tr w:rsidR="00050C7E" w:rsidRPr="00050C7E" w14:paraId="0C615C1D" w14:textId="77777777" w:rsidTr="00050C7E">
        <w:trPr>
          <w:trHeight w:val="1620"/>
        </w:trPr>
        <w:tc>
          <w:tcPr>
            <w:tcW w:w="2028" w:type="dxa"/>
            <w:gridSpan w:val="3"/>
            <w:vMerge/>
            <w:hideMark/>
          </w:tcPr>
          <w:p w14:paraId="7444C2E1"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p>
        </w:tc>
        <w:tc>
          <w:tcPr>
            <w:tcW w:w="3363" w:type="dxa"/>
            <w:gridSpan w:val="4"/>
            <w:hideMark/>
          </w:tcPr>
          <w:p w14:paraId="0CF5376A"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 Nerezová analytická kolona o rozměrech: 30 m (délka), 0.25 mm i.d.,  2.00 µm tloušťka filmu, stacionární faze: 100 % dimethyl polysiloxane</w:t>
            </w:r>
          </w:p>
        </w:tc>
        <w:tc>
          <w:tcPr>
            <w:tcW w:w="2874" w:type="dxa"/>
            <w:gridSpan w:val="4"/>
            <w:hideMark/>
          </w:tcPr>
          <w:p w14:paraId="365B92C8"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 xml:space="preserve">ANO, součástí dodávky je nerezová kolona o rozměrech 30 m (délka), 0.25 mm i.d.,  2.00 µm tloušťka filmu, stacionární faze: 100 % dimethyl polysiloxane </w:t>
            </w:r>
          </w:p>
        </w:tc>
      </w:tr>
      <w:tr w:rsidR="00050C7E" w:rsidRPr="00050C7E" w14:paraId="7B49E399" w14:textId="77777777" w:rsidTr="00050C7E">
        <w:trPr>
          <w:trHeight w:val="1335"/>
        </w:trPr>
        <w:tc>
          <w:tcPr>
            <w:tcW w:w="2028" w:type="dxa"/>
            <w:gridSpan w:val="3"/>
            <w:vMerge/>
            <w:hideMark/>
          </w:tcPr>
          <w:p w14:paraId="0E177577"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p>
        </w:tc>
        <w:tc>
          <w:tcPr>
            <w:tcW w:w="3363" w:type="dxa"/>
            <w:gridSpan w:val="4"/>
            <w:hideMark/>
          </w:tcPr>
          <w:p w14:paraId="35022129"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 Deaktivovaná nerezová kapilára o rozměrech 2.5 m (délka), 0.15 mm i.d.</w:t>
            </w:r>
          </w:p>
        </w:tc>
        <w:tc>
          <w:tcPr>
            <w:tcW w:w="2874" w:type="dxa"/>
            <w:gridSpan w:val="4"/>
            <w:hideMark/>
          </w:tcPr>
          <w:p w14:paraId="2DBEEDF3"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 xml:space="preserve">ANO, součástí dodávky je deaktivovaná nerezová kapilára o rozměrech 2.5 m (délka), 0.15 mm i.d. </w:t>
            </w:r>
          </w:p>
        </w:tc>
      </w:tr>
      <w:tr w:rsidR="00050C7E" w:rsidRPr="00050C7E" w14:paraId="1105A4FC" w14:textId="77777777" w:rsidTr="00050C7E">
        <w:trPr>
          <w:trHeight w:val="705"/>
        </w:trPr>
        <w:tc>
          <w:tcPr>
            <w:tcW w:w="2028" w:type="dxa"/>
            <w:gridSpan w:val="3"/>
            <w:vMerge/>
            <w:hideMark/>
          </w:tcPr>
          <w:p w14:paraId="5CAD60F6"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p>
        </w:tc>
        <w:tc>
          <w:tcPr>
            <w:tcW w:w="3363" w:type="dxa"/>
            <w:gridSpan w:val="4"/>
            <w:hideMark/>
          </w:tcPr>
          <w:p w14:paraId="026DAB4B"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 Restriktor pro možnost výměny GC kolon bez zavzdušnění MS detektoru</w:t>
            </w:r>
          </w:p>
        </w:tc>
        <w:tc>
          <w:tcPr>
            <w:tcW w:w="2874" w:type="dxa"/>
            <w:gridSpan w:val="4"/>
            <w:hideMark/>
          </w:tcPr>
          <w:p w14:paraId="4450FB44"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ANO</w:t>
            </w:r>
          </w:p>
        </w:tc>
      </w:tr>
      <w:tr w:rsidR="00050C7E" w:rsidRPr="00050C7E" w14:paraId="437C3A39" w14:textId="77777777" w:rsidTr="00050C7E">
        <w:trPr>
          <w:trHeight w:val="1365"/>
        </w:trPr>
        <w:tc>
          <w:tcPr>
            <w:tcW w:w="2028" w:type="dxa"/>
            <w:gridSpan w:val="3"/>
            <w:vMerge/>
            <w:hideMark/>
          </w:tcPr>
          <w:p w14:paraId="2097033B"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p>
        </w:tc>
        <w:tc>
          <w:tcPr>
            <w:tcW w:w="3363" w:type="dxa"/>
            <w:gridSpan w:val="4"/>
            <w:hideMark/>
          </w:tcPr>
          <w:p w14:paraId="5C63C44D"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b/>
                <w:bCs/>
                <w:sz w:val="20"/>
                <w:szCs w:val="20"/>
              </w:rPr>
              <w:t>Dodání včetně split/splitless injektoru</w:t>
            </w:r>
            <w:r w:rsidRPr="00050C7E">
              <w:rPr>
                <w:rFonts w:ascii="Arial" w:hAnsi="Arial" w:cs="Arial"/>
                <w:sz w:val="20"/>
                <w:szCs w:val="20"/>
              </w:rPr>
              <w:t xml:space="preserve"> (tlakový limit min. 100 psi) kompatibilního s plynovým chromatografem Agilent 7820 a předmětem zakázky </w:t>
            </w:r>
          </w:p>
        </w:tc>
        <w:tc>
          <w:tcPr>
            <w:tcW w:w="2874" w:type="dxa"/>
            <w:gridSpan w:val="4"/>
            <w:hideMark/>
          </w:tcPr>
          <w:p w14:paraId="7A6E9DF4"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ANO, split/splitless injektor pro Agilent 7820 s tlakovým limitem 100 psi</w:t>
            </w:r>
          </w:p>
        </w:tc>
      </w:tr>
      <w:tr w:rsidR="00050C7E" w:rsidRPr="00050C7E" w14:paraId="417D2430" w14:textId="77777777" w:rsidTr="00050C7E">
        <w:trPr>
          <w:trHeight w:val="345"/>
        </w:trPr>
        <w:tc>
          <w:tcPr>
            <w:tcW w:w="2028" w:type="dxa"/>
            <w:gridSpan w:val="3"/>
            <w:vMerge/>
            <w:hideMark/>
          </w:tcPr>
          <w:p w14:paraId="0FD2634B"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p>
        </w:tc>
        <w:tc>
          <w:tcPr>
            <w:tcW w:w="3363" w:type="dxa"/>
            <w:gridSpan w:val="4"/>
            <w:hideMark/>
          </w:tcPr>
          <w:p w14:paraId="1537F73C"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r w:rsidRPr="00050C7E">
              <w:rPr>
                <w:rFonts w:ascii="Arial" w:hAnsi="Arial" w:cs="Arial"/>
                <w:b/>
                <w:bCs/>
                <w:sz w:val="20"/>
                <w:szCs w:val="20"/>
              </w:rPr>
              <w:t>Funkce selektivního vzorkování :</w:t>
            </w:r>
          </w:p>
        </w:tc>
        <w:tc>
          <w:tcPr>
            <w:tcW w:w="2874" w:type="dxa"/>
            <w:gridSpan w:val="4"/>
            <w:hideMark/>
          </w:tcPr>
          <w:p w14:paraId="1F147B1C"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ANO</w:t>
            </w:r>
          </w:p>
        </w:tc>
      </w:tr>
      <w:tr w:rsidR="00050C7E" w:rsidRPr="00050C7E" w14:paraId="7E541338" w14:textId="77777777" w:rsidTr="00050C7E">
        <w:trPr>
          <w:trHeight w:val="1245"/>
        </w:trPr>
        <w:tc>
          <w:tcPr>
            <w:tcW w:w="2028" w:type="dxa"/>
            <w:gridSpan w:val="3"/>
            <w:vMerge/>
            <w:hideMark/>
          </w:tcPr>
          <w:p w14:paraId="78E21130"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p>
        </w:tc>
        <w:tc>
          <w:tcPr>
            <w:tcW w:w="3363" w:type="dxa"/>
            <w:gridSpan w:val="4"/>
            <w:hideMark/>
          </w:tcPr>
          <w:p w14:paraId="13BA50C8"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 funkce selektivního vzorkování musí být programována a řízena z řídícího software reaktoru s možností nastavení alespoň osmi selektivně vzorkovaných frakcí</w:t>
            </w:r>
          </w:p>
        </w:tc>
        <w:tc>
          <w:tcPr>
            <w:tcW w:w="2874" w:type="dxa"/>
            <w:gridSpan w:val="4"/>
            <w:hideMark/>
          </w:tcPr>
          <w:p w14:paraId="6DB9C353"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ANO, až 8 frakcí</w:t>
            </w:r>
          </w:p>
        </w:tc>
      </w:tr>
      <w:tr w:rsidR="00050C7E" w:rsidRPr="00050C7E" w14:paraId="59C782EC" w14:textId="77777777" w:rsidTr="00050C7E">
        <w:trPr>
          <w:trHeight w:val="1620"/>
        </w:trPr>
        <w:tc>
          <w:tcPr>
            <w:tcW w:w="2028" w:type="dxa"/>
            <w:gridSpan w:val="3"/>
            <w:vMerge/>
            <w:hideMark/>
          </w:tcPr>
          <w:p w14:paraId="7A724B78"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p>
        </w:tc>
        <w:tc>
          <w:tcPr>
            <w:tcW w:w="3363" w:type="dxa"/>
            <w:gridSpan w:val="4"/>
            <w:hideMark/>
          </w:tcPr>
          <w:p w14:paraId="0DC62BD0"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 možnost selektivního přepínání výstupu ze split/splitless nástřiku na GC kolonu nebo do odpadního split výstupu inletu pro cílenou analýzu konkrétních “frakcí” z termální analýzy</w:t>
            </w:r>
          </w:p>
        </w:tc>
        <w:tc>
          <w:tcPr>
            <w:tcW w:w="2874" w:type="dxa"/>
            <w:gridSpan w:val="4"/>
            <w:hideMark/>
          </w:tcPr>
          <w:p w14:paraId="068B8FBA"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ANO</w:t>
            </w:r>
          </w:p>
        </w:tc>
      </w:tr>
      <w:tr w:rsidR="00050C7E" w:rsidRPr="00050C7E" w14:paraId="40BA0414" w14:textId="77777777" w:rsidTr="00050C7E">
        <w:trPr>
          <w:trHeight w:val="780"/>
        </w:trPr>
        <w:tc>
          <w:tcPr>
            <w:tcW w:w="2028" w:type="dxa"/>
            <w:gridSpan w:val="3"/>
            <w:vMerge/>
            <w:hideMark/>
          </w:tcPr>
          <w:p w14:paraId="55F671A6"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p>
        </w:tc>
        <w:tc>
          <w:tcPr>
            <w:tcW w:w="3363" w:type="dxa"/>
            <w:gridSpan w:val="4"/>
            <w:hideMark/>
          </w:tcPr>
          <w:p w14:paraId="6A72C5F1"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 nerezová konstrukce s deaktivovaným povrchem s provozní teplotou do min. 400°C</w:t>
            </w:r>
          </w:p>
        </w:tc>
        <w:tc>
          <w:tcPr>
            <w:tcW w:w="2874" w:type="dxa"/>
            <w:gridSpan w:val="4"/>
            <w:hideMark/>
          </w:tcPr>
          <w:p w14:paraId="5020AA2F"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ANO, teplotní odolnost 400°C</w:t>
            </w:r>
          </w:p>
        </w:tc>
      </w:tr>
      <w:tr w:rsidR="00050C7E" w:rsidRPr="00050C7E" w14:paraId="6952BDCC" w14:textId="77777777" w:rsidTr="00050C7E">
        <w:trPr>
          <w:trHeight w:val="390"/>
        </w:trPr>
        <w:tc>
          <w:tcPr>
            <w:tcW w:w="2028" w:type="dxa"/>
            <w:gridSpan w:val="3"/>
            <w:vMerge/>
            <w:hideMark/>
          </w:tcPr>
          <w:p w14:paraId="3B3B5100"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p>
        </w:tc>
        <w:tc>
          <w:tcPr>
            <w:tcW w:w="3363" w:type="dxa"/>
            <w:gridSpan w:val="4"/>
            <w:hideMark/>
          </w:tcPr>
          <w:p w14:paraId="6D9F4FC1"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r w:rsidRPr="00050C7E">
              <w:rPr>
                <w:rFonts w:ascii="Arial" w:hAnsi="Arial" w:cs="Arial"/>
                <w:b/>
                <w:bCs/>
                <w:sz w:val="20"/>
                <w:szCs w:val="20"/>
              </w:rPr>
              <w:t>Dodání včetně kryogenní pasti:</w:t>
            </w:r>
          </w:p>
        </w:tc>
        <w:tc>
          <w:tcPr>
            <w:tcW w:w="2874" w:type="dxa"/>
            <w:gridSpan w:val="4"/>
            <w:hideMark/>
          </w:tcPr>
          <w:p w14:paraId="13C38864"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ANO</w:t>
            </w:r>
          </w:p>
        </w:tc>
      </w:tr>
      <w:tr w:rsidR="00050C7E" w:rsidRPr="00050C7E" w14:paraId="3AFE4BBC" w14:textId="77777777" w:rsidTr="00050C7E">
        <w:trPr>
          <w:trHeight w:val="1095"/>
        </w:trPr>
        <w:tc>
          <w:tcPr>
            <w:tcW w:w="2028" w:type="dxa"/>
            <w:gridSpan w:val="3"/>
            <w:vMerge/>
            <w:hideMark/>
          </w:tcPr>
          <w:p w14:paraId="26482C07"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p>
        </w:tc>
        <w:tc>
          <w:tcPr>
            <w:tcW w:w="3363" w:type="dxa"/>
            <w:gridSpan w:val="4"/>
            <w:hideMark/>
          </w:tcPr>
          <w:p w14:paraId="39CDD81E"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 Možnost kryogenní fokusace analytů na vstupu do GC kolony s chlazením kapalným dusíkem</w:t>
            </w:r>
          </w:p>
        </w:tc>
        <w:tc>
          <w:tcPr>
            <w:tcW w:w="2874" w:type="dxa"/>
            <w:gridSpan w:val="4"/>
            <w:hideMark/>
          </w:tcPr>
          <w:p w14:paraId="28E8CCFE"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ANO</w:t>
            </w:r>
          </w:p>
        </w:tc>
      </w:tr>
      <w:tr w:rsidR="00050C7E" w:rsidRPr="00050C7E" w14:paraId="07E3D9D5" w14:textId="77777777" w:rsidTr="00050C7E">
        <w:trPr>
          <w:trHeight w:val="945"/>
        </w:trPr>
        <w:tc>
          <w:tcPr>
            <w:tcW w:w="2028" w:type="dxa"/>
            <w:gridSpan w:val="3"/>
            <w:vMerge/>
            <w:hideMark/>
          </w:tcPr>
          <w:p w14:paraId="48AC4D27"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p>
        </w:tc>
        <w:tc>
          <w:tcPr>
            <w:tcW w:w="3363" w:type="dxa"/>
            <w:gridSpan w:val="4"/>
            <w:hideMark/>
          </w:tcPr>
          <w:p w14:paraId="1518B38D"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 Chlazení fokusační zóny na teplotu max. -196°C pro efektivní fokusaci velmi těkavých molekul, např. CO2</w:t>
            </w:r>
          </w:p>
        </w:tc>
        <w:tc>
          <w:tcPr>
            <w:tcW w:w="2874" w:type="dxa"/>
            <w:gridSpan w:val="4"/>
            <w:hideMark/>
          </w:tcPr>
          <w:p w14:paraId="6FACEEA7"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ANO, konstrukce kryotrapu na prinicpu sprejování zóny kolony kapalným dusíkem (-196°C)</w:t>
            </w:r>
          </w:p>
        </w:tc>
      </w:tr>
      <w:tr w:rsidR="00050C7E" w:rsidRPr="00050C7E" w14:paraId="564E988A" w14:textId="77777777" w:rsidTr="00050C7E">
        <w:trPr>
          <w:trHeight w:val="690"/>
        </w:trPr>
        <w:tc>
          <w:tcPr>
            <w:tcW w:w="2028" w:type="dxa"/>
            <w:gridSpan w:val="3"/>
            <w:vMerge/>
            <w:hideMark/>
          </w:tcPr>
          <w:p w14:paraId="4B288144"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p>
        </w:tc>
        <w:tc>
          <w:tcPr>
            <w:tcW w:w="3363" w:type="dxa"/>
            <w:gridSpan w:val="4"/>
            <w:hideMark/>
          </w:tcPr>
          <w:p w14:paraId="6BF3F314"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 Sprejování kapalného dusíku přímo na kolonu v úzké zóně  &lt; 5 mm</w:t>
            </w:r>
          </w:p>
        </w:tc>
        <w:tc>
          <w:tcPr>
            <w:tcW w:w="2874" w:type="dxa"/>
            <w:gridSpan w:val="4"/>
            <w:hideMark/>
          </w:tcPr>
          <w:p w14:paraId="08C13D41"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ANO, chlazená zóna kolony &lt;5 mm</w:t>
            </w:r>
          </w:p>
        </w:tc>
      </w:tr>
      <w:tr w:rsidR="00050C7E" w:rsidRPr="00050C7E" w14:paraId="27439673" w14:textId="77777777" w:rsidTr="00050C7E">
        <w:trPr>
          <w:trHeight w:val="1095"/>
        </w:trPr>
        <w:tc>
          <w:tcPr>
            <w:tcW w:w="2028" w:type="dxa"/>
            <w:gridSpan w:val="3"/>
            <w:vMerge/>
            <w:hideMark/>
          </w:tcPr>
          <w:p w14:paraId="203ED328"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p>
        </w:tc>
        <w:tc>
          <w:tcPr>
            <w:tcW w:w="3363" w:type="dxa"/>
            <w:gridSpan w:val="4"/>
            <w:hideMark/>
          </w:tcPr>
          <w:p w14:paraId="25376406"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 Možnost připojení min. 30 l (max. 50l) zásobníku kapalného dusíku pro provoz bez dozoru operátora</w:t>
            </w:r>
          </w:p>
        </w:tc>
        <w:tc>
          <w:tcPr>
            <w:tcW w:w="2874" w:type="dxa"/>
            <w:gridSpan w:val="4"/>
            <w:hideMark/>
          </w:tcPr>
          <w:p w14:paraId="59050063"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ANO, možnost připojení k zásobníku kapalného dusíku o objemu 28-35 l</w:t>
            </w:r>
          </w:p>
        </w:tc>
      </w:tr>
      <w:tr w:rsidR="00050C7E" w:rsidRPr="00050C7E" w14:paraId="35FD62F7" w14:textId="77777777" w:rsidTr="00050C7E">
        <w:trPr>
          <w:trHeight w:val="690"/>
        </w:trPr>
        <w:tc>
          <w:tcPr>
            <w:tcW w:w="2028" w:type="dxa"/>
            <w:gridSpan w:val="3"/>
            <w:vMerge/>
            <w:hideMark/>
          </w:tcPr>
          <w:p w14:paraId="66EF7292"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p>
        </w:tc>
        <w:tc>
          <w:tcPr>
            <w:tcW w:w="3363" w:type="dxa"/>
            <w:gridSpan w:val="4"/>
            <w:hideMark/>
          </w:tcPr>
          <w:p w14:paraId="0B0B3F1B"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 Řízení parametrů kryogenního trapu z řídícího software tandemového mikroreaktoru</w:t>
            </w:r>
          </w:p>
        </w:tc>
        <w:tc>
          <w:tcPr>
            <w:tcW w:w="2874" w:type="dxa"/>
            <w:gridSpan w:val="4"/>
            <w:hideMark/>
          </w:tcPr>
          <w:p w14:paraId="4980B025"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ANO</w:t>
            </w:r>
          </w:p>
        </w:tc>
      </w:tr>
      <w:tr w:rsidR="00050C7E" w:rsidRPr="00050C7E" w14:paraId="2768DB0A" w14:textId="77777777" w:rsidTr="00050C7E">
        <w:trPr>
          <w:trHeight w:val="1260"/>
        </w:trPr>
        <w:tc>
          <w:tcPr>
            <w:tcW w:w="2028" w:type="dxa"/>
            <w:gridSpan w:val="3"/>
            <w:vMerge/>
            <w:hideMark/>
          </w:tcPr>
          <w:p w14:paraId="54CA6489"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p>
        </w:tc>
        <w:tc>
          <w:tcPr>
            <w:tcW w:w="3363" w:type="dxa"/>
            <w:gridSpan w:val="4"/>
            <w:hideMark/>
          </w:tcPr>
          <w:p w14:paraId="737FCE8F"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 xml:space="preserve">• Možnost samostaného provozu a nastavení parametrů z klávesnice nezávisle na software pro uplatnění v dalších GC a GC/MS aplikacích </w:t>
            </w:r>
          </w:p>
        </w:tc>
        <w:tc>
          <w:tcPr>
            <w:tcW w:w="2874" w:type="dxa"/>
            <w:gridSpan w:val="4"/>
            <w:hideMark/>
          </w:tcPr>
          <w:p w14:paraId="09242848"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ANO</w:t>
            </w:r>
          </w:p>
        </w:tc>
      </w:tr>
      <w:tr w:rsidR="00050C7E" w:rsidRPr="00050C7E" w14:paraId="05BF465F" w14:textId="77777777" w:rsidTr="00050C7E">
        <w:trPr>
          <w:trHeight w:val="345"/>
        </w:trPr>
        <w:tc>
          <w:tcPr>
            <w:tcW w:w="2028" w:type="dxa"/>
            <w:gridSpan w:val="3"/>
            <w:vMerge/>
            <w:hideMark/>
          </w:tcPr>
          <w:p w14:paraId="7CA7E6D2"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p>
        </w:tc>
        <w:tc>
          <w:tcPr>
            <w:tcW w:w="3363" w:type="dxa"/>
            <w:gridSpan w:val="4"/>
            <w:hideMark/>
          </w:tcPr>
          <w:p w14:paraId="504EFE79"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r w:rsidRPr="00050C7E">
              <w:rPr>
                <w:rFonts w:ascii="Arial" w:hAnsi="Arial" w:cs="Arial"/>
                <w:b/>
                <w:bCs/>
                <w:sz w:val="20"/>
                <w:szCs w:val="20"/>
              </w:rPr>
              <w:t xml:space="preserve">Dodání včetně řícího softwaru: </w:t>
            </w:r>
          </w:p>
        </w:tc>
        <w:tc>
          <w:tcPr>
            <w:tcW w:w="2874" w:type="dxa"/>
            <w:gridSpan w:val="4"/>
            <w:hideMark/>
          </w:tcPr>
          <w:p w14:paraId="01854F4A"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ANO</w:t>
            </w:r>
          </w:p>
        </w:tc>
      </w:tr>
      <w:tr w:rsidR="00050C7E" w:rsidRPr="00050C7E" w14:paraId="7594837D" w14:textId="77777777" w:rsidTr="00050C7E">
        <w:trPr>
          <w:trHeight w:val="450"/>
        </w:trPr>
        <w:tc>
          <w:tcPr>
            <w:tcW w:w="2028" w:type="dxa"/>
            <w:gridSpan w:val="3"/>
            <w:vMerge/>
            <w:hideMark/>
          </w:tcPr>
          <w:p w14:paraId="15FB54B3"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p>
        </w:tc>
        <w:tc>
          <w:tcPr>
            <w:tcW w:w="3363" w:type="dxa"/>
            <w:gridSpan w:val="4"/>
            <w:hideMark/>
          </w:tcPr>
          <w:p w14:paraId="65ED149E"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  Kontrola všech nastavení reaktoru</w:t>
            </w:r>
          </w:p>
        </w:tc>
        <w:tc>
          <w:tcPr>
            <w:tcW w:w="2874" w:type="dxa"/>
            <w:gridSpan w:val="4"/>
            <w:hideMark/>
          </w:tcPr>
          <w:p w14:paraId="533CD713"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ANO</w:t>
            </w:r>
          </w:p>
        </w:tc>
      </w:tr>
      <w:tr w:rsidR="00050C7E" w:rsidRPr="00050C7E" w14:paraId="2E6A06AB" w14:textId="77777777" w:rsidTr="00050C7E">
        <w:trPr>
          <w:trHeight w:val="675"/>
        </w:trPr>
        <w:tc>
          <w:tcPr>
            <w:tcW w:w="2028" w:type="dxa"/>
            <w:gridSpan w:val="3"/>
            <w:vMerge/>
            <w:hideMark/>
          </w:tcPr>
          <w:p w14:paraId="5D855BD4"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p>
        </w:tc>
        <w:tc>
          <w:tcPr>
            <w:tcW w:w="3363" w:type="dxa"/>
            <w:gridSpan w:val="4"/>
            <w:hideMark/>
          </w:tcPr>
          <w:p w14:paraId="6020B2F3"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 Grafické rozhraní pro zobrazení nastavené a aktuální teploty</w:t>
            </w:r>
          </w:p>
        </w:tc>
        <w:tc>
          <w:tcPr>
            <w:tcW w:w="2874" w:type="dxa"/>
            <w:gridSpan w:val="4"/>
            <w:hideMark/>
          </w:tcPr>
          <w:p w14:paraId="617DF36F"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ANO</w:t>
            </w:r>
          </w:p>
        </w:tc>
      </w:tr>
      <w:tr w:rsidR="00050C7E" w:rsidRPr="00050C7E" w14:paraId="6418ED68" w14:textId="77777777" w:rsidTr="00050C7E">
        <w:trPr>
          <w:trHeight w:val="645"/>
        </w:trPr>
        <w:tc>
          <w:tcPr>
            <w:tcW w:w="2028" w:type="dxa"/>
            <w:gridSpan w:val="3"/>
            <w:vMerge/>
            <w:hideMark/>
          </w:tcPr>
          <w:p w14:paraId="348E9095"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p>
        </w:tc>
        <w:tc>
          <w:tcPr>
            <w:tcW w:w="3363" w:type="dxa"/>
            <w:gridSpan w:val="4"/>
            <w:hideMark/>
          </w:tcPr>
          <w:p w14:paraId="5C4D8263"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 Možnost řízení izotermálních, lineárních a krokových teplotních programů</w:t>
            </w:r>
          </w:p>
        </w:tc>
        <w:tc>
          <w:tcPr>
            <w:tcW w:w="2874" w:type="dxa"/>
            <w:gridSpan w:val="4"/>
            <w:hideMark/>
          </w:tcPr>
          <w:p w14:paraId="248FFD23"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ANO</w:t>
            </w:r>
          </w:p>
        </w:tc>
      </w:tr>
      <w:tr w:rsidR="00050C7E" w:rsidRPr="00050C7E" w14:paraId="4DB13377" w14:textId="77777777" w:rsidTr="00050C7E">
        <w:trPr>
          <w:trHeight w:val="288"/>
        </w:trPr>
        <w:tc>
          <w:tcPr>
            <w:tcW w:w="2028" w:type="dxa"/>
            <w:gridSpan w:val="3"/>
            <w:vMerge/>
            <w:hideMark/>
          </w:tcPr>
          <w:p w14:paraId="2B5890F0"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p>
        </w:tc>
        <w:tc>
          <w:tcPr>
            <w:tcW w:w="3363" w:type="dxa"/>
            <w:gridSpan w:val="4"/>
            <w:hideMark/>
          </w:tcPr>
          <w:p w14:paraId="7FBD1F13"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r w:rsidRPr="00050C7E">
              <w:rPr>
                <w:rFonts w:ascii="Arial" w:hAnsi="Arial" w:cs="Arial"/>
                <w:b/>
                <w:bCs/>
                <w:sz w:val="20"/>
                <w:szCs w:val="20"/>
              </w:rPr>
              <w:t xml:space="preserve">Dodání včetně vyhodnocovacího softwaru: </w:t>
            </w:r>
          </w:p>
        </w:tc>
        <w:tc>
          <w:tcPr>
            <w:tcW w:w="2874" w:type="dxa"/>
            <w:gridSpan w:val="4"/>
            <w:hideMark/>
          </w:tcPr>
          <w:p w14:paraId="155E1E95"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ANO</w:t>
            </w:r>
          </w:p>
        </w:tc>
      </w:tr>
      <w:tr w:rsidR="00050C7E" w:rsidRPr="00050C7E" w14:paraId="32DA1B16" w14:textId="77777777" w:rsidTr="00050C7E">
        <w:trPr>
          <w:trHeight w:val="1290"/>
        </w:trPr>
        <w:tc>
          <w:tcPr>
            <w:tcW w:w="2028" w:type="dxa"/>
            <w:gridSpan w:val="3"/>
            <w:vMerge/>
            <w:hideMark/>
          </w:tcPr>
          <w:p w14:paraId="221036D2"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p>
        </w:tc>
        <w:tc>
          <w:tcPr>
            <w:tcW w:w="3363" w:type="dxa"/>
            <w:gridSpan w:val="4"/>
            <w:hideMark/>
          </w:tcPr>
          <w:p w14:paraId="6313E0EA"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 Identifikace polymerů na základě thermogramů z EGA (evolved gas analysis), pyrolýzních chromatogramů a pyrolýzních spekter</w:t>
            </w:r>
          </w:p>
        </w:tc>
        <w:tc>
          <w:tcPr>
            <w:tcW w:w="2874" w:type="dxa"/>
            <w:gridSpan w:val="4"/>
            <w:hideMark/>
          </w:tcPr>
          <w:p w14:paraId="0CA86DEB"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ANO</w:t>
            </w:r>
          </w:p>
        </w:tc>
      </w:tr>
      <w:tr w:rsidR="00050C7E" w:rsidRPr="00050C7E" w14:paraId="2745D243" w14:textId="77777777" w:rsidTr="00050C7E">
        <w:trPr>
          <w:trHeight w:val="1095"/>
        </w:trPr>
        <w:tc>
          <w:tcPr>
            <w:tcW w:w="2028" w:type="dxa"/>
            <w:gridSpan w:val="3"/>
            <w:vMerge/>
            <w:hideMark/>
          </w:tcPr>
          <w:p w14:paraId="744DD8BB"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p>
        </w:tc>
        <w:tc>
          <w:tcPr>
            <w:tcW w:w="3363" w:type="dxa"/>
            <w:gridSpan w:val="4"/>
            <w:hideMark/>
          </w:tcPr>
          <w:p w14:paraId="6980718C"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 Knihovna obsahující tato data pro alespoň 1000 polymerů a alespoň 450 aditiv</w:t>
            </w:r>
          </w:p>
        </w:tc>
        <w:tc>
          <w:tcPr>
            <w:tcW w:w="2874" w:type="dxa"/>
            <w:gridSpan w:val="4"/>
            <w:hideMark/>
          </w:tcPr>
          <w:p w14:paraId="7F90EC2F"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1000 polymerů a 494 aditiv</w:t>
            </w:r>
          </w:p>
        </w:tc>
      </w:tr>
      <w:tr w:rsidR="00050C7E" w:rsidRPr="00050C7E" w14:paraId="2EF8DC82" w14:textId="77777777" w:rsidTr="00050C7E">
        <w:trPr>
          <w:trHeight w:val="510"/>
        </w:trPr>
        <w:tc>
          <w:tcPr>
            <w:tcW w:w="2028" w:type="dxa"/>
            <w:gridSpan w:val="3"/>
            <w:vMerge/>
            <w:hideMark/>
          </w:tcPr>
          <w:p w14:paraId="3CA0184D"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p>
        </w:tc>
        <w:tc>
          <w:tcPr>
            <w:tcW w:w="3363" w:type="dxa"/>
            <w:gridSpan w:val="4"/>
            <w:hideMark/>
          </w:tcPr>
          <w:p w14:paraId="64D11225"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 min. 2 licence</w:t>
            </w:r>
          </w:p>
        </w:tc>
        <w:tc>
          <w:tcPr>
            <w:tcW w:w="2874" w:type="dxa"/>
            <w:gridSpan w:val="4"/>
            <w:hideMark/>
          </w:tcPr>
          <w:p w14:paraId="43B1FCEB"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ANO</w:t>
            </w:r>
          </w:p>
        </w:tc>
      </w:tr>
      <w:tr w:rsidR="00050C7E" w:rsidRPr="00050C7E" w14:paraId="70010E7C" w14:textId="77777777" w:rsidTr="00050C7E">
        <w:trPr>
          <w:trHeight w:val="300"/>
        </w:trPr>
        <w:tc>
          <w:tcPr>
            <w:tcW w:w="2028" w:type="dxa"/>
            <w:gridSpan w:val="3"/>
            <w:vMerge/>
            <w:hideMark/>
          </w:tcPr>
          <w:p w14:paraId="1C302CEA"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p>
        </w:tc>
        <w:tc>
          <w:tcPr>
            <w:tcW w:w="3363" w:type="dxa"/>
            <w:gridSpan w:val="4"/>
            <w:hideMark/>
          </w:tcPr>
          <w:p w14:paraId="7F37BDA2"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r w:rsidRPr="00050C7E">
              <w:rPr>
                <w:rFonts w:ascii="Arial" w:hAnsi="Arial" w:cs="Arial"/>
                <w:b/>
                <w:bCs/>
                <w:sz w:val="20"/>
                <w:szCs w:val="20"/>
              </w:rPr>
              <w:t xml:space="preserve">Aplikační den: </w:t>
            </w:r>
          </w:p>
        </w:tc>
        <w:tc>
          <w:tcPr>
            <w:tcW w:w="731" w:type="dxa"/>
            <w:hideMark/>
          </w:tcPr>
          <w:p w14:paraId="1872EBA3"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 </w:t>
            </w:r>
          </w:p>
        </w:tc>
        <w:tc>
          <w:tcPr>
            <w:tcW w:w="700" w:type="dxa"/>
            <w:hideMark/>
          </w:tcPr>
          <w:p w14:paraId="0BC68264"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 </w:t>
            </w:r>
          </w:p>
        </w:tc>
        <w:tc>
          <w:tcPr>
            <w:tcW w:w="727" w:type="dxa"/>
            <w:hideMark/>
          </w:tcPr>
          <w:p w14:paraId="5984F651"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 </w:t>
            </w:r>
          </w:p>
        </w:tc>
        <w:tc>
          <w:tcPr>
            <w:tcW w:w="716" w:type="dxa"/>
            <w:hideMark/>
          </w:tcPr>
          <w:p w14:paraId="5CEA5FE9"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 </w:t>
            </w:r>
          </w:p>
        </w:tc>
      </w:tr>
      <w:tr w:rsidR="00050C7E" w:rsidRPr="00050C7E" w14:paraId="73FE9182" w14:textId="77777777" w:rsidTr="00050C7E">
        <w:trPr>
          <w:trHeight w:val="3690"/>
        </w:trPr>
        <w:tc>
          <w:tcPr>
            <w:tcW w:w="2028" w:type="dxa"/>
            <w:gridSpan w:val="3"/>
            <w:vMerge/>
            <w:hideMark/>
          </w:tcPr>
          <w:p w14:paraId="7395907F" w14:textId="77777777" w:rsidR="00050C7E" w:rsidRPr="00050C7E" w:rsidRDefault="00050C7E" w:rsidP="00050C7E">
            <w:pPr>
              <w:widowControl w:val="0"/>
              <w:autoSpaceDE w:val="0"/>
              <w:autoSpaceDN w:val="0"/>
              <w:adjustRightInd w:val="0"/>
              <w:ind w:left="397"/>
              <w:jc w:val="both"/>
              <w:rPr>
                <w:rFonts w:ascii="Arial" w:hAnsi="Arial" w:cs="Arial"/>
                <w:b/>
                <w:bCs/>
                <w:sz w:val="20"/>
                <w:szCs w:val="20"/>
              </w:rPr>
            </w:pPr>
          </w:p>
        </w:tc>
        <w:tc>
          <w:tcPr>
            <w:tcW w:w="3363" w:type="dxa"/>
            <w:gridSpan w:val="4"/>
            <w:hideMark/>
          </w:tcPr>
          <w:p w14:paraId="4BD5563E"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Min. 6 pracovních hodin. Podpora při zavedení a optimalizaci analytických metod pro analýzu plastů: optimalizace podmínek tandemového mikroreaktoru (minimálně: teplota pyrolýzy, ukázka pyrolýzy s použitím min. 2 sorbentů, nastavení fokusace dusíku v kryogenním trapu, ukázka výměny kolony) s následnou interpretací v dodaném vyhodnocovacím softwaru (minimálně: ukázka integrace naměřených spekter a  jejich následná identifikace).</w:t>
            </w:r>
          </w:p>
        </w:tc>
        <w:tc>
          <w:tcPr>
            <w:tcW w:w="2874" w:type="dxa"/>
            <w:gridSpan w:val="4"/>
            <w:noWrap/>
            <w:hideMark/>
          </w:tcPr>
          <w:p w14:paraId="525A56F9" w14:textId="77777777" w:rsidR="00050C7E" w:rsidRPr="00050C7E" w:rsidRDefault="00050C7E" w:rsidP="00050C7E">
            <w:pPr>
              <w:widowControl w:val="0"/>
              <w:autoSpaceDE w:val="0"/>
              <w:autoSpaceDN w:val="0"/>
              <w:adjustRightInd w:val="0"/>
              <w:ind w:left="397"/>
              <w:jc w:val="both"/>
              <w:rPr>
                <w:rFonts w:ascii="Arial" w:hAnsi="Arial" w:cs="Arial"/>
                <w:sz w:val="20"/>
                <w:szCs w:val="20"/>
              </w:rPr>
            </w:pPr>
            <w:r w:rsidRPr="00050C7E">
              <w:rPr>
                <w:rFonts w:ascii="Arial" w:hAnsi="Arial" w:cs="Arial"/>
                <w:sz w:val="20"/>
                <w:szCs w:val="20"/>
              </w:rPr>
              <w:t>ANO</w:t>
            </w:r>
          </w:p>
        </w:tc>
      </w:tr>
    </w:tbl>
    <w:p w14:paraId="6AFA3D07" w14:textId="77777777" w:rsidR="00B13B3C" w:rsidRDefault="00B13B3C" w:rsidP="0061620A">
      <w:pPr>
        <w:widowControl w:val="0"/>
        <w:autoSpaceDE w:val="0"/>
        <w:autoSpaceDN w:val="0"/>
        <w:adjustRightInd w:val="0"/>
        <w:ind w:left="397"/>
        <w:jc w:val="both"/>
        <w:rPr>
          <w:rFonts w:ascii="Arial" w:hAnsi="Arial" w:cs="Arial"/>
          <w:sz w:val="20"/>
          <w:szCs w:val="20"/>
        </w:rPr>
      </w:pPr>
    </w:p>
    <w:sectPr w:rsidR="00B13B3C" w:rsidSect="00C42A4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60197" w14:textId="77777777" w:rsidR="00420A31" w:rsidRDefault="00420A31" w:rsidP="002E65F8">
      <w:r>
        <w:separator/>
      </w:r>
    </w:p>
  </w:endnote>
  <w:endnote w:type="continuationSeparator" w:id="0">
    <w:p w14:paraId="56D9F5D9" w14:textId="77777777" w:rsidR="00420A31" w:rsidRDefault="00420A31"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438A22CE" w14:textId="77777777" w:rsidR="00861800" w:rsidRDefault="00AC6BE7">
        <w:pPr>
          <w:pStyle w:val="Zpat"/>
          <w:jc w:val="center"/>
        </w:pPr>
        <w:r>
          <w:fldChar w:fldCharType="begin"/>
        </w:r>
        <w:r w:rsidR="00861800">
          <w:instrText>PAGE   \* MERGEFORMAT</w:instrText>
        </w:r>
        <w:r>
          <w:fldChar w:fldCharType="separate"/>
        </w:r>
        <w:r w:rsidR="00FA2793">
          <w:rPr>
            <w:noProof/>
          </w:rPr>
          <w:t>2</w:t>
        </w:r>
        <w:r>
          <w:fldChar w:fldCharType="end"/>
        </w:r>
      </w:p>
    </w:sdtContent>
  </w:sdt>
  <w:p w14:paraId="25661EF7" w14:textId="77777777" w:rsidR="00AA5288" w:rsidRDefault="00861800">
    <w:pPr>
      <w:pStyle w:val="Zpat"/>
    </w:pPr>
    <w:r>
      <w:rPr>
        <w:noProof/>
      </w:rPr>
      <w:drawing>
        <wp:inline distT="0" distB="0" distL="0" distR="0" wp14:anchorId="6D3D223B" wp14:editId="5D572173">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1D708" w14:textId="77777777" w:rsidR="00420A31" w:rsidRDefault="00420A31" w:rsidP="002E65F8">
      <w:r>
        <w:separator/>
      </w:r>
    </w:p>
  </w:footnote>
  <w:footnote w:type="continuationSeparator" w:id="0">
    <w:p w14:paraId="7E6D94B3" w14:textId="77777777" w:rsidR="00420A31" w:rsidRDefault="00420A31"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50FC7"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50C7E"/>
    <w:rsid w:val="000706CB"/>
    <w:rsid w:val="0007161F"/>
    <w:rsid w:val="00090AAA"/>
    <w:rsid w:val="00171964"/>
    <w:rsid w:val="001860C6"/>
    <w:rsid w:val="001A31CF"/>
    <w:rsid w:val="001D22EA"/>
    <w:rsid w:val="00272F14"/>
    <w:rsid w:val="002954EB"/>
    <w:rsid w:val="002A4952"/>
    <w:rsid w:val="002D4993"/>
    <w:rsid w:val="002E65F8"/>
    <w:rsid w:val="003A456B"/>
    <w:rsid w:val="003B4809"/>
    <w:rsid w:val="003C4951"/>
    <w:rsid w:val="003D3E74"/>
    <w:rsid w:val="003E53ED"/>
    <w:rsid w:val="00420A31"/>
    <w:rsid w:val="00421A07"/>
    <w:rsid w:val="004578D2"/>
    <w:rsid w:val="00463512"/>
    <w:rsid w:val="00477849"/>
    <w:rsid w:val="00480CBD"/>
    <w:rsid w:val="00515298"/>
    <w:rsid w:val="00516622"/>
    <w:rsid w:val="005177B5"/>
    <w:rsid w:val="00523679"/>
    <w:rsid w:val="005277C7"/>
    <w:rsid w:val="0053777A"/>
    <w:rsid w:val="00575AEF"/>
    <w:rsid w:val="0058119C"/>
    <w:rsid w:val="005B5EA6"/>
    <w:rsid w:val="005E7C9D"/>
    <w:rsid w:val="0061620A"/>
    <w:rsid w:val="00622C5F"/>
    <w:rsid w:val="006427C7"/>
    <w:rsid w:val="006522C4"/>
    <w:rsid w:val="00652CF9"/>
    <w:rsid w:val="00680DFD"/>
    <w:rsid w:val="006C6553"/>
    <w:rsid w:val="007231F6"/>
    <w:rsid w:val="00756EBF"/>
    <w:rsid w:val="007702BF"/>
    <w:rsid w:val="00773CA0"/>
    <w:rsid w:val="00794795"/>
    <w:rsid w:val="007C33D1"/>
    <w:rsid w:val="00861800"/>
    <w:rsid w:val="00896E44"/>
    <w:rsid w:val="008D1CC4"/>
    <w:rsid w:val="008D23C8"/>
    <w:rsid w:val="008E4F05"/>
    <w:rsid w:val="009507D0"/>
    <w:rsid w:val="00987236"/>
    <w:rsid w:val="0098761C"/>
    <w:rsid w:val="00A015B5"/>
    <w:rsid w:val="00A2076A"/>
    <w:rsid w:val="00A3483F"/>
    <w:rsid w:val="00AA5288"/>
    <w:rsid w:val="00AB01EE"/>
    <w:rsid w:val="00AC6BE7"/>
    <w:rsid w:val="00B0151B"/>
    <w:rsid w:val="00B108EB"/>
    <w:rsid w:val="00B13B3C"/>
    <w:rsid w:val="00B522D3"/>
    <w:rsid w:val="00B66DF9"/>
    <w:rsid w:val="00B76780"/>
    <w:rsid w:val="00BA19E1"/>
    <w:rsid w:val="00C207E5"/>
    <w:rsid w:val="00C21B87"/>
    <w:rsid w:val="00C27337"/>
    <w:rsid w:val="00C42A41"/>
    <w:rsid w:val="00C51103"/>
    <w:rsid w:val="00D05466"/>
    <w:rsid w:val="00D5652F"/>
    <w:rsid w:val="00D66379"/>
    <w:rsid w:val="00D746F1"/>
    <w:rsid w:val="00D8410B"/>
    <w:rsid w:val="00D92F36"/>
    <w:rsid w:val="00D971EE"/>
    <w:rsid w:val="00DB2787"/>
    <w:rsid w:val="00DE2E9B"/>
    <w:rsid w:val="00DE5B2C"/>
    <w:rsid w:val="00E051F1"/>
    <w:rsid w:val="00E2788B"/>
    <w:rsid w:val="00E40695"/>
    <w:rsid w:val="00EE002F"/>
    <w:rsid w:val="00F10B4E"/>
    <w:rsid w:val="00F65C3A"/>
    <w:rsid w:val="00F72A11"/>
    <w:rsid w:val="00F73338"/>
    <w:rsid w:val="00F77D71"/>
    <w:rsid w:val="00F92972"/>
    <w:rsid w:val="00FA2793"/>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266458"/>
  <w15:docId w15:val="{C3FCF36E-7A53-430E-801E-7A850FF7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3E53ED"/>
    <w:pPr>
      <w:ind w:left="720"/>
      <w:contextualSpacing/>
    </w:pPr>
  </w:style>
  <w:style w:type="table" w:styleId="Mkatabulky">
    <w:name w:val="Table Grid"/>
    <w:basedOn w:val="Normlntabulka"/>
    <w:uiPriority w:val="39"/>
    <w:rsid w:val="00050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59720">
      <w:bodyDiv w:val="1"/>
      <w:marLeft w:val="0"/>
      <w:marRight w:val="0"/>
      <w:marTop w:val="0"/>
      <w:marBottom w:val="0"/>
      <w:divBdr>
        <w:top w:val="none" w:sz="0" w:space="0" w:color="auto"/>
        <w:left w:val="none" w:sz="0" w:space="0" w:color="auto"/>
        <w:bottom w:val="none" w:sz="0" w:space="0" w:color="auto"/>
        <w:right w:val="none" w:sz="0" w:space="0" w:color="auto"/>
      </w:divBdr>
    </w:div>
    <w:div w:id="76284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4933</Words>
  <Characters>29108</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33974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jezkovas</cp:lastModifiedBy>
  <cp:revision>2</cp:revision>
  <dcterms:created xsi:type="dcterms:W3CDTF">2022-07-14T10:55:00Z</dcterms:created>
  <dcterms:modified xsi:type="dcterms:W3CDTF">2022-07-14T10:55:00Z</dcterms:modified>
</cp:coreProperties>
</file>