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957F" w14:textId="51DD3ABA" w:rsidR="00AE767B" w:rsidRDefault="00AE767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Šumava s.r.o.</w:t>
      </w:r>
    </w:p>
    <w:p w14:paraId="5D53845E" w14:textId="77777777" w:rsidR="00AE767B" w:rsidRDefault="00AE767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Švermova 161</w:t>
      </w:r>
    </w:p>
    <w:p w14:paraId="5ABF8B78" w14:textId="66F4A14F" w:rsidR="00150F22" w:rsidRPr="00150F22" w:rsidRDefault="00AE767B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26 Horní Planá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0EE3BA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AE767B" w:rsidRPr="00AE767B">
        <w:t xml:space="preserve"> </w:t>
      </w:r>
      <w:r w:rsidR="00AE767B" w:rsidRPr="00AE767B">
        <w:rPr>
          <w:rFonts w:ascii="Arial" w:hAnsi="Arial" w:cs="Arial"/>
          <w:sz w:val="22"/>
          <w:szCs w:val="22"/>
        </w:rPr>
        <w:t>SPU 266178/2022/33/</w:t>
      </w:r>
      <w:proofErr w:type="spellStart"/>
      <w:r w:rsidR="00AE767B" w:rsidRPr="00AE767B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786441B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AE767B">
        <w:rPr>
          <w:rFonts w:ascii="Arial" w:hAnsi="Arial" w:cs="Arial"/>
          <w:sz w:val="20"/>
          <w:szCs w:val="20"/>
        </w:rPr>
        <w:t>25. 7. 2022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07F21494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D0C3234" w14:textId="77777777" w:rsidR="00EF41D8" w:rsidRPr="00B74BDA" w:rsidRDefault="00EF41D8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FA2859A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AE767B">
        <w:rPr>
          <w:rFonts w:ascii="Arial" w:hAnsi="Arial" w:cs="Arial"/>
          <w:b/>
          <w:sz w:val="22"/>
          <w:szCs w:val="22"/>
        </w:rPr>
        <w:t xml:space="preserve">119N15/33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AE767B">
        <w:rPr>
          <w:rFonts w:ascii="Arial" w:hAnsi="Arial" w:cs="Arial"/>
          <w:b/>
          <w:sz w:val="22"/>
          <w:szCs w:val="22"/>
        </w:rPr>
        <w:t xml:space="preserve"> 30. 6. 2015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0B41FB6" w14:textId="77777777" w:rsidR="00EF41D8" w:rsidRDefault="00EF41D8" w:rsidP="00AE767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7EED6D3" w:rsidR="00EF5D45" w:rsidRPr="00B74BDA" w:rsidRDefault="00AE767B" w:rsidP="00AE767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119N15/363,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FC39BE1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AE767B">
        <w:rPr>
          <w:rFonts w:ascii="Arial" w:hAnsi="Arial" w:cs="Arial"/>
          <w:iCs/>
          <w:sz w:val="22"/>
          <w:szCs w:val="22"/>
        </w:rPr>
        <w:t xml:space="preserve">18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AE767B">
        <w:rPr>
          <w:rFonts w:ascii="Arial" w:hAnsi="Arial" w:cs="Arial"/>
          <w:iCs/>
          <w:sz w:val="22"/>
          <w:szCs w:val="22"/>
        </w:rPr>
        <w:t xml:space="preserve">119N15/33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4E281E08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303896B7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AE767B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274D663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AE767B">
        <w:rPr>
          <w:rFonts w:ascii="Arial" w:hAnsi="Arial" w:cs="Arial"/>
          <w:sz w:val="22"/>
          <w:szCs w:val="22"/>
        </w:rPr>
        <w:t xml:space="preserve">167 238,-Kč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AE767B">
        <w:rPr>
          <w:rFonts w:ascii="Arial" w:hAnsi="Arial" w:cs="Arial"/>
          <w:sz w:val="22"/>
          <w:szCs w:val="22"/>
        </w:rPr>
        <w:t>6 355,-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AE767B">
        <w:rPr>
          <w:rFonts w:ascii="Arial" w:hAnsi="Arial" w:cs="Arial"/>
          <w:sz w:val="22"/>
          <w:szCs w:val="22"/>
        </w:rPr>
        <w:t>šesttisíctřistapadesátpět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E9EB6F6" w:rsidR="000446EB" w:rsidRPr="00AE767B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AE767B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AE767B">
        <w:rPr>
          <w:rFonts w:ascii="Arial" w:hAnsi="Arial" w:cs="Arial"/>
          <w:bCs/>
          <w:sz w:val="22"/>
          <w:szCs w:val="22"/>
        </w:rPr>
        <w:t>y</w:t>
      </w:r>
      <w:r w:rsidRPr="00AE767B">
        <w:rPr>
          <w:rFonts w:ascii="Arial" w:hAnsi="Arial" w:cs="Arial"/>
          <w:bCs/>
          <w:sz w:val="22"/>
          <w:szCs w:val="22"/>
        </w:rPr>
        <w:t xml:space="preserve"> ve výši </w:t>
      </w:r>
      <w:r w:rsidR="00AE767B" w:rsidRPr="00AE767B">
        <w:rPr>
          <w:rFonts w:ascii="Arial" w:hAnsi="Arial" w:cs="Arial"/>
          <w:bCs/>
          <w:sz w:val="22"/>
          <w:szCs w:val="22"/>
        </w:rPr>
        <w:t>173 593,-</w:t>
      </w:r>
      <w:r w:rsidRPr="00AE767B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AE767B" w:rsidRPr="00AE767B">
        <w:rPr>
          <w:rFonts w:ascii="Arial" w:hAnsi="Arial" w:cs="Arial"/>
          <w:bCs/>
          <w:sz w:val="22"/>
          <w:szCs w:val="22"/>
        </w:rPr>
        <w:t>jednostosedmdesáttřitisícpětsetdevadesáttři</w:t>
      </w:r>
      <w:r w:rsidRPr="00AE767B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AE767B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AE767B">
        <w:rPr>
          <w:rFonts w:ascii="Arial" w:hAnsi="Arial" w:cs="Arial"/>
          <w:bCs/>
          <w:sz w:val="22"/>
          <w:szCs w:val="22"/>
        </w:rPr>
        <w:t xml:space="preserve">/ročně </w:t>
      </w:r>
      <w:r w:rsidRPr="00AE767B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49DDBE0E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="00AE767B"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76CACF66" w:rsidR="00F10268" w:rsidRPr="00AE767B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AE767B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E767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AE767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AE767B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 </w:t>
      </w:r>
      <w:r w:rsidR="00AE767B">
        <w:rPr>
          <w:rFonts w:ascii="Arial" w:hAnsi="Arial" w:cs="Arial"/>
          <w:b/>
          <w:bCs/>
          <w:sz w:val="22"/>
          <w:szCs w:val="22"/>
        </w:rPr>
        <w:t>174 336,-</w:t>
      </w:r>
      <w:r w:rsidRPr="00AE767B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056F53F3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F41D8">
        <w:rPr>
          <w:rFonts w:ascii="Arial" w:hAnsi="Arial" w:cs="Arial"/>
          <w:sz w:val="22"/>
          <w:szCs w:val="22"/>
        </w:rPr>
        <w:t>jednostosedmdesát</w:t>
      </w:r>
      <w:r w:rsidR="00C1026E">
        <w:rPr>
          <w:rFonts w:ascii="Arial" w:hAnsi="Arial" w:cs="Arial"/>
          <w:sz w:val="22"/>
          <w:szCs w:val="22"/>
        </w:rPr>
        <w:t>čtyřitisíctřistatřicetšest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035F0C3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EF41D8">
        <w:rPr>
          <w:rFonts w:ascii="Arial" w:hAnsi="Arial" w:cs="Arial"/>
          <w:b/>
          <w:sz w:val="22"/>
          <w:szCs w:val="22"/>
        </w:rPr>
        <w:t xml:space="preserve">119N15/33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6A84E92B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EF41D8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C1026E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C1026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E767B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1026E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41D8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2022-07-25T08:48:00Z</cp:lastPrinted>
  <dcterms:created xsi:type="dcterms:W3CDTF">2018-05-25T06:47:00Z</dcterms:created>
  <dcterms:modified xsi:type="dcterms:W3CDTF">2022-07-25T08:48:00Z</dcterms:modified>
</cp:coreProperties>
</file>