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2E0C0656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E78C8">
        <w:rPr>
          <w:rFonts w:eastAsia="Times New Roman"/>
          <w:b/>
          <w:sz w:val="20"/>
          <w:szCs w:val="20"/>
          <w:lang w:eastAsia="cs-CZ"/>
        </w:rPr>
        <w:t>Dräger Medical, s.r.o.</w:t>
      </w:r>
    </w:p>
    <w:p w14:paraId="50EE1278" w14:textId="02C93EB0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E78C8">
        <w:rPr>
          <w:rFonts w:eastAsia="Times New Roman"/>
          <w:sz w:val="20"/>
          <w:szCs w:val="20"/>
          <w:lang w:eastAsia="cs-CZ"/>
        </w:rPr>
        <w:t>26700760</w:t>
      </w:r>
    </w:p>
    <w:p w14:paraId="5847643A" w14:textId="37FB175E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 w:rsidR="000E78C8">
        <w:rPr>
          <w:rFonts w:eastAsia="Times New Roman"/>
          <w:sz w:val="20"/>
          <w:szCs w:val="20"/>
          <w:lang w:eastAsia="cs-CZ"/>
        </w:rPr>
        <w:t>26700760</w:t>
      </w:r>
    </w:p>
    <w:p w14:paraId="45DCEEB8" w14:textId="104E5BE6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E78C8">
        <w:rPr>
          <w:rFonts w:eastAsia="Times New Roman"/>
          <w:sz w:val="20"/>
          <w:szCs w:val="20"/>
          <w:lang w:eastAsia="cs-CZ"/>
        </w:rPr>
        <w:t>Obchodní 124, Čestlice, PSČ 251 01</w:t>
      </w:r>
    </w:p>
    <w:p w14:paraId="01B1DDC0" w14:textId="0FC70D6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 xml:space="preserve">Ing. </w:t>
      </w:r>
      <w:r w:rsidR="000E78C8">
        <w:rPr>
          <w:rFonts w:eastAsia="Times New Roman"/>
          <w:sz w:val="20"/>
          <w:szCs w:val="20"/>
          <w:lang w:eastAsia="cs-CZ"/>
        </w:rPr>
        <w:t>Václav Baxa, na základě plné moci</w:t>
      </w:r>
    </w:p>
    <w:p w14:paraId="1F94B8F0" w14:textId="38323F12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E78C8">
        <w:rPr>
          <w:rFonts w:eastAsia="Times New Roman"/>
          <w:sz w:val="20"/>
          <w:szCs w:val="20"/>
          <w:lang w:eastAsia="cs-CZ"/>
        </w:rPr>
        <w:t>Deutsche Bank</w:t>
      </w:r>
    </w:p>
    <w:p w14:paraId="27878CC8" w14:textId="69E52E6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0E78C8">
        <w:rPr>
          <w:rFonts w:eastAsia="Times New Roman"/>
          <w:sz w:val="20"/>
          <w:szCs w:val="20"/>
          <w:lang w:eastAsia="cs-CZ"/>
        </w:rPr>
        <w:t>317</w:t>
      </w:r>
      <w:r w:rsidR="00F80462">
        <w:rPr>
          <w:rFonts w:eastAsia="Times New Roman"/>
          <w:sz w:val="20"/>
          <w:szCs w:val="20"/>
          <w:lang w:eastAsia="cs-CZ"/>
        </w:rPr>
        <w:t>2300003/7910</w:t>
      </w:r>
    </w:p>
    <w:p w14:paraId="1630AAFA" w14:textId="03594776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F80462">
        <w:rPr>
          <w:rFonts w:eastAsia="Times New Roman"/>
          <w:sz w:val="20"/>
          <w:szCs w:val="20"/>
          <w:lang w:eastAsia="cs-CZ"/>
        </w:rPr>
        <w:t>88291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7777777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045AF3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lastRenderedPageBreak/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lastRenderedPageBreak/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35C88FC8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D16A2B">
        <w:rPr>
          <w:rFonts w:ascii="Verdana" w:hAnsi="Verdana"/>
          <w:b/>
          <w:bCs/>
          <w:sz w:val="20"/>
          <w:lang w:eastAsia="cs-CZ"/>
        </w:rPr>
        <w:t>250 800</w:t>
      </w:r>
      <w:r w:rsidR="00CF08DC" w:rsidRPr="00C94A0B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D16A2B">
        <w:rPr>
          <w:rFonts w:ascii="Verdana" w:hAnsi="Verdana"/>
          <w:sz w:val="20"/>
          <w:lang w:eastAsia="cs-CZ"/>
        </w:rPr>
        <w:t>52 668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D16A2B">
        <w:rPr>
          <w:rFonts w:ascii="Verdana" w:hAnsi="Verdana"/>
          <w:sz w:val="20"/>
          <w:lang w:eastAsia="cs-CZ"/>
        </w:rPr>
        <w:t>303 468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7117393B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2441AE" w:rsidRPr="002441AE">
        <w:rPr>
          <w:rFonts w:ascii="Verdana" w:hAnsi="Verdana"/>
          <w:bCs/>
          <w:sz w:val="20"/>
          <w:lang w:eastAsia="cs-CZ"/>
        </w:rPr>
        <w:t>(OÚ)</w:t>
      </w:r>
    </w:p>
    <w:p w14:paraId="32B80ACD" w14:textId="02F46B52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41AE" w:rsidRPr="002441AE">
        <w:rPr>
          <w:rFonts w:ascii="Verdana" w:hAnsi="Verdana"/>
          <w:bCs/>
          <w:sz w:val="20"/>
          <w:lang w:eastAsia="cs-CZ"/>
        </w:rPr>
        <w:t>(OÚ)</w:t>
      </w:r>
    </w:p>
    <w:p w14:paraId="59831D62" w14:textId="42974EC4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41AE" w:rsidRPr="002441AE">
        <w:rPr>
          <w:rFonts w:ascii="Verdana" w:hAnsi="Verdana"/>
          <w:bCs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18FE9AEB" w14:textId="6CB9309D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2441AE" w:rsidRPr="002441AE">
        <w:rPr>
          <w:rFonts w:ascii="Verdana" w:hAnsi="Verdana"/>
          <w:bCs/>
          <w:sz w:val="20"/>
          <w:lang w:eastAsia="cs-CZ"/>
        </w:rPr>
        <w:t>(OÚ)</w:t>
      </w:r>
    </w:p>
    <w:p w14:paraId="7A89EE27" w14:textId="60BFAF2A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41AE" w:rsidRPr="002441AE">
        <w:rPr>
          <w:rFonts w:ascii="Verdana" w:hAnsi="Verdana"/>
          <w:bCs/>
          <w:sz w:val="20"/>
          <w:lang w:eastAsia="cs-CZ"/>
        </w:rPr>
        <w:t>(OÚ)</w:t>
      </w:r>
    </w:p>
    <w:p w14:paraId="74BD119E" w14:textId="77777777" w:rsidR="002441AE" w:rsidRDefault="005C6FCF" w:rsidP="002441AE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41AE" w:rsidRPr="002441AE">
        <w:rPr>
          <w:rFonts w:ascii="Verdana" w:hAnsi="Verdana"/>
          <w:bCs/>
          <w:sz w:val="20"/>
          <w:lang w:eastAsia="cs-CZ"/>
        </w:rPr>
        <w:t>(OÚ)</w:t>
      </w:r>
    </w:p>
    <w:p w14:paraId="6A6229B2" w14:textId="7EFAC0A2" w:rsidR="002A48C2" w:rsidRDefault="002A48C2" w:rsidP="002441AE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738280D4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485AE8">
              <w:rPr>
                <w:sz w:val="20"/>
                <w:szCs w:val="20"/>
                <w:lang w:eastAsia="cs-CZ"/>
              </w:rPr>
              <w:t> </w:t>
            </w:r>
            <w:r w:rsidR="00C25407">
              <w:rPr>
                <w:sz w:val="20"/>
                <w:szCs w:val="20"/>
                <w:lang w:eastAsia="cs-CZ"/>
              </w:rPr>
              <w:t>Čestlicích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 w:rsidR="00C25407"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ED2C27" w14:textId="77777777" w:rsidR="00884B43" w:rsidRDefault="00C25407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Dräger Medical, s.r.o.</w:t>
            </w:r>
          </w:p>
          <w:p w14:paraId="77CB1FDA" w14:textId="77777777" w:rsidR="00C25407" w:rsidRDefault="00C25407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Ing. Václav Baxa</w:t>
            </w:r>
          </w:p>
          <w:p w14:paraId="79B7F8AE" w14:textId="4519925C" w:rsidR="00C25407" w:rsidRPr="00C25407" w:rsidRDefault="00C25407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Na základě plné moci</w:t>
            </w: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DEE0F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4098238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BD55F7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3BBDF6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9771C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4826" w14:textId="77777777" w:rsidR="00E8121C" w:rsidRDefault="00E8121C">
      <w:r>
        <w:separator/>
      </w:r>
    </w:p>
  </w:endnote>
  <w:endnote w:type="continuationSeparator" w:id="0">
    <w:p w14:paraId="3DCF8A48" w14:textId="77777777" w:rsidR="00E8121C" w:rsidRDefault="00E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2441AE">
      <w:fldChar w:fldCharType="begin"/>
    </w:r>
    <w:r w:rsidR="002441AE">
      <w:instrText xml:space="preserve"> NUMPAGES  \* Arabic  \* MERGEFORMAT </w:instrText>
    </w:r>
    <w:r w:rsidR="002441AE">
      <w:fldChar w:fldCharType="separate"/>
    </w:r>
    <w:r w:rsidR="00045AF3" w:rsidRPr="00045AF3">
      <w:rPr>
        <w:rStyle w:val="slostrnky"/>
        <w:noProof/>
        <w:sz w:val="18"/>
        <w:szCs w:val="18"/>
      </w:rPr>
      <w:t>7</w:t>
    </w:r>
    <w:r w:rsidR="002441AE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2553" w14:textId="77777777" w:rsidR="00E8121C" w:rsidRDefault="00E8121C">
      <w:r>
        <w:separator/>
      </w:r>
    </w:p>
  </w:footnote>
  <w:footnote w:type="continuationSeparator" w:id="0">
    <w:p w14:paraId="1C319328" w14:textId="77777777" w:rsidR="00E8121C" w:rsidRDefault="00E8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E78C8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4C25"/>
    <w:rsid w:val="00236437"/>
    <w:rsid w:val="00236C81"/>
    <w:rsid w:val="0024026F"/>
    <w:rsid w:val="002416DF"/>
    <w:rsid w:val="002441AE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70352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C7892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A7E6D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B53"/>
    <w:rsid w:val="005F4D6F"/>
    <w:rsid w:val="00622CAA"/>
    <w:rsid w:val="00626F73"/>
    <w:rsid w:val="006312EF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C7CCA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C4BB6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2540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16A2B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121C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0462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2455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24</cp:revision>
  <cp:lastPrinted>2021-07-08T08:36:00Z</cp:lastPrinted>
  <dcterms:created xsi:type="dcterms:W3CDTF">2021-10-19T16:38:00Z</dcterms:created>
  <dcterms:modified xsi:type="dcterms:W3CDTF">2022-07-20T07:10:00Z</dcterms:modified>
</cp:coreProperties>
</file>