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D9" w:rsidRPr="000266C5" w:rsidRDefault="003E51D9" w:rsidP="00B8291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266C5">
        <w:rPr>
          <w:rFonts w:ascii="Calibri" w:hAnsi="Calibri" w:cs="Calibri"/>
          <w:b/>
          <w:bCs/>
          <w:sz w:val="28"/>
          <w:szCs w:val="28"/>
        </w:rPr>
        <w:t xml:space="preserve">Smlouva o nájmu nebytových prostor </w:t>
      </w:r>
    </w:p>
    <w:p w:rsidR="003E51D9" w:rsidRPr="000266C5" w:rsidRDefault="003E51D9" w:rsidP="00B8291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(dle ustanovení zák. č. 89/2012 Sb.)</w:t>
      </w:r>
    </w:p>
    <w:p w:rsidR="003E51D9" w:rsidRPr="000266C5" w:rsidRDefault="003E51D9" w:rsidP="007B3D37">
      <w:pPr>
        <w:rPr>
          <w:rFonts w:ascii="Calibri" w:hAnsi="Calibri" w:cs="Calibri"/>
          <w:b/>
          <w:bCs/>
          <w:sz w:val="22"/>
          <w:szCs w:val="22"/>
        </w:rPr>
      </w:pPr>
    </w:p>
    <w:p w:rsidR="003E51D9" w:rsidRPr="000266C5" w:rsidRDefault="003E51D9" w:rsidP="007B3D37">
      <w:pPr>
        <w:rPr>
          <w:rFonts w:ascii="Calibri" w:hAnsi="Calibri" w:cs="Calibri"/>
          <w:b/>
          <w:bCs/>
          <w:sz w:val="22"/>
          <w:szCs w:val="22"/>
        </w:rPr>
      </w:pPr>
    </w:p>
    <w:p w:rsidR="003E51D9" w:rsidRPr="000266C5" w:rsidRDefault="003E51D9" w:rsidP="00CC15BF">
      <w:pPr>
        <w:pStyle w:val="Nadpis1"/>
        <w:jc w:val="both"/>
        <w:rPr>
          <w:rFonts w:ascii="Calibri" w:hAnsi="Calibri" w:cs="Calibri"/>
        </w:rPr>
      </w:pPr>
      <w:r w:rsidRPr="000266C5">
        <w:rPr>
          <w:rFonts w:ascii="Calibri" w:hAnsi="Calibri" w:cs="Calibri"/>
        </w:rPr>
        <w:t>Pronajímatel: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Zdravotní zařízení poliklinika města Trhové Sviny 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Nábřeží Svatopluka Čecha 664, 374 01 Trhové Sviny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zastoupené správcem Ing. Ivanou </w:t>
      </w:r>
      <w:proofErr w:type="spellStart"/>
      <w:r w:rsidRPr="000266C5">
        <w:rPr>
          <w:rFonts w:ascii="Calibri" w:hAnsi="Calibri" w:cs="Calibri"/>
          <w:sz w:val="22"/>
          <w:szCs w:val="22"/>
        </w:rPr>
        <w:t>Božákovou</w:t>
      </w:r>
      <w:proofErr w:type="spellEnd"/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IČO: 6253570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DIČ: CZ62535706 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 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a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CC15B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Nájemce:</w:t>
      </w:r>
    </w:p>
    <w:p w:rsidR="00B37C0F" w:rsidRPr="000266C5" w:rsidRDefault="002966EB" w:rsidP="008E5F5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MUDr. Tomáš Trnka</w:t>
      </w:r>
    </w:p>
    <w:p w:rsidR="00771703" w:rsidRPr="000266C5" w:rsidRDefault="00771703" w:rsidP="008E5F5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Zahorčice 39, Boršov nad Vltavou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IČ: 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CC15BF">
      <w:pPr>
        <w:pStyle w:val="Smluvnstrana"/>
        <w:widowControl/>
        <w:spacing w:after="600" w:line="24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0266C5">
        <w:rPr>
          <w:rFonts w:ascii="Calibri" w:hAnsi="Calibri" w:cs="Calibri"/>
          <w:b w:val="0"/>
          <w:bCs w:val="0"/>
          <w:sz w:val="22"/>
          <w:szCs w:val="22"/>
        </w:rPr>
        <w:t>uzavřeli níže uvedeného dne, měsíce a roku dle ustanovení § 2201 a násl. a § 2302 a násl. zákona č. 89/2012 Sb., občanský zákoník, tuto nájemní smlouvu (dále jen „smlouva“):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 </w:t>
      </w: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I.</w:t>
      </w: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Úvodní prohlášení a předmět smlouvy</w:t>
      </w:r>
    </w:p>
    <w:p w:rsidR="003E51D9" w:rsidRPr="000266C5" w:rsidRDefault="003E51D9" w:rsidP="003E0EB3">
      <w:pPr>
        <w:jc w:val="center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767BB1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Vlastníkem budov polikliniky, Nábřeží Svatopluka Čecha 664 v Trhových Svinech, které jsou součástí pozemků st. 608, 2062, 2076, 2078, 2088 je město Trhové Sviny, budovy a pozemky jsou zapsané na LV č. 3268 pro </w:t>
      </w:r>
      <w:proofErr w:type="spellStart"/>
      <w:proofErr w:type="gramStart"/>
      <w:r w:rsidRPr="000266C5">
        <w:rPr>
          <w:rFonts w:ascii="Calibri" w:hAnsi="Calibri" w:cs="Calibri"/>
          <w:sz w:val="22"/>
          <w:szCs w:val="22"/>
        </w:rPr>
        <w:t>k.ú</w:t>
      </w:r>
      <w:proofErr w:type="spellEnd"/>
      <w:r w:rsidRPr="000266C5">
        <w:rPr>
          <w:rFonts w:ascii="Calibri" w:hAnsi="Calibri" w:cs="Calibri"/>
          <w:sz w:val="22"/>
          <w:szCs w:val="22"/>
        </w:rPr>
        <w:t>.</w:t>
      </w:r>
      <w:proofErr w:type="gramEnd"/>
      <w:r w:rsidRPr="000266C5">
        <w:rPr>
          <w:rFonts w:ascii="Calibri" w:hAnsi="Calibri" w:cs="Calibri"/>
          <w:sz w:val="22"/>
          <w:szCs w:val="22"/>
        </w:rPr>
        <w:t xml:space="preserve"> Trhové Sviny. Správcem nemovitostí je na základě zřizovací listiny ze dne 11. 12. 2006, která nahrazuje zřizovací listinu ze dne 2. 5. 1995, ve znění schválených změn a dodatků, příspěvková organizace Zdravotní zařízení poliklinika města Trhové Sviny (dále jen správce).  </w:t>
      </w:r>
    </w:p>
    <w:p w:rsidR="003E51D9" w:rsidRPr="000266C5" w:rsidRDefault="003E51D9" w:rsidP="00767BB1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767BB1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Předmětem smlouvy je pronájem nebytových prostor v</w:t>
      </w:r>
      <w:r w:rsidR="00315C00" w:rsidRPr="000266C5">
        <w:rPr>
          <w:rFonts w:ascii="Calibri" w:hAnsi="Calibri" w:cs="Calibri"/>
          <w:sz w:val="22"/>
          <w:szCs w:val="22"/>
        </w:rPr>
        <w:t> </w:t>
      </w:r>
      <w:r w:rsidRPr="000266C5">
        <w:rPr>
          <w:rFonts w:ascii="Calibri" w:hAnsi="Calibri" w:cs="Calibri"/>
          <w:sz w:val="22"/>
          <w:szCs w:val="22"/>
        </w:rPr>
        <w:t>budově</w:t>
      </w:r>
      <w:r w:rsidR="00315C00" w:rsidRPr="000266C5">
        <w:rPr>
          <w:rFonts w:ascii="Calibri" w:hAnsi="Calibri" w:cs="Calibri"/>
          <w:sz w:val="22"/>
          <w:szCs w:val="22"/>
        </w:rPr>
        <w:t xml:space="preserve"> A</w:t>
      </w:r>
      <w:r w:rsidRPr="000266C5">
        <w:rPr>
          <w:rFonts w:ascii="Calibri" w:hAnsi="Calibri" w:cs="Calibri"/>
          <w:sz w:val="22"/>
          <w:szCs w:val="22"/>
        </w:rPr>
        <w:t xml:space="preserve"> polikliniky o celkové výměře </w:t>
      </w:r>
      <w:r w:rsidR="002966EB">
        <w:rPr>
          <w:rFonts w:ascii="Calibri" w:hAnsi="Calibri" w:cs="Calibri"/>
          <w:sz w:val="22"/>
          <w:szCs w:val="22"/>
        </w:rPr>
        <w:t>31,25 m</w:t>
      </w:r>
      <w:r w:rsidRPr="000266C5">
        <w:rPr>
          <w:rFonts w:ascii="Calibri" w:hAnsi="Calibri" w:cs="Calibri"/>
          <w:sz w:val="22"/>
          <w:szCs w:val="22"/>
        </w:rPr>
        <w:t>2 na adrese: Nábřeží Svatopluka Čecha 664, 374 01 Trhové Sviny. Specifikace pronajímaných prostor je uvedena v příloze č. 1, která je nedílnou součástí této smlouvy.</w:t>
      </w:r>
    </w:p>
    <w:p w:rsidR="003E51D9" w:rsidRPr="000266C5" w:rsidRDefault="003E51D9" w:rsidP="00F52DB6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II.</w:t>
      </w: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Účel smlouvy</w:t>
      </w: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E51D9" w:rsidRPr="000266C5" w:rsidRDefault="003E51D9" w:rsidP="00CC15BF">
      <w:pPr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Účelem této smlouvy je zajištění prostor pro poskytování ambulantní</w:t>
      </w:r>
      <w:r w:rsidR="00315C00" w:rsidRPr="000266C5">
        <w:rPr>
          <w:rFonts w:ascii="Calibri" w:hAnsi="Calibri" w:cs="Calibri"/>
          <w:sz w:val="22"/>
          <w:szCs w:val="22"/>
        </w:rPr>
        <w:t xml:space="preserve"> </w:t>
      </w:r>
      <w:r w:rsidRPr="000266C5">
        <w:rPr>
          <w:rFonts w:ascii="Calibri" w:hAnsi="Calibri" w:cs="Calibri"/>
          <w:sz w:val="22"/>
          <w:szCs w:val="22"/>
        </w:rPr>
        <w:t xml:space="preserve"> </w:t>
      </w:r>
      <w:r w:rsidR="00956DE8">
        <w:rPr>
          <w:rFonts w:ascii="Calibri" w:hAnsi="Calibri" w:cs="Calibri"/>
          <w:sz w:val="22"/>
          <w:szCs w:val="22"/>
        </w:rPr>
        <w:t xml:space="preserve">ortopedie </w:t>
      </w:r>
      <w:r w:rsidRPr="000266C5">
        <w:rPr>
          <w:rFonts w:ascii="Calibri" w:hAnsi="Calibri" w:cs="Calibri"/>
          <w:sz w:val="22"/>
          <w:szCs w:val="22"/>
        </w:rPr>
        <w:t xml:space="preserve">pro spádovou oblast a okolí dle zákona o zdravotních službách a souvisejících předpisů v platném znění a některé další související úkony a činnosti.  </w:t>
      </w:r>
      <w:r w:rsidRPr="000266C5">
        <w:rPr>
          <w:rFonts w:ascii="Calibri" w:hAnsi="Calibri" w:cs="Calibri"/>
          <w:b/>
          <w:bCs/>
          <w:sz w:val="22"/>
          <w:szCs w:val="22"/>
        </w:rPr>
        <w:t xml:space="preserve">           </w:t>
      </w:r>
    </w:p>
    <w:p w:rsidR="003E51D9" w:rsidRPr="000266C5" w:rsidRDefault="003E51D9" w:rsidP="00AD462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E51D9" w:rsidRPr="000266C5" w:rsidRDefault="003E51D9" w:rsidP="00AD4620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III.</w:t>
      </w: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Doba nájmu</w:t>
      </w:r>
    </w:p>
    <w:p w:rsidR="003E51D9" w:rsidRPr="000266C5" w:rsidRDefault="003E51D9" w:rsidP="003E0EB3">
      <w:pPr>
        <w:jc w:val="center"/>
        <w:rPr>
          <w:rFonts w:ascii="Calibri" w:hAnsi="Calibri" w:cs="Calibri"/>
          <w:sz w:val="22"/>
          <w:szCs w:val="22"/>
        </w:rPr>
      </w:pPr>
    </w:p>
    <w:p w:rsidR="003E51D9" w:rsidRPr="00AB5EE0" w:rsidRDefault="003E51D9" w:rsidP="00CC15BF">
      <w:pPr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     Nájemní smlouva se uzavírá na dobu neurčitou. Smlouva je účinná </w:t>
      </w:r>
      <w:r w:rsidRPr="00771703">
        <w:rPr>
          <w:rFonts w:ascii="Calibri" w:hAnsi="Calibri" w:cs="Calibri"/>
          <w:sz w:val="22"/>
          <w:szCs w:val="22"/>
        </w:rPr>
        <w:t xml:space="preserve">dnem </w:t>
      </w:r>
      <w:proofErr w:type="gramStart"/>
      <w:r w:rsidRPr="00771703">
        <w:rPr>
          <w:rFonts w:ascii="Calibri" w:hAnsi="Calibri" w:cs="Calibri"/>
          <w:sz w:val="22"/>
          <w:szCs w:val="22"/>
        </w:rPr>
        <w:t>01.0</w:t>
      </w:r>
      <w:r w:rsidR="00AB5EE0" w:rsidRPr="00771703">
        <w:rPr>
          <w:rFonts w:ascii="Calibri" w:hAnsi="Calibri" w:cs="Calibri"/>
          <w:sz w:val="22"/>
          <w:szCs w:val="22"/>
        </w:rPr>
        <w:t>7</w:t>
      </w:r>
      <w:r w:rsidRPr="00771703">
        <w:rPr>
          <w:rFonts w:ascii="Calibri" w:hAnsi="Calibri" w:cs="Calibri"/>
          <w:sz w:val="22"/>
          <w:szCs w:val="22"/>
        </w:rPr>
        <w:t>.202</w:t>
      </w:r>
      <w:r w:rsidR="005B7EBB" w:rsidRPr="00771703">
        <w:rPr>
          <w:rFonts w:ascii="Calibri" w:hAnsi="Calibri" w:cs="Calibri"/>
          <w:sz w:val="22"/>
          <w:szCs w:val="22"/>
        </w:rPr>
        <w:t>2</w:t>
      </w:r>
      <w:proofErr w:type="gramEnd"/>
      <w:r w:rsidR="005B7EBB" w:rsidRPr="00AB5EE0">
        <w:rPr>
          <w:rFonts w:ascii="Calibri" w:hAnsi="Calibri" w:cs="Calibri"/>
          <w:sz w:val="22"/>
          <w:szCs w:val="22"/>
        </w:rPr>
        <w:t>.</w:t>
      </w:r>
      <w:r w:rsidRPr="00AB5EE0">
        <w:rPr>
          <w:rFonts w:ascii="Calibri" w:hAnsi="Calibri" w:cs="Calibri"/>
          <w:sz w:val="22"/>
          <w:szCs w:val="22"/>
        </w:rPr>
        <w:t xml:space="preserve"> </w:t>
      </w:r>
    </w:p>
    <w:p w:rsidR="003E51D9" w:rsidRPr="00AB5EE0" w:rsidRDefault="003E51D9" w:rsidP="00CC15BF">
      <w:pPr>
        <w:jc w:val="both"/>
        <w:rPr>
          <w:rFonts w:ascii="Calibri" w:hAnsi="Calibri" w:cs="Calibri"/>
          <w:sz w:val="22"/>
          <w:szCs w:val="22"/>
        </w:rPr>
      </w:pPr>
    </w:p>
    <w:p w:rsidR="00850D56" w:rsidRDefault="00850D56" w:rsidP="00771703">
      <w:pPr>
        <w:rPr>
          <w:rFonts w:ascii="Calibri" w:hAnsi="Calibri" w:cs="Calibri"/>
          <w:b/>
          <w:bCs/>
          <w:sz w:val="22"/>
          <w:szCs w:val="22"/>
        </w:rPr>
      </w:pPr>
    </w:p>
    <w:p w:rsidR="00553449" w:rsidRDefault="00553449" w:rsidP="00F52DB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E51D9" w:rsidRPr="000266C5" w:rsidRDefault="003E51D9" w:rsidP="00F52DB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lastRenderedPageBreak/>
        <w:t>IV.</w:t>
      </w:r>
    </w:p>
    <w:p w:rsidR="003E51D9" w:rsidRPr="000266C5" w:rsidRDefault="003E51D9" w:rsidP="00E619BC">
      <w:pPr>
        <w:tabs>
          <w:tab w:val="center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Nájemné</w:t>
      </w:r>
    </w:p>
    <w:p w:rsidR="003E51D9" w:rsidRPr="000266C5" w:rsidRDefault="003E51D9" w:rsidP="00E619BC">
      <w:pPr>
        <w:tabs>
          <w:tab w:val="center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E51D9" w:rsidRPr="000266C5" w:rsidRDefault="003E51D9" w:rsidP="00B856D1">
      <w:pPr>
        <w:numPr>
          <w:ilvl w:val="0"/>
          <w:numId w:val="18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Nájemné za pronájem nebytových prostor je stanoveno na částku </w:t>
      </w:r>
      <w:r w:rsidR="005B7EBB">
        <w:rPr>
          <w:rFonts w:ascii="Calibri" w:hAnsi="Calibri" w:cs="Calibri"/>
          <w:sz w:val="22"/>
          <w:szCs w:val="22"/>
        </w:rPr>
        <w:t xml:space="preserve">305,70 </w:t>
      </w:r>
      <w:r w:rsidRPr="000266C5">
        <w:rPr>
          <w:rFonts w:ascii="Calibri" w:hAnsi="Calibri" w:cs="Calibri"/>
          <w:sz w:val="22"/>
          <w:szCs w:val="22"/>
        </w:rPr>
        <w:t>Kč za 1 m</w:t>
      </w:r>
      <w:r w:rsidRPr="000266C5">
        <w:rPr>
          <w:rFonts w:ascii="Calibri" w:hAnsi="Calibri" w:cs="Calibri"/>
          <w:sz w:val="22"/>
          <w:szCs w:val="22"/>
          <w:vertAlign w:val="superscript"/>
        </w:rPr>
        <w:t xml:space="preserve">2 </w:t>
      </w:r>
      <w:r w:rsidRPr="000266C5">
        <w:rPr>
          <w:rFonts w:ascii="Calibri" w:hAnsi="Calibri" w:cs="Calibri"/>
          <w:sz w:val="22"/>
          <w:szCs w:val="22"/>
        </w:rPr>
        <w:t>ročně</w:t>
      </w:r>
      <w:r w:rsidR="00B55E2A">
        <w:rPr>
          <w:rFonts w:ascii="Calibri" w:hAnsi="Calibri" w:cs="Calibri"/>
          <w:sz w:val="22"/>
          <w:szCs w:val="22"/>
        </w:rPr>
        <w:t xml:space="preserve"> a je dále kráceno koeficientem 0</w:t>
      </w:r>
      <w:r w:rsidR="00C2155C">
        <w:rPr>
          <w:rFonts w:ascii="Calibri" w:hAnsi="Calibri" w:cs="Calibri"/>
          <w:sz w:val="22"/>
          <w:szCs w:val="22"/>
        </w:rPr>
        <w:t>,</w:t>
      </w:r>
      <w:r w:rsidR="00B55E2A">
        <w:rPr>
          <w:rFonts w:ascii="Calibri" w:hAnsi="Calibri" w:cs="Calibri"/>
          <w:sz w:val="22"/>
          <w:szCs w:val="22"/>
        </w:rPr>
        <w:t>2.</w:t>
      </w:r>
      <w:r w:rsidRPr="000266C5">
        <w:rPr>
          <w:rFonts w:ascii="Calibri" w:hAnsi="Calibri" w:cs="Calibri"/>
          <w:sz w:val="22"/>
          <w:szCs w:val="22"/>
        </w:rPr>
        <w:t xml:space="preserve"> </w:t>
      </w:r>
    </w:p>
    <w:p w:rsidR="003E51D9" w:rsidRPr="000266C5" w:rsidRDefault="003E51D9" w:rsidP="00B856D1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5F17A6">
      <w:pPr>
        <w:numPr>
          <w:ilvl w:val="0"/>
          <w:numId w:val="18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52010">
        <w:rPr>
          <w:rFonts w:ascii="Calibri" w:hAnsi="Calibri" w:cs="Calibri"/>
          <w:bCs/>
          <w:sz w:val="22"/>
          <w:szCs w:val="22"/>
        </w:rPr>
        <w:t xml:space="preserve">Nájemné </w:t>
      </w:r>
      <w:r w:rsidRPr="00752010">
        <w:rPr>
          <w:rFonts w:ascii="Calibri" w:hAnsi="Calibri" w:cs="Calibri"/>
          <w:sz w:val="22"/>
          <w:szCs w:val="22"/>
        </w:rPr>
        <w:t>b</w:t>
      </w:r>
      <w:r w:rsidRPr="000266C5">
        <w:rPr>
          <w:rFonts w:ascii="Calibri" w:hAnsi="Calibri" w:cs="Calibri"/>
          <w:sz w:val="22"/>
          <w:szCs w:val="22"/>
        </w:rPr>
        <w:t xml:space="preserve">ude hrazeno </w:t>
      </w:r>
      <w:r w:rsidRPr="00027543">
        <w:rPr>
          <w:rFonts w:ascii="Calibri" w:hAnsi="Calibri" w:cs="Calibri"/>
          <w:sz w:val="22"/>
          <w:szCs w:val="22"/>
        </w:rPr>
        <w:t>v</w:t>
      </w:r>
      <w:r w:rsidR="00B55E2A" w:rsidRPr="00027543">
        <w:rPr>
          <w:rFonts w:ascii="Calibri" w:hAnsi="Calibri" w:cs="Calibri"/>
          <w:sz w:val="22"/>
          <w:szCs w:val="22"/>
        </w:rPr>
        <w:t>e</w:t>
      </w:r>
      <w:r w:rsidR="00623803" w:rsidRPr="00027543">
        <w:rPr>
          <w:rFonts w:ascii="Calibri" w:hAnsi="Calibri" w:cs="Calibri"/>
          <w:sz w:val="22"/>
          <w:szCs w:val="22"/>
        </w:rPr>
        <w:t> </w:t>
      </w:r>
      <w:r w:rsidR="00B55E2A" w:rsidRPr="00027543">
        <w:rPr>
          <w:rFonts w:ascii="Calibri" w:hAnsi="Calibri" w:cs="Calibri"/>
          <w:sz w:val="22"/>
          <w:szCs w:val="22"/>
        </w:rPr>
        <w:t>čtvrtletních</w:t>
      </w:r>
      <w:r w:rsidR="00623803" w:rsidRPr="00027543">
        <w:rPr>
          <w:rFonts w:ascii="Calibri" w:hAnsi="Calibri" w:cs="Calibri"/>
          <w:sz w:val="22"/>
          <w:szCs w:val="22"/>
        </w:rPr>
        <w:t xml:space="preserve"> </w:t>
      </w:r>
      <w:r w:rsidRPr="00027543">
        <w:rPr>
          <w:rFonts w:ascii="Calibri" w:hAnsi="Calibri" w:cs="Calibri"/>
          <w:sz w:val="22"/>
          <w:szCs w:val="22"/>
        </w:rPr>
        <w:t>splátkách</w:t>
      </w:r>
      <w:r w:rsidRPr="00027543">
        <w:rPr>
          <w:rFonts w:ascii="Calibri" w:hAnsi="Calibri" w:cs="Calibri"/>
          <w:b/>
          <w:sz w:val="22"/>
          <w:szCs w:val="22"/>
        </w:rPr>
        <w:t xml:space="preserve"> </w:t>
      </w:r>
      <w:r w:rsidRPr="00752010">
        <w:rPr>
          <w:rFonts w:ascii="Calibri" w:hAnsi="Calibri" w:cs="Calibri"/>
          <w:sz w:val="22"/>
          <w:szCs w:val="22"/>
        </w:rPr>
        <w:t xml:space="preserve">ve výši </w:t>
      </w:r>
      <w:r w:rsidR="00483CC8" w:rsidRPr="00752010">
        <w:rPr>
          <w:rFonts w:ascii="Calibri" w:hAnsi="Calibri" w:cs="Calibri"/>
          <w:sz w:val="22"/>
          <w:szCs w:val="22"/>
        </w:rPr>
        <w:t>478</w:t>
      </w:r>
      <w:r w:rsidR="00623803" w:rsidRPr="00752010">
        <w:rPr>
          <w:rFonts w:ascii="Calibri" w:hAnsi="Calibri" w:cs="Calibri"/>
          <w:bCs/>
          <w:sz w:val="22"/>
          <w:szCs w:val="22"/>
        </w:rPr>
        <w:t xml:space="preserve">,00 </w:t>
      </w:r>
      <w:r w:rsidRPr="00752010">
        <w:rPr>
          <w:rFonts w:ascii="Calibri" w:hAnsi="Calibri" w:cs="Calibri"/>
          <w:bCs/>
          <w:sz w:val="22"/>
          <w:szCs w:val="22"/>
        </w:rPr>
        <w:t>Kč</w:t>
      </w:r>
      <w:r w:rsidRPr="00027543">
        <w:rPr>
          <w:rFonts w:ascii="Calibri" w:hAnsi="Calibri" w:cs="Calibri"/>
          <w:sz w:val="22"/>
          <w:szCs w:val="22"/>
        </w:rPr>
        <w:t xml:space="preserve"> </w:t>
      </w:r>
      <w:r w:rsidRPr="00027543">
        <w:rPr>
          <w:rFonts w:ascii="Calibri" w:hAnsi="Calibri" w:cs="Calibri"/>
          <w:b/>
          <w:bCs/>
          <w:sz w:val="22"/>
          <w:szCs w:val="22"/>
        </w:rPr>
        <w:t> </w:t>
      </w:r>
      <w:r w:rsidRPr="000266C5">
        <w:rPr>
          <w:rFonts w:ascii="Calibri" w:hAnsi="Calibri" w:cs="Calibri"/>
          <w:sz w:val="22"/>
          <w:szCs w:val="22"/>
        </w:rPr>
        <w:t xml:space="preserve">na účet správce budov vedený u Komerční banky, a.s., číslo účtu 6123890207/0100, VS 394602, vždy nejpozději do 20. dne </w:t>
      </w:r>
      <w:r w:rsidR="00483CC8">
        <w:rPr>
          <w:rFonts w:ascii="Calibri" w:hAnsi="Calibri" w:cs="Calibri"/>
          <w:sz w:val="22"/>
          <w:szCs w:val="22"/>
        </w:rPr>
        <w:t xml:space="preserve">posledního </w:t>
      </w:r>
      <w:r w:rsidR="00F31D9E" w:rsidRPr="000266C5">
        <w:rPr>
          <w:rFonts w:ascii="Calibri" w:hAnsi="Calibri" w:cs="Calibri"/>
          <w:sz w:val="22"/>
          <w:szCs w:val="22"/>
        </w:rPr>
        <w:t xml:space="preserve">měsíce </w:t>
      </w:r>
      <w:r w:rsidR="00483CC8">
        <w:rPr>
          <w:rFonts w:ascii="Calibri" w:hAnsi="Calibri" w:cs="Calibri"/>
          <w:sz w:val="22"/>
          <w:szCs w:val="22"/>
        </w:rPr>
        <w:t xml:space="preserve">čtvrtletí. </w:t>
      </w:r>
      <w:r w:rsidRPr="000266C5">
        <w:rPr>
          <w:rFonts w:ascii="Calibri" w:hAnsi="Calibri" w:cs="Calibri"/>
          <w:sz w:val="22"/>
          <w:szCs w:val="22"/>
        </w:rPr>
        <w:t xml:space="preserve">Nájemné bude zvyšováno o míru inflace vyjádřenou přírůstkem průměrného ročního indexu spotřebitelských cen za předchozí rok. Nájemné může být valorizováno pouze jednou ročně. O valorizaci bude nájemce informován písemně nejpozději do 31. 3. příslušného kalendářního roku. 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          </w:t>
      </w: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V.</w:t>
      </w: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Služby</w:t>
      </w:r>
    </w:p>
    <w:p w:rsidR="003E51D9" w:rsidRPr="000266C5" w:rsidRDefault="003E51D9" w:rsidP="003E0EB3">
      <w:pPr>
        <w:jc w:val="center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0B6214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Nájemce se zavazuje hradit </w:t>
      </w:r>
      <w:r w:rsidR="00483CC8" w:rsidRPr="00CE7302">
        <w:rPr>
          <w:rFonts w:ascii="Calibri" w:hAnsi="Calibri" w:cs="Calibri"/>
          <w:sz w:val="22"/>
          <w:szCs w:val="22"/>
        </w:rPr>
        <w:t xml:space="preserve">čtvrtletně </w:t>
      </w:r>
      <w:r w:rsidRPr="00CE7302">
        <w:rPr>
          <w:rFonts w:ascii="Calibri" w:hAnsi="Calibri" w:cs="Calibri"/>
          <w:bCs/>
          <w:sz w:val="22"/>
          <w:szCs w:val="22"/>
        </w:rPr>
        <w:t>služby</w:t>
      </w:r>
      <w:r w:rsidRPr="00CE7302">
        <w:rPr>
          <w:rFonts w:ascii="Calibri" w:hAnsi="Calibri" w:cs="Calibri"/>
          <w:sz w:val="22"/>
          <w:szCs w:val="22"/>
        </w:rPr>
        <w:t xml:space="preserve"> ve výši </w:t>
      </w:r>
      <w:r w:rsidR="00CE7302" w:rsidRPr="00CE7302">
        <w:rPr>
          <w:rFonts w:ascii="Calibri" w:hAnsi="Calibri" w:cs="Calibri"/>
          <w:sz w:val="22"/>
          <w:szCs w:val="22"/>
        </w:rPr>
        <w:t xml:space="preserve">3 963,00 </w:t>
      </w:r>
      <w:r w:rsidRPr="00CE7302">
        <w:rPr>
          <w:rFonts w:ascii="Calibri" w:hAnsi="Calibri" w:cs="Calibri"/>
          <w:b/>
          <w:bCs/>
          <w:sz w:val="22"/>
          <w:szCs w:val="22"/>
        </w:rPr>
        <w:t>Kč</w:t>
      </w:r>
      <w:r w:rsidRPr="00CE7302">
        <w:rPr>
          <w:rFonts w:ascii="Calibri" w:hAnsi="Calibri" w:cs="Calibri"/>
          <w:sz w:val="22"/>
          <w:szCs w:val="22"/>
        </w:rPr>
        <w:t xml:space="preserve">  </w:t>
      </w:r>
      <w:r w:rsidRPr="000266C5">
        <w:rPr>
          <w:rFonts w:ascii="Calibri" w:hAnsi="Calibri" w:cs="Calibri"/>
          <w:sz w:val="22"/>
          <w:szCs w:val="22"/>
        </w:rPr>
        <w:t xml:space="preserve">na účet správce budov vedený u Komerční banky, a.s., číslo účtu 6123890207/0100, VS 394602, vždy nejpozději do 20. dne </w:t>
      </w:r>
      <w:r w:rsidR="00483CC8">
        <w:rPr>
          <w:rFonts w:ascii="Calibri" w:hAnsi="Calibri" w:cs="Calibri"/>
          <w:sz w:val="22"/>
          <w:szCs w:val="22"/>
        </w:rPr>
        <w:t xml:space="preserve">posledního </w:t>
      </w:r>
      <w:r w:rsidR="00F31D9E" w:rsidRPr="000266C5">
        <w:rPr>
          <w:rFonts w:ascii="Calibri" w:hAnsi="Calibri" w:cs="Calibri"/>
          <w:sz w:val="22"/>
          <w:szCs w:val="22"/>
        </w:rPr>
        <w:t>měsíce</w:t>
      </w:r>
      <w:r w:rsidR="00483CC8">
        <w:rPr>
          <w:rFonts w:ascii="Calibri" w:hAnsi="Calibri" w:cs="Calibri"/>
          <w:sz w:val="22"/>
          <w:szCs w:val="22"/>
        </w:rPr>
        <w:t xml:space="preserve"> čtvrtletí.</w:t>
      </w:r>
      <w:r w:rsidR="00F31D9E" w:rsidRPr="000266C5">
        <w:rPr>
          <w:rFonts w:ascii="Calibri" w:hAnsi="Calibri" w:cs="Calibri"/>
          <w:sz w:val="22"/>
          <w:szCs w:val="22"/>
        </w:rPr>
        <w:t xml:space="preserve"> </w:t>
      </w:r>
      <w:r w:rsidRPr="000266C5">
        <w:rPr>
          <w:rFonts w:ascii="Calibri" w:hAnsi="Calibri" w:cs="Calibri"/>
          <w:sz w:val="22"/>
          <w:szCs w:val="22"/>
        </w:rPr>
        <w:t xml:space="preserve">    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0B6214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Zálohy se týkají následujících služeb:</w:t>
      </w:r>
    </w:p>
    <w:p w:rsidR="003E51D9" w:rsidRPr="000266C5" w:rsidRDefault="003E51D9" w:rsidP="000B6214">
      <w:pPr>
        <w:numPr>
          <w:ilvl w:val="0"/>
          <w:numId w:val="2"/>
        </w:numPr>
        <w:tabs>
          <w:tab w:val="clear" w:pos="720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teplo (v pronajatých prostorách a poměrná část nákladů na teplo společných prostor)</w:t>
      </w:r>
    </w:p>
    <w:p w:rsidR="003E51D9" w:rsidRPr="000266C5" w:rsidRDefault="003E51D9" w:rsidP="000B6214">
      <w:pPr>
        <w:numPr>
          <w:ilvl w:val="0"/>
          <w:numId w:val="2"/>
        </w:numPr>
        <w:tabs>
          <w:tab w:val="clear" w:pos="720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elektřina (v pronajatých prostorách</w:t>
      </w:r>
      <w:r w:rsidR="009E4B8A" w:rsidRPr="000266C5">
        <w:rPr>
          <w:rFonts w:ascii="Calibri" w:hAnsi="Calibri" w:cs="Calibri"/>
          <w:sz w:val="22"/>
          <w:szCs w:val="22"/>
        </w:rPr>
        <w:t xml:space="preserve"> a poměrná část nákladů na elektřinu společných prostor)</w:t>
      </w:r>
      <w:r w:rsidRPr="000266C5">
        <w:rPr>
          <w:rFonts w:ascii="Calibri" w:hAnsi="Calibri" w:cs="Calibri"/>
          <w:sz w:val="22"/>
          <w:szCs w:val="22"/>
        </w:rPr>
        <w:t xml:space="preserve"> </w:t>
      </w:r>
    </w:p>
    <w:p w:rsidR="003E51D9" w:rsidRPr="000266C5" w:rsidRDefault="003E51D9" w:rsidP="00B82918">
      <w:pPr>
        <w:numPr>
          <w:ilvl w:val="0"/>
          <w:numId w:val="2"/>
        </w:numPr>
        <w:tabs>
          <w:tab w:val="clear" w:pos="720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vodné, stočné (v pronajatých prostorách a poměrná část nákladů ve společných prostorách)</w:t>
      </w:r>
    </w:p>
    <w:p w:rsidR="003E51D9" w:rsidRPr="000266C5" w:rsidRDefault="003E51D9" w:rsidP="000B6214">
      <w:pPr>
        <w:numPr>
          <w:ilvl w:val="0"/>
          <w:numId w:val="2"/>
        </w:numPr>
        <w:tabs>
          <w:tab w:val="clear" w:pos="720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úklid (v pronajatých prostorách</w:t>
      </w:r>
      <w:r w:rsidR="009E4B8A" w:rsidRPr="000266C5">
        <w:rPr>
          <w:rFonts w:ascii="Calibri" w:hAnsi="Calibri" w:cs="Calibri"/>
          <w:sz w:val="22"/>
          <w:szCs w:val="22"/>
        </w:rPr>
        <w:t xml:space="preserve"> a poměrná část nákladů na úklid společných prostor</w:t>
      </w:r>
      <w:r w:rsidRPr="000266C5">
        <w:rPr>
          <w:rFonts w:ascii="Calibri" w:hAnsi="Calibri" w:cs="Calibri"/>
          <w:sz w:val="22"/>
          <w:szCs w:val="22"/>
        </w:rPr>
        <w:t>)</w:t>
      </w:r>
    </w:p>
    <w:p w:rsidR="003E51D9" w:rsidRPr="000266C5" w:rsidRDefault="003E51D9" w:rsidP="000B6214">
      <w:pPr>
        <w:numPr>
          <w:ilvl w:val="0"/>
          <w:numId w:val="2"/>
        </w:numPr>
        <w:tabs>
          <w:tab w:val="clear" w:pos="720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správní režie</w:t>
      </w:r>
    </w:p>
    <w:p w:rsidR="003E51D9" w:rsidRPr="000266C5" w:rsidRDefault="003E51D9" w:rsidP="000B6214">
      <w:pPr>
        <w:numPr>
          <w:ilvl w:val="0"/>
          <w:numId w:val="2"/>
        </w:numPr>
        <w:tabs>
          <w:tab w:val="clear" w:pos="720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likvidace odpadu - komunální                                                                                                         </w:t>
      </w:r>
    </w:p>
    <w:p w:rsidR="003E51D9" w:rsidRPr="000266C5" w:rsidRDefault="003E51D9" w:rsidP="000B6214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Likvidaci odpadu – nebezpečný (infekční) si zajišťuje nájemce samostatně.</w:t>
      </w:r>
    </w:p>
    <w:p w:rsidR="003E51D9" w:rsidRPr="000266C5" w:rsidRDefault="003E51D9" w:rsidP="000B6214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AD4620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Výše jednotlivých záloh je vypočtena v příloze č. 1, která je nedílnou součástí této smlouvy. Roční vyrovnání záloh bude provedeno do 31. 3. za uplynulý kalendářní rok.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  <w:bookmarkStart w:id="0" w:name="_GoBack"/>
      <w:bookmarkEnd w:id="0"/>
    </w:p>
    <w:p w:rsidR="003E51D9" w:rsidRPr="000266C5" w:rsidRDefault="003E51D9" w:rsidP="00E619B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E51D9" w:rsidRPr="000266C5" w:rsidRDefault="003E51D9" w:rsidP="00E619B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VI.</w:t>
      </w:r>
    </w:p>
    <w:p w:rsidR="003E51D9" w:rsidRPr="000266C5" w:rsidRDefault="003E51D9" w:rsidP="00E619B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Předání a převzetí pronajatých prostor</w:t>
      </w:r>
    </w:p>
    <w:p w:rsidR="003E51D9" w:rsidRPr="000266C5" w:rsidRDefault="003E51D9" w:rsidP="00E619B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E51D9" w:rsidRPr="00027543" w:rsidRDefault="003E51D9" w:rsidP="00E619BC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Smluvní strany prohlašují, že pronajímatel předá nájemci pronajaté prostory a to dne </w:t>
      </w:r>
      <w:proofErr w:type="gramStart"/>
      <w:r w:rsidRPr="00AB5EE0">
        <w:rPr>
          <w:rFonts w:ascii="Calibri" w:hAnsi="Calibri" w:cs="Calibri"/>
          <w:sz w:val="22"/>
          <w:szCs w:val="22"/>
        </w:rPr>
        <w:t>0</w:t>
      </w:r>
      <w:r w:rsidR="000266C5" w:rsidRPr="00AB5EE0">
        <w:rPr>
          <w:rFonts w:ascii="Calibri" w:hAnsi="Calibri" w:cs="Calibri"/>
          <w:sz w:val="22"/>
          <w:szCs w:val="22"/>
        </w:rPr>
        <w:t>1</w:t>
      </w:r>
      <w:r w:rsidRPr="00AB5EE0">
        <w:rPr>
          <w:rFonts w:ascii="Calibri" w:hAnsi="Calibri" w:cs="Calibri"/>
          <w:sz w:val="22"/>
          <w:szCs w:val="22"/>
        </w:rPr>
        <w:t>.0</w:t>
      </w:r>
      <w:r w:rsidR="00AB5EE0" w:rsidRPr="00AB5EE0">
        <w:rPr>
          <w:rFonts w:ascii="Calibri" w:hAnsi="Calibri" w:cs="Calibri"/>
          <w:sz w:val="22"/>
          <w:szCs w:val="22"/>
        </w:rPr>
        <w:t>7</w:t>
      </w:r>
      <w:r w:rsidRPr="00AB5EE0">
        <w:rPr>
          <w:rFonts w:ascii="Calibri" w:hAnsi="Calibri" w:cs="Calibri"/>
          <w:sz w:val="22"/>
          <w:szCs w:val="22"/>
        </w:rPr>
        <w:t>.202</w:t>
      </w:r>
      <w:r w:rsidR="00B55E2A" w:rsidRPr="00AB5EE0">
        <w:rPr>
          <w:rFonts w:ascii="Calibri" w:hAnsi="Calibri" w:cs="Calibri"/>
          <w:sz w:val="22"/>
          <w:szCs w:val="22"/>
        </w:rPr>
        <w:t>2</w:t>
      </w:r>
      <w:proofErr w:type="gramEnd"/>
      <w:r w:rsidRPr="00AB5EE0">
        <w:rPr>
          <w:rFonts w:ascii="Calibri" w:hAnsi="Calibri" w:cs="Calibri"/>
          <w:sz w:val="22"/>
          <w:szCs w:val="22"/>
        </w:rPr>
        <w:t>.</w:t>
      </w:r>
    </w:p>
    <w:p w:rsidR="003E51D9" w:rsidRPr="000266C5" w:rsidRDefault="003E51D9" w:rsidP="00E619BC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9E35EF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O předání a převzetí předmětu nájmu bude mezi smluvními stranami sepsán protokol, jehož obsahem bude zejména popis stavu pronajatých prostor a stavy jednotlivých měřidel na dodávku služeb.</w:t>
      </w:r>
    </w:p>
    <w:p w:rsidR="003E51D9" w:rsidRPr="000266C5" w:rsidRDefault="003E51D9" w:rsidP="004B27B2">
      <w:pPr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Nájemce prohlašuje, že si pronajaté prostory prohlédl, seznámil se s jejich stavem, dispozicí i vybavením a prohlašuje, že ve smyslu </w:t>
      </w:r>
      <w:proofErr w:type="spellStart"/>
      <w:r w:rsidRPr="000266C5">
        <w:rPr>
          <w:rFonts w:ascii="Calibri" w:hAnsi="Calibri" w:cs="Calibri"/>
          <w:sz w:val="22"/>
          <w:szCs w:val="22"/>
        </w:rPr>
        <w:t>ust</w:t>
      </w:r>
      <w:proofErr w:type="spellEnd"/>
      <w:r w:rsidRPr="000266C5">
        <w:rPr>
          <w:rFonts w:ascii="Calibri" w:hAnsi="Calibri" w:cs="Calibri"/>
          <w:sz w:val="22"/>
          <w:szCs w:val="22"/>
        </w:rPr>
        <w:t>. § 2206 NOZ se pronajaté prostory ke dni uzavření této smlouvy nacházejí ve stavu umožňujícímu jeho řádné užívání.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349C2" w:rsidRPr="000266C5" w:rsidRDefault="002349C2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349C2" w:rsidRPr="000266C5" w:rsidRDefault="002349C2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349C2" w:rsidRDefault="002349C2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83CC8" w:rsidRPr="000266C5" w:rsidRDefault="00483CC8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349C2" w:rsidRPr="000266C5" w:rsidRDefault="002349C2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lastRenderedPageBreak/>
        <w:t>VII.</w:t>
      </w: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Práva a povinnosti nájemce a pronajímatele</w:t>
      </w: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E51D9" w:rsidRPr="000266C5" w:rsidRDefault="003E51D9" w:rsidP="00B37C0F">
      <w:pPr>
        <w:pStyle w:val="Nadpis1"/>
        <w:ind w:left="284"/>
        <w:jc w:val="both"/>
        <w:rPr>
          <w:rFonts w:ascii="Calibri" w:hAnsi="Calibri" w:cs="Calibri"/>
          <w:b w:val="0"/>
          <w:bCs w:val="0"/>
        </w:rPr>
      </w:pPr>
      <w:r w:rsidRPr="000266C5">
        <w:rPr>
          <w:rFonts w:ascii="Calibri" w:hAnsi="Calibri" w:cs="Calibri"/>
          <w:b w:val="0"/>
          <w:bCs w:val="0"/>
        </w:rPr>
        <w:t>Nájemce bude pronajaté prostory využívat pouze pro činnost uvedenou v čl. II.</w:t>
      </w:r>
    </w:p>
    <w:p w:rsidR="003E51D9" w:rsidRPr="000266C5" w:rsidRDefault="003E51D9" w:rsidP="003E0EB3">
      <w:pPr>
        <w:rPr>
          <w:rFonts w:ascii="Calibri" w:hAnsi="Calibri" w:cs="Calibri"/>
        </w:rPr>
      </w:pPr>
    </w:p>
    <w:p w:rsidR="003E51D9" w:rsidRPr="000266C5" w:rsidRDefault="003E51D9" w:rsidP="00261413">
      <w:pPr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Nájemce odpovídá za škody způsobené na pronajatých prostorách. Veškeré škody způsobené vlastním zaviněním odstraní nájemce na svůj náklad.</w:t>
      </w:r>
    </w:p>
    <w:p w:rsidR="003E51D9" w:rsidRPr="000266C5" w:rsidRDefault="003E51D9" w:rsidP="00E619BC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261413">
      <w:pPr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Nájemce se zavazuje, že bude dodržovat právní předpisy o požární ochraně a předpisy upravující bezpečnost a ochranu zdraví při práci.</w:t>
      </w:r>
    </w:p>
    <w:p w:rsidR="003E51D9" w:rsidRPr="000266C5" w:rsidRDefault="003E51D9" w:rsidP="003E0EB3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261413">
      <w:pPr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V případě výskytu mimořádných událostí je nájemce povinen o nich bezodkladně informovat pronajímatele.</w:t>
      </w:r>
    </w:p>
    <w:p w:rsidR="003E51D9" w:rsidRPr="000266C5" w:rsidRDefault="003E51D9" w:rsidP="003E0EB3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261413">
      <w:pPr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Nájemce je povinen umožnit pronajímateli na žádost přístup do pronajatých prostor za účelem kontroly jejich užívání.</w:t>
      </w:r>
    </w:p>
    <w:p w:rsidR="003E51D9" w:rsidRPr="000266C5" w:rsidRDefault="003E51D9" w:rsidP="003E0EB3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261413">
      <w:pPr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Nájemce řádně zabezpečí vstup do pronajatých prostor proti neoprávněnému vniknutí.</w:t>
      </w:r>
    </w:p>
    <w:p w:rsidR="003E51D9" w:rsidRPr="000266C5" w:rsidRDefault="003E51D9" w:rsidP="003E0EB3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261413">
      <w:pPr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Nájemce není oprávněn provádět žádné další stavební úpravy bez předchozího písemného souhlasu pronajímatele. Pokud se souhlasem pronajímatele uskuteční nájemce úpravy potřebné k provozu, tyto pořídí vlastním nákladem. Po skončení nájemní smlouvy nevznikne z tohoto důvodu nájemci nárok na úhradu takto vynaložených nákladů ze strany pronajímatele.</w:t>
      </w:r>
    </w:p>
    <w:p w:rsidR="003E51D9" w:rsidRPr="000266C5" w:rsidRDefault="003E51D9" w:rsidP="003E0EB3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261413">
      <w:pPr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Nájemce je oprávněn zřídit v pronajatých nebytových prostorách telefonní stanici. Pronajímatel dává souhlas nájemci ke zřízení telefonní stanice. Nájemce hradí veškeré náklady spojené se zřízením a užíváním telefonní stanice.  </w:t>
      </w:r>
    </w:p>
    <w:p w:rsidR="003E51D9" w:rsidRPr="000266C5" w:rsidRDefault="003E51D9" w:rsidP="003E0EB3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261413">
      <w:pPr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Nájemce je oprávněn vhodným způsobem propagovat firmu a činnost nájemce. Pronajímatel tímto uděluje nájemci souhlas, aby nájemce umístil na budově polikliniky reklamní tabuli propagující firmu a předmět činnosti nájemce.</w:t>
      </w:r>
    </w:p>
    <w:p w:rsidR="003E51D9" w:rsidRPr="000266C5" w:rsidRDefault="003E51D9" w:rsidP="003E0EB3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261413">
      <w:pPr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V případě větších oprav prováděných mimo údržbu pronajímatelem, kdy oprava probíhá více než jeden den a znemožňuje užívat předmět nájmu, má nájemce na základě písemné žádosti právo na slevu z nájemného ve výši 1/30 měsíčního nájemného za každý den, kdy nemůže pronajaté prostory používat. Za dobu, kdy z důvodu oprav není možné užívat předmět nájmu, nemá nájemce nárok na úhradu ušlého zisku.</w:t>
      </w:r>
    </w:p>
    <w:p w:rsidR="003E51D9" w:rsidRPr="000266C5" w:rsidRDefault="003E51D9" w:rsidP="003E0EB3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261413">
      <w:pPr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Nájemce se zavazuje, že si bude sám zajišťovat revize přenosných spotřebičů v pronajatých nebytových prostorách.</w:t>
      </w:r>
    </w:p>
    <w:p w:rsidR="003E51D9" w:rsidRPr="000266C5" w:rsidRDefault="003E51D9" w:rsidP="00AD4620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EA588B">
      <w:pPr>
        <w:tabs>
          <w:tab w:val="num" w:pos="765"/>
        </w:tabs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</w:p>
    <w:p w:rsidR="003E51D9" w:rsidRPr="000266C5" w:rsidRDefault="003E51D9" w:rsidP="003E0EB3">
      <w:pPr>
        <w:tabs>
          <w:tab w:val="num" w:pos="76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VIII.</w:t>
      </w:r>
    </w:p>
    <w:p w:rsidR="003E51D9" w:rsidRPr="000266C5" w:rsidRDefault="003E51D9" w:rsidP="003E0EB3">
      <w:pPr>
        <w:tabs>
          <w:tab w:val="num" w:pos="765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E51D9" w:rsidRPr="000266C5" w:rsidRDefault="003E51D9" w:rsidP="003E0EB3">
      <w:pPr>
        <w:numPr>
          <w:ilvl w:val="0"/>
          <w:numId w:val="1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Zdravotní zařízení poliklinika města Trhové Sviny zajišťuje ve svých budovách jedenkrát ročně revize hasicích přístrojů.</w:t>
      </w:r>
    </w:p>
    <w:p w:rsidR="003E51D9" w:rsidRPr="000266C5" w:rsidRDefault="003E51D9" w:rsidP="00E619BC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3E0EB3">
      <w:pPr>
        <w:numPr>
          <w:ilvl w:val="0"/>
          <w:numId w:val="1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V budovách Zdravotního zařízení poliklinika města Trhové Sviny nejsou umístěné plynové bomby. </w:t>
      </w: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349C2" w:rsidRPr="000266C5" w:rsidRDefault="002349C2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349C2" w:rsidRPr="000266C5" w:rsidRDefault="002349C2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349C2" w:rsidRPr="000266C5" w:rsidRDefault="002349C2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E51D9" w:rsidRPr="000266C5" w:rsidRDefault="003E51D9" w:rsidP="003E0EB3">
      <w:pPr>
        <w:jc w:val="center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lastRenderedPageBreak/>
        <w:t>IX.</w:t>
      </w: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Skončení nájmu</w:t>
      </w: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E51D9" w:rsidRPr="000266C5" w:rsidRDefault="003E51D9" w:rsidP="003E0EB3">
      <w:pPr>
        <w:numPr>
          <w:ilvl w:val="0"/>
          <w:numId w:val="9"/>
        </w:numPr>
        <w:tabs>
          <w:tab w:val="clear" w:pos="765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Smlouvu lze ukončit dohodou smluvních stran nebo písemnou výpovědí, kdy výpovědní doba činí šest měsíců a počíná běžet prvním dnem měsíce následujícího po doručení výpovědi druhé smluvní straně. Obě smluvní strany mají na výpověď smluvního vztahu rovné právo.</w:t>
      </w:r>
    </w:p>
    <w:p w:rsidR="003E51D9" w:rsidRPr="000266C5" w:rsidRDefault="003E51D9" w:rsidP="00A464C7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3E0EB3">
      <w:pPr>
        <w:numPr>
          <w:ilvl w:val="0"/>
          <w:numId w:val="9"/>
        </w:numPr>
        <w:tabs>
          <w:tab w:val="clear" w:pos="765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Smluvní strany se dohodly na tom, že trvání této smlouvy je podmíněno trváním Smlouvy o poskytování zdravotních služeb. V případě, že dojde ke skončení Smlouvy o poskytování zdravotních služeb, smluvní strany si dohodly, že ke dni, kdy bude takovéto skončení účinné, dojde také ke skončení této smlouvy, a to bez dalšího.</w:t>
      </w:r>
    </w:p>
    <w:p w:rsidR="003E51D9" w:rsidRPr="000266C5" w:rsidRDefault="003E51D9" w:rsidP="003E0EB3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3E0EB3">
      <w:pPr>
        <w:numPr>
          <w:ilvl w:val="0"/>
          <w:numId w:val="9"/>
        </w:numPr>
        <w:tabs>
          <w:tab w:val="clear" w:pos="765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Právo na odstoupení od smlouvy se přiznává smluvním stranám také v případě, že nájemce je v prodlení s úhradou nájemného delším než tři měsíce, tedy pronajímatel je oprávněn od této smlouvy odstoupit s okamžitou platností. Odstoupit od této smlouvy může s okamžitou platností i nájemce, pokud pronajímatel nezajišťuje plnění, ke kterému se zavázal, v plném rozsahu této smlouvy déle než jeden měsíc, nebo opakovaně porušuje podmínky této smlouvy o zajištění zdravotních služeb způsobem, při kterém vzniká nájemci škoda.</w:t>
      </w:r>
    </w:p>
    <w:p w:rsidR="003E51D9" w:rsidRPr="000266C5" w:rsidRDefault="003E51D9" w:rsidP="003E0EB3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3E0EB3">
      <w:pPr>
        <w:numPr>
          <w:ilvl w:val="0"/>
          <w:numId w:val="9"/>
        </w:numPr>
        <w:tabs>
          <w:tab w:val="clear" w:pos="765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Tato smlouva zaniká také zánikem smluvní strany bez právního nástupnictví. </w:t>
      </w:r>
    </w:p>
    <w:p w:rsidR="003E51D9" w:rsidRPr="000266C5" w:rsidRDefault="003E51D9" w:rsidP="000B6214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3E0EB3">
      <w:pPr>
        <w:numPr>
          <w:ilvl w:val="0"/>
          <w:numId w:val="9"/>
        </w:numPr>
        <w:tabs>
          <w:tab w:val="clear" w:pos="765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V případě, že zaniklá smluvní strana má právního nástupce, je právní nástupce vázán smluvními ujednáními této smlouvy v plném jejím rozsahu bez dalšího.</w:t>
      </w:r>
    </w:p>
    <w:p w:rsidR="003E51D9" w:rsidRPr="000266C5" w:rsidRDefault="003E51D9" w:rsidP="003E0EB3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  </w:t>
      </w:r>
    </w:p>
    <w:p w:rsidR="003E51D9" w:rsidRPr="000266C5" w:rsidRDefault="003E51D9" w:rsidP="003E0EB3">
      <w:pPr>
        <w:numPr>
          <w:ilvl w:val="0"/>
          <w:numId w:val="9"/>
        </w:numPr>
        <w:tabs>
          <w:tab w:val="clear" w:pos="765"/>
        </w:tabs>
        <w:ind w:left="284" w:hanging="284"/>
        <w:jc w:val="both"/>
        <w:rPr>
          <w:rFonts w:ascii="Calibri" w:hAnsi="Calibri" w:cs="Calibri"/>
        </w:rPr>
      </w:pPr>
      <w:r w:rsidRPr="000266C5">
        <w:rPr>
          <w:rFonts w:ascii="Calibri" w:hAnsi="Calibri" w:cs="Calibri"/>
          <w:sz w:val="22"/>
          <w:szCs w:val="22"/>
        </w:rPr>
        <w:t>V případě, že nájemce bude užívat předmět nájmu v rozporu se smlouvou a nájemce od takového způsobu užívání neupustí ani do 1 měsíce po doručení písemné upomínky nájemci s upozorněním na tento stav, či nastane skutečnost uvedená v § 2309 občanského zákoníku, může být smlouva vypovězena v tříměsíční výpovědní době.</w:t>
      </w:r>
    </w:p>
    <w:p w:rsidR="003E51D9" w:rsidRPr="000266C5" w:rsidRDefault="003E51D9" w:rsidP="003E0EB3">
      <w:pPr>
        <w:ind w:left="284"/>
        <w:jc w:val="both"/>
        <w:rPr>
          <w:rFonts w:ascii="Calibri" w:hAnsi="Calibri" w:cs="Calibri"/>
        </w:rPr>
      </w:pPr>
      <w:r w:rsidRPr="000266C5">
        <w:rPr>
          <w:rFonts w:ascii="Calibri" w:hAnsi="Calibri" w:cs="Calibri"/>
          <w:sz w:val="22"/>
          <w:szCs w:val="22"/>
        </w:rPr>
        <w:t xml:space="preserve">        </w:t>
      </w:r>
    </w:p>
    <w:p w:rsidR="003E51D9" w:rsidRPr="000266C5" w:rsidRDefault="003E51D9" w:rsidP="003E0EB3">
      <w:pPr>
        <w:numPr>
          <w:ilvl w:val="0"/>
          <w:numId w:val="9"/>
        </w:numPr>
        <w:tabs>
          <w:tab w:val="clear" w:pos="765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Skončení nájmu v ostatních případech smlouvou neupravených se řídí zákonem č. 89/2012 Sb., občanský zákoník, ve znění pozdějších předpisů.</w:t>
      </w:r>
    </w:p>
    <w:p w:rsidR="003E51D9" w:rsidRPr="000266C5" w:rsidRDefault="003E51D9" w:rsidP="003E0EB3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 </w:t>
      </w:r>
    </w:p>
    <w:p w:rsidR="003E51D9" w:rsidRPr="000266C5" w:rsidRDefault="003E51D9" w:rsidP="003E0EB3">
      <w:pPr>
        <w:numPr>
          <w:ilvl w:val="0"/>
          <w:numId w:val="9"/>
        </w:numPr>
        <w:tabs>
          <w:tab w:val="clear" w:pos="765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Doručuje se na adresu uvedenou v této smlouvě, pokud nájemce písemně neoznámí změnu doručovací adresy. Není-li v průběhu doručování písemností nájemce zastižen, uloží se písemnost na poště a adresát se vhodným způsobem vyzve, aby si písemnost vyzvedl. Písemnost se považuje za doručenou desátým dnem od uložení písemnosti, i když se adresát o uložení nedozvěděl.</w:t>
      </w:r>
    </w:p>
    <w:p w:rsidR="003E51D9" w:rsidRPr="000266C5" w:rsidRDefault="003E51D9" w:rsidP="003E0EB3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3E0EB3">
      <w:pPr>
        <w:numPr>
          <w:ilvl w:val="0"/>
          <w:numId w:val="9"/>
        </w:numPr>
        <w:tabs>
          <w:tab w:val="clear" w:pos="765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Pronajímatel a nájemce se výslovně dohodli, že </w:t>
      </w:r>
      <w:proofErr w:type="spellStart"/>
      <w:r w:rsidRPr="000266C5">
        <w:rPr>
          <w:rFonts w:ascii="Calibri" w:hAnsi="Calibri" w:cs="Calibri"/>
          <w:sz w:val="22"/>
          <w:szCs w:val="22"/>
        </w:rPr>
        <w:t>ust</w:t>
      </w:r>
      <w:proofErr w:type="spellEnd"/>
      <w:r w:rsidRPr="000266C5">
        <w:rPr>
          <w:rFonts w:ascii="Calibri" w:hAnsi="Calibri" w:cs="Calibri"/>
          <w:sz w:val="22"/>
          <w:szCs w:val="22"/>
        </w:rPr>
        <w:t xml:space="preserve">. § 2223 občanského zákoníku se nepoužije, tzn. strana, která nájem vypoví, nemá povinnost poskytnout druhé smluvní straně odstupné.            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</w:t>
      </w:r>
    </w:p>
    <w:p w:rsidR="003E51D9" w:rsidRPr="000266C5" w:rsidRDefault="003E51D9" w:rsidP="004865C4">
      <w:pPr>
        <w:rPr>
          <w:rFonts w:ascii="Calibri" w:hAnsi="Calibri" w:cs="Calibri"/>
          <w:b/>
          <w:bCs/>
          <w:sz w:val="22"/>
          <w:szCs w:val="22"/>
        </w:rPr>
      </w:pPr>
    </w:p>
    <w:p w:rsidR="003E51D9" w:rsidRPr="000266C5" w:rsidRDefault="003E51D9" w:rsidP="009E35EF">
      <w:pPr>
        <w:rPr>
          <w:rFonts w:ascii="Calibri" w:hAnsi="Calibri" w:cs="Calibri"/>
          <w:b/>
          <w:bCs/>
          <w:sz w:val="22"/>
          <w:szCs w:val="22"/>
        </w:rPr>
      </w:pPr>
    </w:p>
    <w:p w:rsidR="003E51D9" w:rsidRPr="000266C5" w:rsidRDefault="003E51D9" w:rsidP="007843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X.</w:t>
      </w: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:rsidR="003E51D9" w:rsidRPr="000266C5" w:rsidRDefault="003E51D9" w:rsidP="003E0EB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E51D9" w:rsidRPr="0097218E" w:rsidRDefault="003E51D9" w:rsidP="003E0EB3">
      <w:pPr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7218E">
        <w:rPr>
          <w:rFonts w:ascii="Calibri" w:hAnsi="Calibri" w:cs="Calibri"/>
          <w:sz w:val="22"/>
          <w:szCs w:val="22"/>
        </w:rPr>
        <w:t xml:space="preserve">Obě smluvní strany se zavazují poskytnout si v zájmu zabezpečení plynulého </w:t>
      </w:r>
      <w:r w:rsidR="00027543" w:rsidRPr="0097218E">
        <w:rPr>
          <w:rFonts w:ascii="Calibri" w:hAnsi="Calibri" w:cs="Calibri"/>
          <w:sz w:val="22"/>
          <w:szCs w:val="22"/>
        </w:rPr>
        <w:t xml:space="preserve">provozu </w:t>
      </w:r>
      <w:r w:rsidR="00B55E2A" w:rsidRPr="0097218E">
        <w:rPr>
          <w:rFonts w:ascii="Calibri" w:hAnsi="Calibri" w:cs="Calibri"/>
          <w:sz w:val="22"/>
          <w:szCs w:val="22"/>
        </w:rPr>
        <w:t>ordinace</w:t>
      </w:r>
      <w:r w:rsidRPr="0097218E">
        <w:rPr>
          <w:rFonts w:ascii="Calibri" w:hAnsi="Calibri" w:cs="Calibri"/>
          <w:sz w:val="22"/>
          <w:szCs w:val="22"/>
        </w:rPr>
        <w:t xml:space="preserve"> ambulantní </w:t>
      </w:r>
      <w:r w:rsidR="00BA7753" w:rsidRPr="0097218E">
        <w:rPr>
          <w:rFonts w:ascii="Calibri" w:hAnsi="Calibri" w:cs="Calibri"/>
          <w:sz w:val="22"/>
          <w:szCs w:val="22"/>
        </w:rPr>
        <w:t>or</w:t>
      </w:r>
      <w:r w:rsidR="00B55E2A" w:rsidRPr="0097218E">
        <w:rPr>
          <w:rFonts w:ascii="Calibri" w:hAnsi="Calibri" w:cs="Calibri"/>
          <w:sz w:val="22"/>
          <w:szCs w:val="22"/>
        </w:rPr>
        <w:t xml:space="preserve">topedie </w:t>
      </w:r>
      <w:r w:rsidRPr="0097218E">
        <w:rPr>
          <w:rFonts w:ascii="Calibri" w:hAnsi="Calibri" w:cs="Calibri"/>
          <w:sz w:val="22"/>
          <w:szCs w:val="22"/>
        </w:rPr>
        <w:t>pro pacienty ve městě a spádové oblasti vzájemnou součinnost</w:t>
      </w:r>
      <w:r w:rsidR="00BA7753" w:rsidRPr="0097218E">
        <w:rPr>
          <w:rFonts w:ascii="Calibri" w:hAnsi="Calibri" w:cs="Calibri"/>
          <w:sz w:val="22"/>
          <w:szCs w:val="22"/>
        </w:rPr>
        <w:t xml:space="preserve"> </w:t>
      </w:r>
      <w:r w:rsidRPr="0097218E">
        <w:rPr>
          <w:rFonts w:ascii="Calibri" w:hAnsi="Calibri" w:cs="Calibri"/>
          <w:sz w:val="22"/>
          <w:szCs w:val="22"/>
        </w:rPr>
        <w:t xml:space="preserve">tak, aby bylo možné co nejdříve </w:t>
      </w:r>
      <w:r w:rsidR="00027543" w:rsidRPr="0097218E">
        <w:rPr>
          <w:rFonts w:ascii="Calibri" w:hAnsi="Calibri" w:cs="Calibri"/>
          <w:sz w:val="22"/>
          <w:szCs w:val="22"/>
        </w:rPr>
        <w:t xml:space="preserve">zajistit </w:t>
      </w:r>
      <w:r w:rsidRPr="0097218E">
        <w:rPr>
          <w:rFonts w:ascii="Calibri" w:hAnsi="Calibri" w:cs="Calibri"/>
          <w:sz w:val="22"/>
          <w:szCs w:val="22"/>
        </w:rPr>
        <w:t>provoz ordinace v potřebném rozsahu.</w:t>
      </w:r>
    </w:p>
    <w:p w:rsidR="003E51D9" w:rsidRPr="0097218E" w:rsidRDefault="003E51D9" w:rsidP="003E0EB3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3E0EB3">
      <w:pPr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7218E">
        <w:rPr>
          <w:rFonts w:ascii="Calibri" w:hAnsi="Calibri" w:cs="Calibri"/>
          <w:sz w:val="22"/>
          <w:szCs w:val="22"/>
        </w:rPr>
        <w:t xml:space="preserve">Smluvní strany se vzájemně dohodly, že tato smlouva může být měněna pouze písemnými dodatky </w:t>
      </w:r>
      <w:r w:rsidRPr="000266C5">
        <w:rPr>
          <w:rFonts w:ascii="Calibri" w:hAnsi="Calibri" w:cs="Calibri"/>
          <w:sz w:val="22"/>
          <w:szCs w:val="22"/>
        </w:rPr>
        <w:t>schválenými oběma stranami, vzestupně číslovaných po sobě jdoucích dodatků, platných a účinných dnem podpisu oběma smluvními stranami.</w:t>
      </w:r>
    </w:p>
    <w:p w:rsidR="003E51D9" w:rsidRPr="000266C5" w:rsidRDefault="003E51D9" w:rsidP="003E0EB3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3E0EB3">
      <w:pPr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Právní vztahy a závazky z této vzájemně uzavřené smlouvy se řídí platným právem ČR a souvisejícími předpisy EU. V případě, že budou některá ustanovení této smlouvy shledána neúčinná, nebo rozporná se zákonem, nahrazují se tato smluvní ustanovení věcně nejbližšími ustanoveními platných právních předpisů ČR, zejména pak zákona č. 89/2012 Sb., občanský zákoník, zákona č. 90/2012 Sb., zákon o obchodních korporacích, zákona č. 128/2000 Sb., o obcích a zákona č. 372/2011 Sb., zákon o zdravotních službách a podmínkách jejich poskytování.                                                                                   </w:t>
      </w:r>
    </w:p>
    <w:p w:rsidR="003E51D9" w:rsidRPr="000266C5" w:rsidRDefault="003E51D9" w:rsidP="003E0EB3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3E0EB3">
      <w:pPr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Tato smlouva je vyhotovena ve čtyřech provedeních ve stejném znění. Každá strana obdrží dvě vyhotovení s platností originálu.  </w:t>
      </w:r>
    </w:p>
    <w:p w:rsidR="003E51D9" w:rsidRPr="000266C5" w:rsidRDefault="003E51D9" w:rsidP="00590431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590431">
      <w:pPr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Tato smlouva je platná podpisem obou smluvních stran a účinná zveřejněním v registru smluv. Nájemce prohlašuje, že si je vědom toho, že Zdravotní zařízení poliklinika města Trhové Sviny </w:t>
      </w:r>
    </w:p>
    <w:p w:rsidR="003E51D9" w:rsidRPr="000266C5" w:rsidRDefault="003E51D9" w:rsidP="00590431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je povinný subjekt podle zákona č. 340/2015 Sb., o registru smluv, a proto tímto výslovně uděluje souhlas se zveřejněním smlouvy.</w:t>
      </w:r>
    </w:p>
    <w:p w:rsidR="003E51D9" w:rsidRPr="000266C5" w:rsidRDefault="003E51D9" w:rsidP="003E0EB3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3E0EB3">
      <w:pPr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Obě smluvní strany prohlašují, že si tuto smlouvu o poskytování zdravotních služeb přečetly, porozuměly plně jejímu obsahu a je projevem jejich svobodné a vážné vůle, nebyla uzavřena v tísni, ani za nápadně nevýhodných podmínek. Dále obě strany prohlašují, že jim není známa žádná skutečnost, která by uzavření této smlouvy bránila a jejich </w:t>
      </w:r>
      <w:proofErr w:type="spellStart"/>
      <w:r w:rsidRPr="000266C5">
        <w:rPr>
          <w:rFonts w:ascii="Calibri" w:hAnsi="Calibri" w:cs="Calibri"/>
          <w:sz w:val="22"/>
          <w:szCs w:val="22"/>
        </w:rPr>
        <w:t>zástupčí</w:t>
      </w:r>
      <w:proofErr w:type="spellEnd"/>
      <w:r w:rsidRPr="000266C5">
        <w:rPr>
          <w:rFonts w:ascii="Calibri" w:hAnsi="Calibri" w:cs="Calibri"/>
          <w:sz w:val="22"/>
          <w:szCs w:val="22"/>
        </w:rPr>
        <w:t xml:space="preserve"> oprávnění k jednání jsou platná a účinná dle příslušných zákonných ustanovení.      </w:t>
      </w:r>
    </w:p>
    <w:p w:rsidR="003E51D9" w:rsidRPr="000266C5" w:rsidRDefault="003E51D9" w:rsidP="00AD4620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7E25B8">
      <w:pPr>
        <w:jc w:val="center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       V Trhových Svinech dne </w:t>
      </w:r>
      <w:proofErr w:type="gramStart"/>
      <w:r w:rsidR="00AB5EE0">
        <w:rPr>
          <w:rFonts w:ascii="Calibri" w:hAnsi="Calibri" w:cs="Calibri"/>
          <w:sz w:val="22"/>
          <w:szCs w:val="22"/>
        </w:rPr>
        <w:t>15</w:t>
      </w:r>
      <w:r w:rsidRPr="000266C5">
        <w:rPr>
          <w:rFonts w:ascii="Calibri" w:hAnsi="Calibri" w:cs="Calibri"/>
          <w:sz w:val="22"/>
          <w:szCs w:val="22"/>
        </w:rPr>
        <w:t>.</w:t>
      </w:r>
      <w:r w:rsidR="00B55E2A">
        <w:rPr>
          <w:rFonts w:ascii="Calibri" w:hAnsi="Calibri" w:cs="Calibri"/>
          <w:sz w:val="22"/>
          <w:szCs w:val="22"/>
        </w:rPr>
        <w:t>0</w:t>
      </w:r>
      <w:r w:rsidR="00AB5EE0">
        <w:rPr>
          <w:rFonts w:ascii="Calibri" w:hAnsi="Calibri" w:cs="Calibri"/>
          <w:sz w:val="22"/>
          <w:szCs w:val="22"/>
        </w:rPr>
        <w:t>6</w:t>
      </w:r>
      <w:r w:rsidRPr="000266C5">
        <w:rPr>
          <w:rFonts w:ascii="Calibri" w:hAnsi="Calibri" w:cs="Calibri"/>
          <w:sz w:val="22"/>
          <w:szCs w:val="22"/>
        </w:rPr>
        <w:t>.202</w:t>
      </w:r>
      <w:r w:rsidR="00B55E2A">
        <w:rPr>
          <w:rFonts w:ascii="Calibri" w:hAnsi="Calibri" w:cs="Calibri"/>
          <w:sz w:val="22"/>
          <w:szCs w:val="22"/>
        </w:rPr>
        <w:t>2</w:t>
      </w:r>
      <w:proofErr w:type="gramEnd"/>
      <w:r w:rsidRPr="000266C5">
        <w:rPr>
          <w:rFonts w:ascii="Calibri" w:hAnsi="Calibri" w:cs="Calibri"/>
          <w:sz w:val="22"/>
          <w:szCs w:val="22"/>
        </w:rPr>
        <w:t xml:space="preserve">     </w:t>
      </w:r>
    </w:p>
    <w:p w:rsidR="003E51D9" w:rsidRPr="000266C5" w:rsidRDefault="003E51D9" w:rsidP="00CC15BF">
      <w:pPr>
        <w:jc w:val="both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AD4620">
      <w:pPr>
        <w:ind w:left="709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AD4620">
      <w:pPr>
        <w:ind w:left="709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AD4620">
      <w:pPr>
        <w:ind w:left="709"/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AD4620">
      <w:pPr>
        <w:ind w:left="709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         Pronajímatel:</w:t>
      </w:r>
      <w:r w:rsidRPr="000266C5">
        <w:rPr>
          <w:rFonts w:ascii="Calibri" w:hAnsi="Calibri" w:cs="Calibri"/>
          <w:sz w:val="22"/>
          <w:szCs w:val="22"/>
        </w:rPr>
        <w:tab/>
      </w:r>
      <w:r w:rsidRPr="000266C5">
        <w:rPr>
          <w:rFonts w:ascii="Calibri" w:hAnsi="Calibri" w:cs="Calibri"/>
          <w:sz w:val="22"/>
          <w:szCs w:val="22"/>
        </w:rPr>
        <w:tab/>
      </w:r>
      <w:r w:rsidRPr="000266C5">
        <w:rPr>
          <w:rFonts w:ascii="Calibri" w:hAnsi="Calibri" w:cs="Calibri"/>
          <w:sz w:val="22"/>
          <w:szCs w:val="22"/>
        </w:rPr>
        <w:tab/>
      </w:r>
      <w:r w:rsidRPr="000266C5">
        <w:rPr>
          <w:rFonts w:ascii="Calibri" w:hAnsi="Calibri" w:cs="Calibri"/>
          <w:sz w:val="22"/>
          <w:szCs w:val="22"/>
        </w:rPr>
        <w:tab/>
      </w:r>
      <w:r w:rsidRPr="000266C5">
        <w:rPr>
          <w:rFonts w:ascii="Calibri" w:hAnsi="Calibri" w:cs="Calibri"/>
          <w:sz w:val="22"/>
          <w:szCs w:val="22"/>
        </w:rPr>
        <w:tab/>
      </w:r>
      <w:r w:rsidRPr="000266C5">
        <w:rPr>
          <w:rFonts w:ascii="Calibri" w:hAnsi="Calibri" w:cs="Calibri"/>
          <w:sz w:val="22"/>
          <w:szCs w:val="22"/>
        </w:rPr>
        <w:tab/>
        <w:t>Nájemce:</w:t>
      </w:r>
    </w:p>
    <w:p w:rsidR="003E51D9" w:rsidRPr="000266C5" w:rsidRDefault="003E51D9" w:rsidP="00AD4620">
      <w:pPr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AD4620">
      <w:pPr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AD4620">
      <w:pPr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AD4620">
      <w:pPr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AD4620">
      <w:pPr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AD4620">
      <w:pPr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AD4620">
      <w:pPr>
        <w:rPr>
          <w:rFonts w:ascii="Calibri" w:hAnsi="Calibri" w:cs="Calibri"/>
          <w:sz w:val="22"/>
          <w:szCs w:val="22"/>
        </w:rPr>
      </w:pPr>
    </w:p>
    <w:p w:rsidR="003E51D9" w:rsidRPr="000266C5" w:rsidRDefault="003E51D9" w:rsidP="00AD4620">
      <w:pPr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3E51D9" w:rsidRPr="000266C5" w:rsidRDefault="003E51D9" w:rsidP="00AD4620">
      <w:pPr>
        <w:ind w:firstLine="709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>----------------------------------------</w:t>
      </w:r>
      <w:r w:rsidRPr="000266C5">
        <w:rPr>
          <w:rFonts w:ascii="Calibri" w:hAnsi="Calibri" w:cs="Calibri"/>
          <w:sz w:val="22"/>
          <w:szCs w:val="22"/>
        </w:rPr>
        <w:tab/>
      </w:r>
      <w:r w:rsidRPr="000266C5">
        <w:rPr>
          <w:rFonts w:ascii="Calibri" w:hAnsi="Calibri" w:cs="Calibri"/>
          <w:sz w:val="22"/>
          <w:szCs w:val="22"/>
        </w:rPr>
        <w:tab/>
      </w:r>
      <w:r w:rsidRPr="000266C5">
        <w:rPr>
          <w:rFonts w:ascii="Calibri" w:hAnsi="Calibri" w:cs="Calibri"/>
          <w:sz w:val="22"/>
          <w:szCs w:val="22"/>
        </w:rPr>
        <w:tab/>
      </w:r>
      <w:r w:rsidRPr="000266C5">
        <w:rPr>
          <w:rFonts w:ascii="Calibri" w:hAnsi="Calibri" w:cs="Calibri"/>
          <w:sz w:val="22"/>
          <w:szCs w:val="22"/>
        </w:rPr>
        <w:tab/>
        <w:t>--------------------------------------</w:t>
      </w:r>
    </w:p>
    <w:p w:rsidR="00ED047A" w:rsidRPr="000266C5" w:rsidRDefault="003E51D9" w:rsidP="00ED047A">
      <w:pPr>
        <w:ind w:firstLine="709"/>
        <w:rPr>
          <w:rFonts w:ascii="Calibri" w:hAnsi="Calibri" w:cs="Calibri"/>
          <w:sz w:val="22"/>
          <w:szCs w:val="22"/>
        </w:rPr>
      </w:pPr>
      <w:r w:rsidRPr="000266C5">
        <w:rPr>
          <w:rFonts w:ascii="Calibri" w:hAnsi="Calibri" w:cs="Calibri"/>
          <w:sz w:val="22"/>
          <w:szCs w:val="22"/>
        </w:rPr>
        <w:t xml:space="preserve">      Ing. Ivana Božáková                                  </w:t>
      </w:r>
      <w:r w:rsidRPr="000266C5">
        <w:rPr>
          <w:rFonts w:ascii="Calibri" w:hAnsi="Calibri" w:cs="Calibri"/>
          <w:sz w:val="22"/>
          <w:szCs w:val="22"/>
        </w:rPr>
        <w:tab/>
        <w:t xml:space="preserve">           </w:t>
      </w:r>
      <w:r w:rsidR="00ED047A" w:rsidRPr="000266C5">
        <w:rPr>
          <w:rFonts w:ascii="Calibri" w:hAnsi="Calibri" w:cs="Calibri"/>
          <w:sz w:val="22"/>
          <w:szCs w:val="22"/>
        </w:rPr>
        <w:t xml:space="preserve">      </w:t>
      </w:r>
      <w:r w:rsidR="00B55E2A">
        <w:rPr>
          <w:rFonts w:ascii="Calibri" w:hAnsi="Calibri" w:cs="Calibri"/>
          <w:sz w:val="22"/>
          <w:szCs w:val="22"/>
        </w:rPr>
        <w:t xml:space="preserve">   </w:t>
      </w:r>
      <w:r w:rsidRPr="000266C5">
        <w:rPr>
          <w:rFonts w:ascii="Calibri" w:hAnsi="Calibri" w:cs="Calibri"/>
          <w:sz w:val="22"/>
          <w:szCs w:val="22"/>
        </w:rPr>
        <w:t xml:space="preserve"> MUDr. </w:t>
      </w:r>
      <w:r w:rsidR="00B55E2A">
        <w:rPr>
          <w:rFonts w:ascii="Calibri" w:hAnsi="Calibri" w:cs="Calibri"/>
          <w:sz w:val="22"/>
          <w:szCs w:val="22"/>
        </w:rPr>
        <w:t>Tomáš Trnka</w:t>
      </w:r>
    </w:p>
    <w:p w:rsidR="003E51D9" w:rsidRPr="000266C5" w:rsidRDefault="003E51D9" w:rsidP="00ED047A">
      <w:pPr>
        <w:ind w:firstLine="709"/>
        <w:rPr>
          <w:rFonts w:ascii="Calibri" w:hAnsi="Calibri" w:cs="Calibri"/>
        </w:rPr>
      </w:pPr>
      <w:r w:rsidRPr="000266C5">
        <w:rPr>
          <w:rFonts w:ascii="Calibri" w:hAnsi="Calibri" w:cs="Calibri"/>
          <w:b/>
          <w:bCs/>
          <w:sz w:val="22"/>
          <w:szCs w:val="22"/>
        </w:rPr>
        <w:t xml:space="preserve">           </w:t>
      </w:r>
      <w:r w:rsidRPr="000266C5">
        <w:rPr>
          <w:rFonts w:ascii="Calibri" w:hAnsi="Calibri" w:cs="Calibri"/>
          <w:sz w:val="22"/>
          <w:szCs w:val="22"/>
        </w:rPr>
        <w:t>správce ZZ PK</w:t>
      </w:r>
      <w:r w:rsidRPr="000266C5">
        <w:rPr>
          <w:rFonts w:ascii="Calibri" w:hAnsi="Calibri" w:cs="Calibri"/>
          <w:sz w:val="22"/>
          <w:szCs w:val="22"/>
        </w:rPr>
        <w:tab/>
      </w:r>
      <w:r w:rsidRPr="000266C5">
        <w:rPr>
          <w:rFonts w:ascii="Calibri" w:hAnsi="Calibri" w:cs="Calibri"/>
          <w:sz w:val="22"/>
          <w:szCs w:val="22"/>
        </w:rPr>
        <w:tab/>
      </w:r>
      <w:r w:rsidRPr="000266C5">
        <w:rPr>
          <w:rFonts w:ascii="Calibri" w:hAnsi="Calibri" w:cs="Calibri"/>
          <w:sz w:val="22"/>
          <w:szCs w:val="22"/>
        </w:rPr>
        <w:tab/>
      </w:r>
      <w:r w:rsidRPr="000266C5">
        <w:rPr>
          <w:rFonts w:ascii="Calibri" w:hAnsi="Calibri" w:cs="Calibri"/>
          <w:sz w:val="22"/>
          <w:szCs w:val="22"/>
        </w:rPr>
        <w:tab/>
      </w:r>
      <w:r w:rsidRPr="000266C5">
        <w:rPr>
          <w:rFonts w:ascii="Calibri" w:hAnsi="Calibri" w:cs="Calibri"/>
          <w:sz w:val="22"/>
          <w:szCs w:val="22"/>
        </w:rPr>
        <w:tab/>
      </w:r>
      <w:r w:rsidR="00ED047A" w:rsidRPr="000266C5">
        <w:rPr>
          <w:rFonts w:ascii="Calibri" w:hAnsi="Calibri" w:cs="Calibri"/>
          <w:sz w:val="22"/>
          <w:szCs w:val="22"/>
        </w:rPr>
        <w:t xml:space="preserve">     </w:t>
      </w:r>
    </w:p>
    <w:sectPr w:rsidR="003E51D9" w:rsidRPr="000266C5" w:rsidSect="00865A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DA" w:rsidRDefault="00EC3DDA">
      <w:r>
        <w:separator/>
      </w:r>
    </w:p>
  </w:endnote>
  <w:endnote w:type="continuationSeparator" w:id="0">
    <w:p w:rsidR="00EC3DDA" w:rsidRDefault="00EC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D9" w:rsidRDefault="003E51D9">
    <w:pPr>
      <w:pStyle w:val="Zpat"/>
    </w:pPr>
  </w:p>
  <w:p w:rsidR="003E51D9" w:rsidRDefault="003E51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DA" w:rsidRDefault="00EC3DDA">
      <w:r>
        <w:separator/>
      </w:r>
    </w:p>
  </w:footnote>
  <w:footnote w:type="continuationSeparator" w:id="0">
    <w:p w:rsidR="00EC3DDA" w:rsidRDefault="00EC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6F9"/>
    <w:multiLevelType w:val="hybridMultilevel"/>
    <w:tmpl w:val="7E201298"/>
    <w:lvl w:ilvl="0" w:tplc="B4AA7978">
      <w:start w:val="3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0EDA6F3D"/>
    <w:multiLevelType w:val="hybridMultilevel"/>
    <w:tmpl w:val="8B2C9A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67F18"/>
    <w:multiLevelType w:val="hybridMultilevel"/>
    <w:tmpl w:val="0DC48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A6490"/>
    <w:multiLevelType w:val="hybridMultilevel"/>
    <w:tmpl w:val="41108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35DFE"/>
    <w:multiLevelType w:val="hybridMultilevel"/>
    <w:tmpl w:val="6A8A99EE"/>
    <w:lvl w:ilvl="0" w:tplc="319465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969C5"/>
    <w:multiLevelType w:val="hybridMultilevel"/>
    <w:tmpl w:val="3FDA0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41F5"/>
    <w:multiLevelType w:val="hybridMultilevel"/>
    <w:tmpl w:val="3FDA0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23931"/>
    <w:multiLevelType w:val="hybridMultilevel"/>
    <w:tmpl w:val="3042A5D8"/>
    <w:lvl w:ilvl="0" w:tplc="8C6A36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CC6231"/>
    <w:multiLevelType w:val="hybridMultilevel"/>
    <w:tmpl w:val="74A4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90755"/>
    <w:multiLevelType w:val="hybridMultilevel"/>
    <w:tmpl w:val="842CFC98"/>
    <w:lvl w:ilvl="0" w:tplc="319465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D036A2"/>
    <w:multiLevelType w:val="hybridMultilevel"/>
    <w:tmpl w:val="CD3608E8"/>
    <w:lvl w:ilvl="0" w:tplc="6C90359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7B4695"/>
    <w:multiLevelType w:val="hybridMultilevel"/>
    <w:tmpl w:val="EC2E5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F13C3"/>
    <w:multiLevelType w:val="hybridMultilevel"/>
    <w:tmpl w:val="8B768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01EC1"/>
    <w:multiLevelType w:val="hybridMultilevel"/>
    <w:tmpl w:val="1952B9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C6373D7"/>
    <w:multiLevelType w:val="hybridMultilevel"/>
    <w:tmpl w:val="B52851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831C92"/>
    <w:multiLevelType w:val="hybridMultilevel"/>
    <w:tmpl w:val="B1046B32"/>
    <w:lvl w:ilvl="0" w:tplc="C308C6BC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6" w15:restartNumberingAfterBreak="0">
    <w:nsid w:val="72E63272"/>
    <w:multiLevelType w:val="hybridMultilevel"/>
    <w:tmpl w:val="F412E3E0"/>
    <w:lvl w:ilvl="0" w:tplc="8440ED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65543"/>
    <w:multiLevelType w:val="hybridMultilevel"/>
    <w:tmpl w:val="65E0A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FC16B21"/>
    <w:multiLevelType w:val="hybridMultilevel"/>
    <w:tmpl w:val="ABF43EE6"/>
    <w:lvl w:ilvl="0" w:tplc="89EECF0C">
      <w:start w:val="4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5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16"/>
  </w:num>
  <w:num w:numId="10">
    <w:abstractNumId w:val="4"/>
  </w:num>
  <w:num w:numId="11">
    <w:abstractNumId w:val="11"/>
  </w:num>
  <w:num w:numId="12">
    <w:abstractNumId w:val="6"/>
  </w:num>
  <w:num w:numId="13">
    <w:abstractNumId w:val="2"/>
  </w:num>
  <w:num w:numId="14">
    <w:abstractNumId w:val="8"/>
  </w:num>
  <w:num w:numId="15">
    <w:abstractNumId w:val="12"/>
  </w:num>
  <w:num w:numId="16">
    <w:abstractNumId w:val="3"/>
  </w:num>
  <w:num w:numId="17">
    <w:abstractNumId w:val="13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37"/>
    <w:rsid w:val="00003DB7"/>
    <w:rsid w:val="000136A3"/>
    <w:rsid w:val="00013F22"/>
    <w:rsid w:val="0002195F"/>
    <w:rsid w:val="000266C5"/>
    <w:rsid w:val="00027543"/>
    <w:rsid w:val="00031B0B"/>
    <w:rsid w:val="000337AF"/>
    <w:rsid w:val="00050461"/>
    <w:rsid w:val="00050962"/>
    <w:rsid w:val="000527FF"/>
    <w:rsid w:val="000573B5"/>
    <w:rsid w:val="000931E0"/>
    <w:rsid w:val="000953EC"/>
    <w:rsid w:val="000A6247"/>
    <w:rsid w:val="000B2E14"/>
    <w:rsid w:val="000B562F"/>
    <w:rsid w:val="000B6214"/>
    <w:rsid w:val="000B7390"/>
    <w:rsid w:val="000C0F0F"/>
    <w:rsid w:val="000E39BD"/>
    <w:rsid w:val="000F318D"/>
    <w:rsid w:val="000F4198"/>
    <w:rsid w:val="00102BD6"/>
    <w:rsid w:val="00103455"/>
    <w:rsid w:val="001077A0"/>
    <w:rsid w:val="00122602"/>
    <w:rsid w:val="00135483"/>
    <w:rsid w:val="001372C6"/>
    <w:rsid w:val="001377CC"/>
    <w:rsid w:val="001378EE"/>
    <w:rsid w:val="00140E30"/>
    <w:rsid w:val="001420C5"/>
    <w:rsid w:val="00143D3C"/>
    <w:rsid w:val="00145971"/>
    <w:rsid w:val="00152456"/>
    <w:rsid w:val="00153C6B"/>
    <w:rsid w:val="00167A73"/>
    <w:rsid w:val="00170089"/>
    <w:rsid w:val="001749B7"/>
    <w:rsid w:val="0019508D"/>
    <w:rsid w:val="001A28CE"/>
    <w:rsid w:val="001A438A"/>
    <w:rsid w:val="001A6145"/>
    <w:rsid w:val="001A7AE5"/>
    <w:rsid w:val="001A7F55"/>
    <w:rsid w:val="001C1255"/>
    <w:rsid w:val="001C75E2"/>
    <w:rsid w:val="00200405"/>
    <w:rsid w:val="00200461"/>
    <w:rsid w:val="00205089"/>
    <w:rsid w:val="00205438"/>
    <w:rsid w:val="002349C2"/>
    <w:rsid w:val="002357CA"/>
    <w:rsid w:val="002376AA"/>
    <w:rsid w:val="002379D4"/>
    <w:rsid w:val="00245A19"/>
    <w:rsid w:val="00245EFE"/>
    <w:rsid w:val="00261413"/>
    <w:rsid w:val="002705AD"/>
    <w:rsid w:val="002912FC"/>
    <w:rsid w:val="00295668"/>
    <w:rsid w:val="002966EB"/>
    <w:rsid w:val="002A2595"/>
    <w:rsid w:val="002A2619"/>
    <w:rsid w:val="002B3857"/>
    <w:rsid w:val="002C4838"/>
    <w:rsid w:val="002D7A92"/>
    <w:rsid w:val="002F3D74"/>
    <w:rsid w:val="002F404F"/>
    <w:rsid w:val="003018F0"/>
    <w:rsid w:val="00301A44"/>
    <w:rsid w:val="0030640E"/>
    <w:rsid w:val="0030665C"/>
    <w:rsid w:val="00315C00"/>
    <w:rsid w:val="00320AA4"/>
    <w:rsid w:val="0032445F"/>
    <w:rsid w:val="00324FA7"/>
    <w:rsid w:val="00326851"/>
    <w:rsid w:val="00327F28"/>
    <w:rsid w:val="00340236"/>
    <w:rsid w:val="00354119"/>
    <w:rsid w:val="0036114D"/>
    <w:rsid w:val="00386ACF"/>
    <w:rsid w:val="00392474"/>
    <w:rsid w:val="00396B90"/>
    <w:rsid w:val="003A2C2D"/>
    <w:rsid w:val="003A5F15"/>
    <w:rsid w:val="003B34A1"/>
    <w:rsid w:val="003E0EB3"/>
    <w:rsid w:val="003E26E4"/>
    <w:rsid w:val="003E51D9"/>
    <w:rsid w:val="003F1F77"/>
    <w:rsid w:val="0040134A"/>
    <w:rsid w:val="00401511"/>
    <w:rsid w:val="00402E24"/>
    <w:rsid w:val="004032A4"/>
    <w:rsid w:val="004050A6"/>
    <w:rsid w:val="004125CB"/>
    <w:rsid w:val="00414067"/>
    <w:rsid w:val="00416428"/>
    <w:rsid w:val="00421A48"/>
    <w:rsid w:val="00423094"/>
    <w:rsid w:val="00426A42"/>
    <w:rsid w:val="004322D3"/>
    <w:rsid w:val="00461D6D"/>
    <w:rsid w:val="0046487F"/>
    <w:rsid w:val="004663F1"/>
    <w:rsid w:val="004755F8"/>
    <w:rsid w:val="004818C8"/>
    <w:rsid w:val="00483CC8"/>
    <w:rsid w:val="00485E9C"/>
    <w:rsid w:val="004865C4"/>
    <w:rsid w:val="004A4F9A"/>
    <w:rsid w:val="004B27B2"/>
    <w:rsid w:val="004B5442"/>
    <w:rsid w:val="004B569F"/>
    <w:rsid w:val="004C33B7"/>
    <w:rsid w:val="0051241D"/>
    <w:rsid w:val="00521CF2"/>
    <w:rsid w:val="00525243"/>
    <w:rsid w:val="005275E2"/>
    <w:rsid w:val="0053590A"/>
    <w:rsid w:val="005373AB"/>
    <w:rsid w:val="00546914"/>
    <w:rsid w:val="00553449"/>
    <w:rsid w:val="005634D9"/>
    <w:rsid w:val="005725ED"/>
    <w:rsid w:val="005773B5"/>
    <w:rsid w:val="005806D9"/>
    <w:rsid w:val="00582923"/>
    <w:rsid w:val="00590431"/>
    <w:rsid w:val="00593C83"/>
    <w:rsid w:val="005A3995"/>
    <w:rsid w:val="005B19FB"/>
    <w:rsid w:val="005B1F0A"/>
    <w:rsid w:val="005B2B4E"/>
    <w:rsid w:val="005B7EBB"/>
    <w:rsid w:val="005C095E"/>
    <w:rsid w:val="005C27C1"/>
    <w:rsid w:val="005C33E4"/>
    <w:rsid w:val="005D5245"/>
    <w:rsid w:val="005E33ED"/>
    <w:rsid w:val="005F17A6"/>
    <w:rsid w:val="005F73A7"/>
    <w:rsid w:val="006152C8"/>
    <w:rsid w:val="0062123E"/>
    <w:rsid w:val="00623803"/>
    <w:rsid w:val="006262E6"/>
    <w:rsid w:val="00627581"/>
    <w:rsid w:val="00644574"/>
    <w:rsid w:val="006660CC"/>
    <w:rsid w:val="00666F15"/>
    <w:rsid w:val="0067221D"/>
    <w:rsid w:val="006727B8"/>
    <w:rsid w:val="006840E8"/>
    <w:rsid w:val="006923C1"/>
    <w:rsid w:val="00695C80"/>
    <w:rsid w:val="006A5515"/>
    <w:rsid w:val="006B07CC"/>
    <w:rsid w:val="006B45BA"/>
    <w:rsid w:val="006B4929"/>
    <w:rsid w:val="006B7D9A"/>
    <w:rsid w:val="006D0754"/>
    <w:rsid w:val="006D19EF"/>
    <w:rsid w:val="006E0AFB"/>
    <w:rsid w:val="006E36F8"/>
    <w:rsid w:val="006F7D56"/>
    <w:rsid w:val="00702CD8"/>
    <w:rsid w:val="0070569F"/>
    <w:rsid w:val="00712A9F"/>
    <w:rsid w:val="00714BF8"/>
    <w:rsid w:val="007241AE"/>
    <w:rsid w:val="00731656"/>
    <w:rsid w:val="00733491"/>
    <w:rsid w:val="00734328"/>
    <w:rsid w:val="0073571C"/>
    <w:rsid w:val="00736A24"/>
    <w:rsid w:val="00741AE5"/>
    <w:rsid w:val="007478B0"/>
    <w:rsid w:val="00752010"/>
    <w:rsid w:val="0075361F"/>
    <w:rsid w:val="00754725"/>
    <w:rsid w:val="00760223"/>
    <w:rsid w:val="00766636"/>
    <w:rsid w:val="00767BB1"/>
    <w:rsid w:val="00771703"/>
    <w:rsid w:val="007739BD"/>
    <w:rsid w:val="00777467"/>
    <w:rsid w:val="007803D7"/>
    <w:rsid w:val="007843F6"/>
    <w:rsid w:val="00791B2C"/>
    <w:rsid w:val="007B3D37"/>
    <w:rsid w:val="007C0873"/>
    <w:rsid w:val="007C1DC9"/>
    <w:rsid w:val="007C3F89"/>
    <w:rsid w:val="007D0698"/>
    <w:rsid w:val="007E22FB"/>
    <w:rsid w:val="007E25B8"/>
    <w:rsid w:val="007E4D89"/>
    <w:rsid w:val="008050C1"/>
    <w:rsid w:val="00810C5F"/>
    <w:rsid w:val="00814AB5"/>
    <w:rsid w:val="00814D02"/>
    <w:rsid w:val="00842579"/>
    <w:rsid w:val="0084564D"/>
    <w:rsid w:val="00850D56"/>
    <w:rsid w:val="008621A3"/>
    <w:rsid w:val="00865ABD"/>
    <w:rsid w:val="00873D96"/>
    <w:rsid w:val="0088118D"/>
    <w:rsid w:val="008B01EA"/>
    <w:rsid w:val="008B0E04"/>
    <w:rsid w:val="008B42AC"/>
    <w:rsid w:val="008B4CBF"/>
    <w:rsid w:val="008C2F6D"/>
    <w:rsid w:val="008C7EC3"/>
    <w:rsid w:val="008E4144"/>
    <w:rsid w:val="008E5F5B"/>
    <w:rsid w:val="008F33B3"/>
    <w:rsid w:val="008F7364"/>
    <w:rsid w:val="00925BF2"/>
    <w:rsid w:val="00943475"/>
    <w:rsid w:val="009434B6"/>
    <w:rsid w:val="009442CC"/>
    <w:rsid w:val="00953821"/>
    <w:rsid w:val="00956DE8"/>
    <w:rsid w:val="00957918"/>
    <w:rsid w:val="00960A7E"/>
    <w:rsid w:val="0097218E"/>
    <w:rsid w:val="0099056C"/>
    <w:rsid w:val="009930EE"/>
    <w:rsid w:val="009A48B6"/>
    <w:rsid w:val="009B1079"/>
    <w:rsid w:val="009C4092"/>
    <w:rsid w:val="009D0E64"/>
    <w:rsid w:val="009D436F"/>
    <w:rsid w:val="009E1426"/>
    <w:rsid w:val="009E32A9"/>
    <w:rsid w:val="009E35EF"/>
    <w:rsid w:val="009E4B8A"/>
    <w:rsid w:val="009E79E9"/>
    <w:rsid w:val="00A071FF"/>
    <w:rsid w:val="00A11B9D"/>
    <w:rsid w:val="00A1556F"/>
    <w:rsid w:val="00A15762"/>
    <w:rsid w:val="00A338C7"/>
    <w:rsid w:val="00A464C7"/>
    <w:rsid w:val="00A603EB"/>
    <w:rsid w:val="00A621E2"/>
    <w:rsid w:val="00A76186"/>
    <w:rsid w:val="00A91174"/>
    <w:rsid w:val="00AA0C69"/>
    <w:rsid w:val="00AA3D33"/>
    <w:rsid w:val="00AA5A22"/>
    <w:rsid w:val="00AA5B92"/>
    <w:rsid w:val="00AB17DF"/>
    <w:rsid w:val="00AB3432"/>
    <w:rsid w:val="00AB4CED"/>
    <w:rsid w:val="00AB4F8F"/>
    <w:rsid w:val="00AB5EE0"/>
    <w:rsid w:val="00AB6957"/>
    <w:rsid w:val="00AC246F"/>
    <w:rsid w:val="00AD4620"/>
    <w:rsid w:val="00AF7920"/>
    <w:rsid w:val="00B00523"/>
    <w:rsid w:val="00B12806"/>
    <w:rsid w:val="00B13FE2"/>
    <w:rsid w:val="00B14FB5"/>
    <w:rsid w:val="00B211A2"/>
    <w:rsid w:val="00B32DD3"/>
    <w:rsid w:val="00B35CDC"/>
    <w:rsid w:val="00B37C0F"/>
    <w:rsid w:val="00B410F8"/>
    <w:rsid w:val="00B525C9"/>
    <w:rsid w:val="00B54922"/>
    <w:rsid w:val="00B55E2A"/>
    <w:rsid w:val="00B57D24"/>
    <w:rsid w:val="00B6535F"/>
    <w:rsid w:val="00B65E79"/>
    <w:rsid w:val="00B82918"/>
    <w:rsid w:val="00B856D1"/>
    <w:rsid w:val="00B957C2"/>
    <w:rsid w:val="00B96200"/>
    <w:rsid w:val="00BA7753"/>
    <w:rsid w:val="00BA7CA0"/>
    <w:rsid w:val="00BB21C7"/>
    <w:rsid w:val="00BC4353"/>
    <w:rsid w:val="00BC6D7E"/>
    <w:rsid w:val="00BC7D4B"/>
    <w:rsid w:val="00BD4D49"/>
    <w:rsid w:val="00BE5159"/>
    <w:rsid w:val="00BE6929"/>
    <w:rsid w:val="00BF536A"/>
    <w:rsid w:val="00C0120C"/>
    <w:rsid w:val="00C04C65"/>
    <w:rsid w:val="00C059ED"/>
    <w:rsid w:val="00C06A00"/>
    <w:rsid w:val="00C2155C"/>
    <w:rsid w:val="00C21841"/>
    <w:rsid w:val="00C21A7F"/>
    <w:rsid w:val="00C27622"/>
    <w:rsid w:val="00C3422A"/>
    <w:rsid w:val="00C57ABF"/>
    <w:rsid w:val="00C76C47"/>
    <w:rsid w:val="00C8138A"/>
    <w:rsid w:val="00C83DD7"/>
    <w:rsid w:val="00C9246C"/>
    <w:rsid w:val="00C96CC7"/>
    <w:rsid w:val="00CA0AB6"/>
    <w:rsid w:val="00CB4A49"/>
    <w:rsid w:val="00CB59D8"/>
    <w:rsid w:val="00CC15BF"/>
    <w:rsid w:val="00CD630E"/>
    <w:rsid w:val="00CE64E2"/>
    <w:rsid w:val="00CE7302"/>
    <w:rsid w:val="00CF3C63"/>
    <w:rsid w:val="00CF5DCF"/>
    <w:rsid w:val="00D0141A"/>
    <w:rsid w:val="00D053F4"/>
    <w:rsid w:val="00D13DEE"/>
    <w:rsid w:val="00D33CE7"/>
    <w:rsid w:val="00D34372"/>
    <w:rsid w:val="00D4096C"/>
    <w:rsid w:val="00D42791"/>
    <w:rsid w:val="00D66587"/>
    <w:rsid w:val="00D76C51"/>
    <w:rsid w:val="00D85162"/>
    <w:rsid w:val="00D91484"/>
    <w:rsid w:val="00DA0665"/>
    <w:rsid w:val="00DA0A7A"/>
    <w:rsid w:val="00DB0976"/>
    <w:rsid w:val="00DC2476"/>
    <w:rsid w:val="00DC5D83"/>
    <w:rsid w:val="00DD0ED9"/>
    <w:rsid w:val="00DD5683"/>
    <w:rsid w:val="00E06044"/>
    <w:rsid w:val="00E07A3F"/>
    <w:rsid w:val="00E07D08"/>
    <w:rsid w:val="00E10F64"/>
    <w:rsid w:val="00E16E47"/>
    <w:rsid w:val="00E42FD6"/>
    <w:rsid w:val="00E46AE4"/>
    <w:rsid w:val="00E60733"/>
    <w:rsid w:val="00E619BC"/>
    <w:rsid w:val="00E61D46"/>
    <w:rsid w:val="00E67C18"/>
    <w:rsid w:val="00E67C32"/>
    <w:rsid w:val="00E70523"/>
    <w:rsid w:val="00E84B98"/>
    <w:rsid w:val="00E86D9D"/>
    <w:rsid w:val="00E95E30"/>
    <w:rsid w:val="00E973E0"/>
    <w:rsid w:val="00EA588B"/>
    <w:rsid w:val="00EB2D1D"/>
    <w:rsid w:val="00EB46DE"/>
    <w:rsid w:val="00EC3DDA"/>
    <w:rsid w:val="00ED047A"/>
    <w:rsid w:val="00EE3F9D"/>
    <w:rsid w:val="00EE7B2A"/>
    <w:rsid w:val="00EF3323"/>
    <w:rsid w:val="00F023FD"/>
    <w:rsid w:val="00F11B04"/>
    <w:rsid w:val="00F225D5"/>
    <w:rsid w:val="00F25948"/>
    <w:rsid w:val="00F31D9E"/>
    <w:rsid w:val="00F36F57"/>
    <w:rsid w:val="00F467D2"/>
    <w:rsid w:val="00F52DB6"/>
    <w:rsid w:val="00F559D2"/>
    <w:rsid w:val="00F57872"/>
    <w:rsid w:val="00F60EF0"/>
    <w:rsid w:val="00F63084"/>
    <w:rsid w:val="00F70E4F"/>
    <w:rsid w:val="00F83027"/>
    <w:rsid w:val="00F86077"/>
    <w:rsid w:val="00F86E24"/>
    <w:rsid w:val="00F874FD"/>
    <w:rsid w:val="00F95DBE"/>
    <w:rsid w:val="00FA0336"/>
    <w:rsid w:val="00FA11B8"/>
    <w:rsid w:val="00FB1B84"/>
    <w:rsid w:val="00FD07C7"/>
    <w:rsid w:val="00FD0ACD"/>
    <w:rsid w:val="00FD72FB"/>
    <w:rsid w:val="00FE3938"/>
    <w:rsid w:val="00FF3386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FA8D5"/>
  <w15:docId w15:val="{BA9F12D4-59E2-49A4-A1E3-84A7FD7D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D3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B3D37"/>
    <w:pPr>
      <w:keepNext/>
      <w:outlineLvl w:val="0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973E0"/>
    <w:rPr>
      <w:rFonts w:ascii="Cambria" w:hAnsi="Cambria" w:cs="Cambria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rsid w:val="007B3D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B3D37"/>
    <w:rPr>
      <w:sz w:val="24"/>
      <w:szCs w:val="24"/>
      <w:lang w:val="cs-CZ" w:eastAsia="cs-CZ"/>
    </w:rPr>
  </w:style>
  <w:style w:type="paragraph" w:customStyle="1" w:styleId="Smluvnstrana">
    <w:name w:val="Smluvní strana"/>
    <w:basedOn w:val="Normln"/>
    <w:uiPriority w:val="99"/>
    <w:rsid w:val="00C3422A"/>
    <w:pPr>
      <w:widowControl w:val="0"/>
      <w:spacing w:line="280" w:lineRule="atLeast"/>
      <w:jc w:val="both"/>
    </w:pPr>
    <w:rPr>
      <w:b/>
      <w:b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E7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E7B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DA0A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1624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admin</dc:creator>
  <cp:keywords/>
  <dc:description/>
  <cp:lastModifiedBy>sokolikova</cp:lastModifiedBy>
  <cp:revision>8</cp:revision>
  <cp:lastPrinted>2022-06-15T09:30:00Z</cp:lastPrinted>
  <dcterms:created xsi:type="dcterms:W3CDTF">2022-06-08T05:08:00Z</dcterms:created>
  <dcterms:modified xsi:type="dcterms:W3CDTF">2022-06-16T11:12:00Z</dcterms:modified>
</cp:coreProperties>
</file>