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16" w:rsidRDefault="001428BB">
      <w:pPr>
        <w:pStyle w:val="Nadpis10"/>
        <w:keepNext/>
        <w:keepLines/>
      </w:pPr>
      <w:bookmarkStart w:id="0" w:name="bookmark0"/>
      <w:bookmarkStart w:id="1" w:name="_GoBack"/>
      <w:bookmarkEnd w:id="1"/>
      <w:proofErr w:type="spellStart"/>
      <w:r>
        <w:rPr>
          <w:rStyle w:val="Nadpis1"/>
        </w:rPr>
        <w:t>lllllllllllllllllllllll</w:t>
      </w:r>
      <w:bookmarkEnd w:id="0"/>
      <w:proofErr w:type="spellEnd"/>
    </w:p>
    <w:p w:rsidR="00BF6816" w:rsidRDefault="001428BB">
      <w:pPr>
        <w:pStyle w:val="Zkladntext20"/>
        <w:spacing w:after="200" w:line="240" w:lineRule="auto"/>
        <w:ind w:left="0" w:right="260" w:firstLine="0"/>
        <w:jc w:val="right"/>
      </w:pPr>
      <w:r>
        <w:rPr>
          <w:rStyle w:val="Zkladntext2"/>
        </w:rPr>
        <w:t>2022004611</w:t>
      </w:r>
    </w:p>
    <w:p w:rsidR="00BF6816" w:rsidRDefault="001428BB">
      <w:pPr>
        <w:pStyle w:val="Nadpis20"/>
        <w:keepNext/>
        <w:keepLines/>
        <w:spacing w:after="240"/>
      </w:pPr>
      <w:bookmarkStart w:id="2" w:name="bookmark2"/>
      <w:r>
        <w:rPr>
          <w:rStyle w:val="Nadpis2"/>
          <w:b/>
          <w:bCs/>
        </w:rPr>
        <w:t>KUPNÍ SMLOUVA</w:t>
      </w:r>
      <w:bookmarkEnd w:id="2"/>
      <w:r>
        <w:rPr>
          <w:rStyle w:val="Nadpis2"/>
          <w:b/>
          <w:bCs/>
          <w:u w:val="none"/>
        </w:rPr>
        <w:br/>
      </w:r>
      <w:r>
        <w:rPr>
          <w:rStyle w:val="Zkladntext"/>
          <w:b w:val="0"/>
          <w:bCs w:val="0"/>
          <w:sz w:val="20"/>
          <w:szCs w:val="20"/>
        </w:rPr>
        <w:t>podle ustanovení § 2079 a násl. zákona č. 89/2012 Sb., občanský zákoník,</w:t>
      </w:r>
      <w:r>
        <w:rPr>
          <w:rStyle w:val="Zkladntext"/>
          <w:b w:val="0"/>
          <w:bCs w:val="0"/>
          <w:sz w:val="20"/>
          <w:szCs w:val="20"/>
        </w:rPr>
        <w:br/>
        <w:t>uzavřená mezi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5962"/>
      </w:tblGrid>
      <w:tr w:rsidR="00BF681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621" w:type="dxa"/>
            <w:shd w:val="clear" w:color="auto" w:fill="auto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5962" w:type="dxa"/>
            <w:shd w:val="clear" w:color="auto" w:fill="auto"/>
          </w:tcPr>
          <w:p w:rsidR="00BF6816" w:rsidRDefault="001428BB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BF681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21" w:type="dxa"/>
            <w:shd w:val="clear" w:color="auto" w:fill="auto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5962" w:type="dxa"/>
            <w:shd w:val="clear" w:color="auto" w:fill="auto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Kamenice 798/1 d, Bohunice, </w:t>
            </w:r>
            <w:r>
              <w:rPr>
                <w:rStyle w:val="Jin"/>
              </w:rPr>
              <w:t>625 00 Brno</w:t>
            </w:r>
          </w:p>
        </w:tc>
      </w:tr>
      <w:tr w:rsidR="00BF681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21" w:type="dxa"/>
            <w:shd w:val="clear" w:color="auto" w:fill="auto"/>
            <w:vAlign w:val="bottom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5962" w:type="dxa"/>
            <w:shd w:val="clear" w:color="auto" w:fill="auto"/>
            <w:vAlign w:val="bottom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MUDr. Hana Albrechtová, ředitelka</w:t>
            </w:r>
          </w:p>
        </w:tc>
      </w:tr>
      <w:tr w:rsidR="00BF681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21" w:type="dxa"/>
            <w:shd w:val="clear" w:color="auto" w:fill="auto"/>
            <w:vAlign w:val="bottom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5962" w:type="dxa"/>
            <w:shd w:val="clear" w:color="auto" w:fill="auto"/>
            <w:vAlign w:val="bottom"/>
          </w:tcPr>
          <w:p w:rsidR="00BF6816" w:rsidRDefault="001428BB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4"/>
                <w:shd w:val="clear" w:color="auto" w:fill="000000"/>
              </w:rPr>
              <w:t>........</w:t>
            </w:r>
            <w:r>
              <w:rPr>
                <w:rStyle w:val="Jin"/>
                <w:spacing w:val="5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hd w:val="clear" w:color="auto" w:fill="000000"/>
              </w:rPr>
              <w:t>...</w:t>
            </w:r>
            <w:r>
              <w:rPr>
                <w:rStyle w:val="Jin"/>
                <w:spacing w:val="7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  <w:proofErr w:type="gramEnd"/>
          </w:p>
        </w:tc>
      </w:tr>
      <w:tr w:rsidR="00BF681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621" w:type="dxa"/>
            <w:shd w:val="clear" w:color="auto" w:fill="auto"/>
            <w:vAlign w:val="bottom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003 46 292</w:t>
            </w:r>
          </w:p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CZ00346292</w:t>
            </w:r>
          </w:p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. zn.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BF681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21" w:type="dxa"/>
            <w:shd w:val="clear" w:color="auto" w:fill="auto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5962" w:type="dxa"/>
            <w:shd w:val="clear" w:color="auto" w:fill="auto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MONETA Money Bank, a.s.,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117203514/0600</w:t>
            </w:r>
          </w:p>
        </w:tc>
      </w:tr>
    </w:tbl>
    <w:p w:rsidR="00BF6816" w:rsidRDefault="001428BB">
      <w:pPr>
        <w:pStyle w:val="Titulektabulky0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</w:t>
      </w:r>
      <w:proofErr w:type="gramStart"/>
      <w:r>
        <w:rPr>
          <w:rStyle w:val="Titulektabulky"/>
          <w:b/>
          <w:bCs/>
          <w:i/>
          <w:iCs/>
        </w:rPr>
        <w:t>kupující )</w:t>
      </w:r>
      <w:proofErr w:type="gramEnd"/>
    </w:p>
    <w:p w:rsidR="00BF6816" w:rsidRDefault="00BF6816">
      <w:pPr>
        <w:spacing w:after="299" w:line="1" w:lineRule="exact"/>
      </w:pPr>
    </w:p>
    <w:p w:rsidR="00BF6816" w:rsidRDefault="00BF681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5966"/>
      </w:tblGrid>
      <w:tr w:rsidR="00BF681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621" w:type="dxa"/>
            <w:shd w:val="clear" w:color="auto" w:fill="auto"/>
          </w:tcPr>
          <w:p w:rsidR="00BF6816" w:rsidRDefault="001428BB">
            <w:pPr>
              <w:pStyle w:val="Jin0"/>
              <w:spacing w:after="240" w:line="240" w:lineRule="auto"/>
            </w:pPr>
            <w:r>
              <w:rPr>
                <w:rStyle w:val="Jin"/>
              </w:rPr>
              <w:t>d</w:t>
            </w:r>
          </w:p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5966" w:type="dxa"/>
            <w:shd w:val="clear" w:color="auto" w:fill="auto"/>
            <w:vAlign w:val="bottom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ČESKÁ LÉKÁRNA HOLDING, a.s.</w:t>
            </w:r>
          </w:p>
        </w:tc>
      </w:tr>
      <w:tr w:rsidR="00BF681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21" w:type="dxa"/>
            <w:shd w:val="clear" w:color="auto" w:fill="auto"/>
            <w:vAlign w:val="bottom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</w:tc>
        <w:tc>
          <w:tcPr>
            <w:tcW w:w="5966" w:type="dxa"/>
            <w:shd w:val="clear" w:color="auto" w:fill="auto"/>
            <w:vAlign w:val="bottom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Nové Sady 996/25, Staré Brno, Brno 602 00</w:t>
            </w:r>
          </w:p>
        </w:tc>
      </w:tr>
      <w:tr w:rsidR="00BF681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21" w:type="dxa"/>
            <w:shd w:val="clear" w:color="auto" w:fill="auto"/>
            <w:vAlign w:val="bottom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</w:tc>
        <w:tc>
          <w:tcPr>
            <w:tcW w:w="5966" w:type="dxa"/>
            <w:shd w:val="clear" w:color="auto" w:fill="auto"/>
            <w:vAlign w:val="bottom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Mgr. Hana Bambulová, MBA, členka představenstva</w:t>
            </w:r>
          </w:p>
        </w:tc>
      </w:tr>
      <w:tr w:rsidR="00BF681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21" w:type="dxa"/>
            <w:shd w:val="clear" w:color="auto" w:fill="auto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5966" w:type="dxa"/>
            <w:shd w:val="clear" w:color="auto" w:fill="auto"/>
          </w:tcPr>
          <w:p w:rsidR="00BF6816" w:rsidRDefault="001428BB">
            <w:pPr>
              <w:pStyle w:val="Jin0"/>
              <w:spacing w:after="0" w:line="240" w:lineRule="auto"/>
            </w:pPr>
            <w:proofErr w:type="gramStart"/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spacing w:val="2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</w:t>
            </w:r>
            <w:r>
              <w:rPr>
                <w:rStyle w:val="Jin"/>
                <w:spacing w:val="3"/>
                <w:shd w:val="clear" w:color="auto" w:fill="000000"/>
              </w:rPr>
              <w:t>.............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0"/>
                <w:shd w:val="clear" w:color="auto" w:fill="000000"/>
              </w:rPr>
              <w:t>..</w:t>
            </w:r>
            <w:r>
              <w:rPr>
                <w:rStyle w:val="Jin"/>
                <w:spacing w:val="11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.......​.......​......</w:t>
            </w:r>
            <w:proofErr w:type="gramEnd"/>
          </w:p>
        </w:tc>
      </w:tr>
      <w:tr w:rsidR="00BF681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621" w:type="dxa"/>
            <w:shd w:val="clear" w:color="auto" w:fill="auto"/>
            <w:vAlign w:val="bottom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285 11 298</w:t>
            </w:r>
          </w:p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CZ699006234</w:t>
            </w:r>
          </w:p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Krajský soud v Brně, spis. </w:t>
            </w:r>
            <w:proofErr w:type="gramStart"/>
            <w:r>
              <w:rPr>
                <w:rStyle w:val="Jin"/>
              </w:rPr>
              <w:t>zn.</w:t>
            </w:r>
            <w:proofErr w:type="gramEnd"/>
            <w:r>
              <w:rPr>
                <w:rStyle w:val="Jin"/>
              </w:rPr>
              <w:t xml:space="preserve"> B 6919</w:t>
            </w:r>
          </w:p>
        </w:tc>
      </w:tr>
      <w:tr w:rsidR="00BF681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21" w:type="dxa"/>
            <w:shd w:val="clear" w:color="auto" w:fill="auto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5966" w:type="dxa"/>
            <w:shd w:val="clear" w:color="auto" w:fill="auto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Komerční </w:t>
            </w:r>
            <w:r>
              <w:rPr>
                <w:rStyle w:val="Jin"/>
              </w:rPr>
              <w:t xml:space="preserve">banka, a.s., </w:t>
            </w:r>
            <w:proofErr w:type="spellStart"/>
            <w:proofErr w:type="gramStart"/>
            <w:r>
              <w:rPr>
                <w:rStyle w:val="Jin"/>
              </w:rPr>
              <w:t>č.ú</w:t>
            </w:r>
            <w:proofErr w:type="spellEnd"/>
            <w:r>
              <w:rPr>
                <w:rStyle w:val="Jin"/>
              </w:rPr>
              <w:t>. 27</w:t>
            </w:r>
            <w:proofErr w:type="gramEnd"/>
            <w:r>
              <w:rPr>
                <w:rStyle w:val="Jin"/>
              </w:rPr>
              <w:t>-5824670237 / 0100</w:t>
            </w:r>
          </w:p>
        </w:tc>
      </w:tr>
    </w:tbl>
    <w:p w:rsidR="00BF6816" w:rsidRDefault="001428BB">
      <w:pPr>
        <w:pStyle w:val="Titulektabulky0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</w:t>
      </w:r>
      <w:proofErr w:type="gramStart"/>
      <w:r>
        <w:rPr>
          <w:rStyle w:val="Titulektabulky"/>
          <w:b/>
          <w:bCs/>
          <w:i/>
          <w:iCs/>
        </w:rPr>
        <w:t>prodávající )</w:t>
      </w:r>
      <w:proofErr w:type="gramEnd"/>
    </w:p>
    <w:p w:rsidR="00BF6816" w:rsidRDefault="00BF6816">
      <w:pPr>
        <w:spacing w:after="999" w:line="1" w:lineRule="exact"/>
      </w:pPr>
    </w:p>
    <w:p w:rsidR="00BF6816" w:rsidRDefault="001428BB">
      <w:pPr>
        <w:pStyle w:val="Zkladntext1"/>
        <w:numPr>
          <w:ilvl w:val="0"/>
          <w:numId w:val="1"/>
        </w:numPr>
        <w:tabs>
          <w:tab w:val="left" w:pos="408"/>
        </w:tabs>
        <w:spacing w:after="380" w:line="240" w:lineRule="auto"/>
        <w:jc w:val="both"/>
      </w:pPr>
      <w:r>
        <w:rPr>
          <w:rStyle w:val="Zkladntext"/>
        </w:rPr>
        <w:t>Prodávající je oprávněn na základě svého vlastnického práva nakládat s tímto zbožím:</w:t>
      </w:r>
    </w:p>
    <w:p w:rsidR="00BF6816" w:rsidRDefault="001428BB">
      <w:pPr>
        <w:pStyle w:val="Zkladntext1"/>
        <w:spacing w:after="300"/>
        <w:jc w:val="center"/>
      </w:pPr>
      <w:r>
        <w:rPr>
          <w:rStyle w:val="Zkladntext"/>
          <w:b/>
          <w:bCs/>
        </w:rPr>
        <w:t xml:space="preserve">65 ks digitálních teploměrů Braun IRT 6520 </w:t>
      </w:r>
      <w:proofErr w:type="spellStart"/>
      <w:r>
        <w:rPr>
          <w:rStyle w:val="Zkladntext"/>
          <w:b/>
          <w:bCs/>
        </w:rPr>
        <w:t>ThermoScan</w:t>
      </w:r>
      <w:proofErr w:type="spellEnd"/>
      <w:r>
        <w:rPr>
          <w:rStyle w:val="Zkladntext"/>
          <w:b/>
          <w:bCs/>
        </w:rPr>
        <w:t xml:space="preserve">® 7 Age </w:t>
      </w:r>
      <w:proofErr w:type="spellStart"/>
      <w:r>
        <w:rPr>
          <w:rStyle w:val="Zkladntext"/>
          <w:b/>
          <w:bCs/>
        </w:rPr>
        <w:t>Precision</w:t>
      </w:r>
      <w:proofErr w:type="spellEnd"/>
      <w:r>
        <w:rPr>
          <w:rStyle w:val="Zkladntext"/>
          <w:b/>
          <w:bCs/>
        </w:rPr>
        <w:t>®</w:t>
      </w:r>
    </w:p>
    <w:p w:rsidR="00BF6816" w:rsidRDefault="001428BB">
      <w:pPr>
        <w:pStyle w:val="Zkladntext1"/>
        <w:spacing w:after="240"/>
        <w:ind w:left="400"/>
        <w:jc w:val="both"/>
      </w:pPr>
      <w:r>
        <w:rPr>
          <w:rStyle w:val="Zkladntext"/>
        </w:rPr>
        <w:t>Bližší specifikace tohoto zboží a</w:t>
      </w:r>
      <w:r>
        <w:rPr>
          <w:rStyle w:val="Zkladntext"/>
        </w:rPr>
        <w:t xml:space="preserve"> jeho jednotkové ceny jsou uvedeny v příloze č. 1, která je nedílnou součástí této smlouvy.</w:t>
      </w:r>
    </w:p>
    <w:p w:rsidR="00BF6816" w:rsidRDefault="001428BB">
      <w:pPr>
        <w:pStyle w:val="Zkladntext1"/>
        <w:numPr>
          <w:ilvl w:val="0"/>
          <w:numId w:val="1"/>
        </w:numPr>
        <w:tabs>
          <w:tab w:val="left" w:pos="408"/>
        </w:tabs>
        <w:spacing w:after="240"/>
        <w:ind w:left="400" w:hanging="400"/>
        <w:jc w:val="both"/>
      </w:pPr>
      <w:r>
        <w:rPr>
          <w:rStyle w:val="Zkladntext"/>
        </w:rPr>
        <w:t>Prodávající prodává zboží podle čl. 1 této smlouvy se všemi jeho součástmi kupujícímu, a kupující kupuje toto zboží do svého vlastnictví za kupní cenu podle čl. 6 t</w:t>
      </w:r>
      <w:r>
        <w:rPr>
          <w:rStyle w:val="Zkladntext"/>
        </w:rPr>
        <w:t>éto smlouvy.</w:t>
      </w:r>
    </w:p>
    <w:p w:rsidR="00BF6816" w:rsidRDefault="001428BB">
      <w:pPr>
        <w:pStyle w:val="Zkladntext1"/>
        <w:numPr>
          <w:ilvl w:val="0"/>
          <w:numId w:val="1"/>
        </w:numPr>
        <w:tabs>
          <w:tab w:val="left" w:pos="408"/>
        </w:tabs>
        <w:spacing w:after="240" w:line="286" w:lineRule="auto"/>
        <w:ind w:left="400" w:hanging="400"/>
        <w:jc w:val="both"/>
      </w:pPr>
      <w:r>
        <w:rPr>
          <w:rStyle w:val="Zkladntext"/>
        </w:rPr>
        <w:t xml:space="preserve">Prodávající se zavazuje splnit svůj závazek k dodání zboží podle čl. 1 této smlouvy nejpozději do </w:t>
      </w:r>
      <w:proofErr w:type="gramStart"/>
      <w:r>
        <w:rPr>
          <w:rStyle w:val="Zkladntext"/>
          <w:b/>
          <w:bCs/>
        </w:rPr>
        <w:t>30.11. 2022</w:t>
      </w:r>
      <w:proofErr w:type="gramEnd"/>
      <w:r>
        <w:rPr>
          <w:rStyle w:val="Zkladntext"/>
          <w:b/>
          <w:bCs/>
        </w:rPr>
        <w:t xml:space="preserve">, </w:t>
      </w:r>
      <w:r>
        <w:rPr>
          <w:rStyle w:val="Zkladntext"/>
        </w:rPr>
        <w:t>a to v místě plnění, čímž se rozumí sídlo kupujícího dle záhlaví k této smlouvě.</w:t>
      </w:r>
    </w:p>
    <w:p w:rsidR="00BF6816" w:rsidRDefault="001428BB">
      <w:pPr>
        <w:pStyle w:val="Zkladntext1"/>
        <w:numPr>
          <w:ilvl w:val="0"/>
          <w:numId w:val="1"/>
        </w:numPr>
        <w:tabs>
          <w:tab w:val="left" w:pos="408"/>
        </w:tabs>
        <w:spacing w:after="200"/>
        <w:ind w:left="400" w:hanging="400"/>
        <w:jc w:val="both"/>
      </w:pPr>
      <w:r>
        <w:rPr>
          <w:rStyle w:val="Zkladntext"/>
        </w:rPr>
        <w:t>Závazek prodávajícího k dodání zboží podle čl. 1 té</w:t>
      </w:r>
      <w:r>
        <w:rPr>
          <w:rStyle w:val="Zkladntext"/>
        </w:rPr>
        <w:t>to smlouvy se pak považuje za splněný dnem předání a převzetí tohoto zboží, prostého všech vad, formou písemného předávacího protokolu, podepsaného oběma smluvními stranami.</w:t>
      </w:r>
    </w:p>
    <w:p w:rsidR="00BF6816" w:rsidRDefault="001428BB">
      <w:pPr>
        <w:pStyle w:val="Zkladntext1"/>
        <w:numPr>
          <w:ilvl w:val="0"/>
          <w:numId w:val="1"/>
        </w:numPr>
        <w:tabs>
          <w:tab w:val="left" w:pos="408"/>
        </w:tabs>
        <w:spacing w:after="240" w:line="271" w:lineRule="auto"/>
        <w:ind w:left="400" w:hanging="400"/>
        <w:jc w:val="both"/>
      </w:pPr>
      <w:r>
        <w:rPr>
          <w:rStyle w:val="Zkladntext"/>
        </w:rPr>
        <w:t xml:space="preserve">Nebezpečí škody na převáděném zboží a vlastnické právo k tomuto zboží přechází z </w:t>
      </w:r>
      <w:r>
        <w:rPr>
          <w:rStyle w:val="Zkladntext"/>
        </w:rPr>
        <w:t>prodávajícího na kupujícího dnem splnění závazku prodávajícího k dodání tohoto zboží způsobem podle čl. 4 této smlouvy.</w:t>
      </w:r>
    </w:p>
    <w:p w:rsidR="00BF6816" w:rsidRDefault="001428BB">
      <w:pPr>
        <w:pStyle w:val="Zkladntext1"/>
        <w:numPr>
          <w:ilvl w:val="0"/>
          <w:numId w:val="1"/>
        </w:numPr>
        <w:tabs>
          <w:tab w:val="left" w:pos="408"/>
        </w:tabs>
        <w:spacing w:after="40" w:line="286" w:lineRule="auto"/>
        <w:ind w:left="380" w:hanging="380"/>
        <w:jc w:val="both"/>
      </w:pPr>
      <w:r>
        <w:rPr>
          <w:rStyle w:val="Zkladntext"/>
        </w:rPr>
        <w:t>Kupující se zavazuje zaplatit prodávajícímu za předmět koupě a prodeje podle čl. 1 této smlouvy kupní cenu celkem ve výši:</w:t>
      </w:r>
    </w:p>
    <w:p w:rsidR="00BF6816" w:rsidRDefault="001428BB">
      <w:pPr>
        <w:pStyle w:val="Zkladntext1"/>
        <w:spacing w:after="120"/>
        <w:jc w:val="center"/>
      </w:pPr>
      <w:r>
        <w:rPr>
          <w:rStyle w:val="Zkladntext"/>
          <w:b/>
          <w:bCs/>
        </w:rPr>
        <w:lastRenderedPageBreak/>
        <w:t xml:space="preserve">80 041 Kč </w:t>
      </w:r>
      <w:r>
        <w:rPr>
          <w:rStyle w:val="Zkladntext"/>
        </w:rPr>
        <w:t>bez</w:t>
      </w:r>
      <w:r>
        <w:rPr>
          <w:rStyle w:val="Zkladntext"/>
        </w:rPr>
        <w:t xml:space="preserve"> DPH, tzn. </w:t>
      </w:r>
      <w:r>
        <w:rPr>
          <w:rStyle w:val="Zkladntext"/>
          <w:b/>
          <w:bCs/>
        </w:rPr>
        <w:t xml:space="preserve">96 850 Kč </w:t>
      </w:r>
      <w:r>
        <w:rPr>
          <w:rStyle w:val="Zkladntext"/>
        </w:rPr>
        <w:t>včetně DPH.</w:t>
      </w:r>
    </w:p>
    <w:p w:rsidR="00BF6816" w:rsidRDefault="001428BB">
      <w:pPr>
        <w:pStyle w:val="Zkladntext1"/>
        <w:ind w:left="380" w:firstLine="40"/>
        <w:jc w:val="both"/>
      </w:pPr>
      <w:r>
        <w:rPr>
          <w:rStyle w:val="Zkladntext"/>
        </w:rPr>
        <w:t>Součástí této ceny jsou veškeré náklady prodávajícího na splnění jeho závazku k dodání zboží podle této smlouvy. Změna ceny je možná pouze v případě zákonné změny sazby DPH.</w:t>
      </w:r>
    </w:p>
    <w:p w:rsidR="00BF6816" w:rsidRDefault="001428BB">
      <w:pPr>
        <w:pStyle w:val="Zkladntext1"/>
        <w:numPr>
          <w:ilvl w:val="0"/>
          <w:numId w:val="1"/>
        </w:numPr>
        <w:tabs>
          <w:tab w:val="left" w:pos="408"/>
        </w:tabs>
        <w:ind w:left="380" w:hanging="380"/>
        <w:jc w:val="both"/>
      </w:pPr>
      <w:r>
        <w:rPr>
          <w:rStyle w:val="Zkladntext"/>
        </w:rPr>
        <w:t>Kupní cena podle čl. 6 této smlouvy je splatná na</w:t>
      </w:r>
      <w:r>
        <w:rPr>
          <w:rStyle w:val="Zkladntext"/>
        </w:rPr>
        <w:t xml:space="preserve"> účet prodávajícího po splnění závazku prodávajícího k dodání zboží podle čl. 1 této smlouvy způsobem podle čl. 4 této smlouvy ve lhůtě do </w:t>
      </w:r>
      <w:proofErr w:type="gramStart"/>
      <w:r>
        <w:rPr>
          <w:rStyle w:val="Zkladntext"/>
        </w:rPr>
        <w:t>30-ti</w:t>
      </w:r>
      <w:proofErr w:type="gramEnd"/>
      <w:r>
        <w:rPr>
          <w:rStyle w:val="Zkladntext"/>
        </w:rPr>
        <w:t xml:space="preserve"> dnů ode dne doručení jejího písemného vyúčtování (faktury/daňového dokladu). Faktura bude doručena elektronicky</w:t>
      </w:r>
      <w:r>
        <w:rPr>
          <w:rStyle w:val="Zkladntext"/>
        </w:rPr>
        <w:t xml:space="preserve"> na </w:t>
      </w:r>
      <w:proofErr w:type="gramStart"/>
      <w:r>
        <w:rPr>
          <w:rStyle w:val="Zkladntext"/>
        </w:rPr>
        <w:t xml:space="preserve">emaily: 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hd w:val="clear" w:color="auto" w:fill="000000"/>
          <w:lang w:val="en-US" w:eastAsia="en-US" w:bidi="en-US"/>
        </w:rPr>
        <w:t>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color w:val="387DBC"/>
          <w:lang w:val="en-US" w:eastAsia="en-US" w:bidi="en-US"/>
        </w:rPr>
        <w:t xml:space="preserve"> </w:t>
      </w:r>
      <w:r>
        <w:rPr>
          <w:rStyle w:val="Zkladntext"/>
        </w:rPr>
        <w:t>a musí</w:t>
      </w:r>
      <w:proofErr w:type="gramEnd"/>
      <w:r>
        <w:rPr>
          <w:rStyle w:val="Zkladntext"/>
        </w:rPr>
        <w:t xml:space="preserve"> obsahovat mimo jiné toto číslo veřejné zakázky: </w:t>
      </w:r>
      <w:r>
        <w:rPr>
          <w:rStyle w:val="Zkladntext"/>
          <w:b/>
          <w:bCs/>
        </w:rPr>
        <w:t xml:space="preserve">P22V00002330. </w:t>
      </w:r>
      <w:r>
        <w:rPr>
          <w:rStyle w:val="Zkladntext"/>
        </w:rPr>
        <w:t xml:space="preserve">Nebude-li faktura splňovat veškeré náležitosti daňového dokladu podle zákona a další náležitosti podle této </w:t>
      </w:r>
      <w:r>
        <w:rPr>
          <w:rStyle w:val="Zkladntext"/>
        </w:rPr>
        <w:t>smlouvy, je kupující oprávněn vrátit takovou fakturu prodávajícímu k opravě, přičemž doba její splatnosti začne znovu celá běžet ode dne doručení opravené faktury kupujícímu.</w:t>
      </w:r>
    </w:p>
    <w:p w:rsidR="00BF6816" w:rsidRDefault="001428BB">
      <w:pPr>
        <w:pStyle w:val="Zkladntext1"/>
        <w:numPr>
          <w:ilvl w:val="0"/>
          <w:numId w:val="1"/>
        </w:numPr>
        <w:tabs>
          <w:tab w:val="left" w:pos="408"/>
        </w:tabs>
        <w:ind w:left="380" w:hanging="380"/>
        <w:jc w:val="both"/>
      </w:pPr>
      <w:r>
        <w:rPr>
          <w:rStyle w:val="Zkladntext"/>
        </w:rPr>
        <w:t>S převodem zboží podle čl. 1 této smlouvy je spojena záruka za jeho jakost v trvá</w:t>
      </w:r>
      <w:r>
        <w:rPr>
          <w:rStyle w:val="Zkladntext"/>
        </w:rPr>
        <w:t>ní 24 měsíců. V rámci této záruky se prodávající zavazuje bezplatně odstraňovat vady na zboží podle čl. 1 této smlouvy, a to ve lhůtě do 1 týdne od doručení příslušné reklamace písemné kupujícího. Písemná forma reklamace se považuje za dodrženou i v případ</w:t>
      </w:r>
      <w:r>
        <w:rPr>
          <w:rStyle w:val="Zkladntext"/>
        </w:rPr>
        <w:t>ě jejího odeslání elektronickou formou. Vzhledem k povaze zboží podle čl. 1 této smlouvy lze provést odstranění vady jen výměnou vadného kusu zboží za nový bezvadný.</w:t>
      </w:r>
    </w:p>
    <w:p w:rsidR="00BF6816" w:rsidRDefault="001428BB">
      <w:pPr>
        <w:pStyle w:val="Zkladntext1"/>
        <w:numPr>
          <w:ilvl w:val="0"/>
          <w:numId w:val="1"/>
        </w:numPr>
        <w:tabs>
          <w:tab w:val="left" w:pos="408"/>
        </w:tabs>
        <w:ind w:left="380" w:hanging="380"/>
        <w:jc w:val="both"/>
      </w:pPr>
      <w:r>
        <w:rPr>
          <w:rStyle w:val="Zkladntext"/>
        </w:rPr>
        <w:t xml:space="preserve">Pro případ sporu o oprávněnost reklamace se kupujícímu vyhrazuje právo nechat vyhotovit k </w:t>
      </w:r>
      <w:r>
        <w:rPr>
          <w:rStyle w:val="Zkladntext"/>
        </w:rPr>
        <w:t>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 w:rsidR="00BF6816" w:rsidRDefault="001428BB">
      <w:pPr>
        <w:pStyle w:val="Zkladntext1"/>
        <w:numPr>
          <w:ilvl w:val="0"/>
          <w:numId w:val="1"/>
        </w:numPr>
        <w:tabs>
          <w:tab w:val="left" w:pos="408"/>
        </w:tabs>
        <w:ind w:left="380" w:hanging="380"/>
        <w:jc w:val="both"/>
      </w:pPr>
      <w:r>
        <w:rPr>
          <w:rStyle w:val="Zkladntext"/>
        </w:rPr>
        <w:t>Pro případ prodlení se splněním</w:t>
      </w:r>
      <w:r>
        <w:rPr>
          <w:rStyle w:val="Zkladntext"/>
        </w:rPr>
        <w:t xml:space="preserve"> jeho závazku k dodání zboží ve lhůtě podle čl. 3 této smlouvy a pro případ jeho prodlení s odstraněním vady ve lhůtě podle čl. 8 této smlouvy se prodávající zavazuje zaplatit kupujícímu smluvní pokutu ve výši 0,1 % z kupní ceny podle čl. 6 této smlouvy za</w:t>
      </w:r>
      <w:r>
        <w:rPr>
          <w:rStyle w:val="Zkladntext"/>
        </w:rPr>
        <w:t xml:space="preserve"> každý započatý den tohoto prodlení.</w:t>
      </w:r>
    </w:p>
    <w:p w:rsidR="00BF6816" w:rsidRDefault="001428BB">
      <w:pPr>
        <w:pStyle w:val="Zkladntext1"/>
        <w:numPr>
          <w:ilvl w:val="0"/>
          <w:numId w:val="1"/>
        </w:numPr>
        <w:tabs>
          <w:tab w:val="left" w:pos="408"/>
        </w:tabs>
        <w:ind w:left="380" w:hanging="380"/>
        <w:jc w:val="both"/>
      </w:pPr>
      <w:r>
        <w:rPr>
          <w:rStyle w:val="Zkladntext"/>
        </w:rPr>
        <w:t>Pro případ prodlení se splněním jeho závazku k dodání zboží ve lhůtě podle čl. 3 této smlouvy nebo s odstraněním vady ve lhůtě podle čl. 8 této smlouvy o více, než 2 týdny, je kupující oprávněn odstoupit od této smlouvy</w:t>
      </w:r>
      <w:r>
        <w:rPr>
          <w:rStyle w:val="Zkladntext"/>
        </w:rPr>
        <w:t xml:space="preserve">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BF6816" w:rsidRDefault="001428BB">
      <w:pPr>
        <w:pStyle w:val="Zkladntext1"/>
        <w:numPr>
          <w:ilvl w:val="0"/>
          <w:numId w:val="1"/>
        </w:numPr>
        <w:tabs>
          <w:tab w:val="left" w:pos="408"/>
        </w:tabs>
        <w:ind w:left="380" w:hanging="380"/>
        <w:jc w:val="both"/>
      </w:pPr>
      <w:r>
        <w:rPr>
          <w:rStyle w:val="Zkladntext"/>
        </w:rPr>
        <w:t xml:space="preserve">Pro případ prodlení kupujícího se zaplacením kupní ceny nebo její části ve lhůtě podle čl. 6 této smlouvy o víc než 2 týdny, je prodávající oprávněn od této smlouvy odstoupit s účinky ex </w:t>
      </w:r>
      <w:proofErr w:type="spellStart"/>
      <w:r>
        <w:rPr>
          <w:rStyle w:val="Zkladntext"/>
        </w:rPr>
        <w:t>tunc</w:t>
      </w:r>
      <w:proofErr w:type="spellEnd"/>
      <w:r>
        <w:rPr>
          <w:rStyle w:val="Zkladntext"/>
        </w:rPr>
        <w:t>.</w:t>
      </w:r>
    </w:p>
    <w:p w:rsidR="00BF6816" w:rsidRDefault="001428BB">
      <w:pPr>
        <w:pStyle w:val="Zkladntext1"/>
        <w:numPr>
          <w:ilvl w:val="0"/>
          <w:numId w:val="1"/>
        </w:numPr>
        <w:tabs>
          <w:tab w:val="left" w:pos="408"/>
        </w:tabs>
        <w:ind w:left="380" w:hanging="380"/>
        <w:jc w:val="both"/>
      </w:pPr>
      <w:r>
        <w:rPr>
          <w:rStyle w:val="Zkladntext"/>
        </w:rPr>
        <w:t xml:space="preserve">Není-li touto smlouvou ujednáno jinak, řídí </w:t>
      </w:r>
      <w:r>
        <w:rPr>
          <w:rStyle w:val="Zkladntext"/>
        </w:rPr>
        <w:t xml:space="preserve">se vzájemný právní vztah mezi kupujícím a prodávajícím při realizaci této smlouvy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2079 a násl. občanského zákoníku.</w:t>
      </w:r>
    </w:p>
    <w:p w:rsidR="00BF6816" w:rsidRDefault="001428BB">
      <w:pPr>
        <w:pStyle w:val="Zkladntext1"/>
        <w:numPr>
          <w:ilvl w:val="0"/>
          <w:numId w:val="1"/>
        </w:numPr>
        <w:tabs>
          <w:tab w:val="left" w:pos="408"/>
        </w:tabs>
        <w:ind w:left="380" w:hanging="380"/>
        <w:jc w:val="both"/>
      </w:pPr>
      <w:r>
        <w:rPr>
          <w:rStyle w:val="Zkladntext"/>
        </w:rPr>
        <w:t>Tato smlouva se uzavírá na základě návrhu na její uzavření ze strany kupujícího. Předpokladem uzavření této smlouvy je její písemná f</w:t>
      </w:r>
      <w:r>
        <w:rPr>
          <w:rStyle w:val="Zkladntext"/>
        </w:rPr>
        <w:t>orma a dohoda o jejích podstatných náležitostech, čímž se rozumí celý obsah této smlouvy, jak je uveden v čl. 1 až 18 této smlouvy. Kupující přitom předem vylučuje přijetí tohoto návrhu s dodatkem nebo odchylkou ve smyslu ustanovení § 1740 odst. 3 občanské</w:t>
      </w:r>
      <w:r>
        <w:rPr>
          <w:rStyle w:val="Zkladntext"/>
        </w:rPr>
        <w:t>ho zákoníku.</w:t>
      </w:r>
    </w:p>
    <w:p w:rsidR="00BF6816" w:rsidRDefault="001428BB">
      <w:pPr>
        <w:pStyle w:val="Zkladntext1"/>
        <w:numPr>
          <w:ilvl w:val="0"/>
          <w:numId w:val="1"/>
        </w:numPr>
        <w:tabs>
          <w:tab w:val="left" w:pos="408"/>
        </w:tabs>
        <w:spacing w:line="266" w:lineRule="auto"/>
        <w:ind w:left="380" w:hanging="380"/>
        <w:jc w:val="both"/>
      </w:pPr>
      <w:r>
        <w:rPr>
          <w:rStyle w:val="Zkladntext"/>
        </w:rPr>
        <w:t>Prodávající bere na vědomí a souhlasí s tím, aby kupující uveřejnil tuto smlouvu v registru smluv v souladu s ustanoveními zákona č. 340/2015 Sb., o registru smluv, ve znění pozdějších předpisů.</w:t>
      </w:r>
    </w:p>
    <w:p w:rsidR="00BF6816" w:rsidRDefault="001428BB">
      <w:pPr>
        <w:pStyle w:val="Zkladntext1"/>
        <w:numPr>
          <w:ilvl w:val="0"/>
          <w:numId w:val="1"/>
        </w:numPr>
        <w:tabs>
          <w:tab w:val="left" w:pos="408"/>
        </w:tabs>
        <w:jc w:val="both"/>
      </w:pPr>
      <w:r>
        <w:rPr>
          <w:rStyle w:val="Zkladntext"/>
        </w:rPr>
        <w:t xml:space="preserve">Tuto smlouvu lze změnit nebo zrušit pouze jinou </w:t>
      </w:r>
      <w:r>
        <w:rPr>
          <w:rStyle w:val="Zkladntext"/>
        </w:rPr>
        <w:t>písemnou dohodou obou smluvních stran.</w:t>
      </w:r>
      <w:r>
        <w:br w:type="page"/>
      </w:r>
    </w:p>
    <w:p w:rsidR="00BF6816" w:rsidRDefault="001428BB">
      <w:pPr>
        <w:pStyle w:val="Zkladntext1"/>
        <w:numPr>
          <w:ilvl w:val="0"/>
          <w:numId w:val="1"/>
        </w:numPr>
        <w:tabs>
          <w:tab w:val="left" w:pos="408"/>
        </w:tabs>
        <w:spacing w:after="240"/>
        <w:ind w:left="380" w:hanging="380"/>
      </w:pPr>
      <w:r>
        <w:rPr>
          <w:rStyle w:val="Zkladntext"/>
        </w:rPr>
        <w:lastRenderedPageBreak/>
        <w:t>Tato smlouva nabývá platnosti dnem jejího uzavření a účinnosti dnem jejího uveřejnění v registru smluv dle čl. 15 této smlouvy.</w:t>
      </w:r>
    </w:p>
    <w:p w:rsidR="00BF6816" w:rsidRDefault="001428BB">
      <w:pPr>
        <w:pStyle w:val="Zkladntext1"/>
        <w:numPr>
          <w:ilvl w:val="0"/>
          <w:numId w:val="1"/>
        </w:numPr>
        <w:tabs>
          <w:tab w:val="left" w:pos="408"/>
        </w:tabs>
        <w:spacing w:after="780"/>
        <w:ind w:left="380" w:hanging="380"/>
      </w:pPr>
      <w:r>
        <w:rPr>
          <w:rStyle w:val="Zkladntext"/>
        </w:rPr>
        <w:t xml:space="preserve">Dáno ve dvou originálních písemných vyhotoveních, z nichž každá ze smluvních stran </w:t>
      </w:r>
      <w:r>
        <w:rPr>
          <w:rStyle w:val="Zkladntext"/>
        </w:rPr>
        <w:t>obdrží po jednom.</w:t>
      </w:r>
    </w:p>
    <w:p w:rsidR="00BF6816" w:rsidRDefault="001428BB">
      <w:pPr>
        <w:pStyle w:val="Zkladntext1"/>
        <w:spacing w:after="120" w:line="240" w:lineRule="auto"/>
        <w:ind w:firstLine="680"/>
      </w:pPr>
      <w:r>
        <w:rPr>
          <w:noProof/>
          <w:lang w:bidi="ar-SA"/>
        </w:rPr>
        <mc:AlternateContent>
          <mc:Choice Requires="wps">
            <w:drawing>
              <wp:anchor distT="0" distB="2024380" distL="114300" distR="1836420" simplePos="0" relativeHeight="125829378" behindDoc="0" locked="0" layoutInCell="1" allowOverlap="1">
                <wp:simplePos x="0" y="0"/>
                <wp:positionH relativeFrom="page">
                  <wp:posOffset>1021715</wp:posOffset>
                </wp:positionH>
                <wp:positionV relativeFrom="margin">
                  <wp:posOffset>2018030</wp:posOffset>
                </wp:positionV>
                <wp:extent cx="810895" cy="1765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6816" w:rsidRDefault="001428BB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V Brně </w:t>
                            </w:r>
                            <w:proofErr w:type="gramStart"/>
                            <w:r>
                              <w:rPr>
                                <w:rStyle w:val="Zkladntext"/>
                              </w:rPr>
                              <w:t>dne ...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0.450000000000003pt;margin-top:158.90000000000001pt;width:63.850000000000001pt;height:13.9pt;z-index:-125829375;mso-wrap-distance-left:9.pt;mso-wrap-distance-right:144.59999999999999pt;mso-wrap-distance-bottom:159.4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 ...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551815" distB="231775" distL="129540" distR="114300" simplePos="0" relativeHeight="125829380" behindDoc="0" locked="0" layoutInCell="1" allowOverlap="1">
            <wp:simplePos x="0" y="0"/>
            <wp:positionH relativeFrom="page">
              <wp:posOffset>1036955</wp:posOffset>
            </wp:positionH>
            <wp:positionV relativeFrom="margin">
              <wp:posOffset>2569845</wp:posOffset>
            </wp:positionV>
            <wp:extent cx="2517775" cy="142049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1777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1028065</wp:posOffset>
                </wp:positionH>
                <wp:positionV relativeFrom="margin">
                  <wp:posOffset>4060190</wp:posOffset>
                </wp:positionV>
                <wp:extent cx="1941830" cy="1587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6816" w:rsidRDefault="001428BB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  <w:b/>
                                <w:bCs/>
                              </w:rPr>
                              <w:t>Příloha č. 1 Specifikace, ceník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0.950000000000003pt;margin-top:319.69999999999999pt;width:152.90000000000001pt;height:12.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Příloha č. 1 Specifikace, ceník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Style w:val="Zkladntext"/>
        </w:rPr>
        <w:t xml:space="preserve">V Praze dne </w:t>
      </w:r>
      <w:proofErr w:type="gramStart"/>
      <w:r>
        <w:rPr>
          <w:rStyle w:val="Zkladntext"/>
        </w:rPr>
        <w:t>29.6. 2022</w:t>
      </w:r>
      <w:proofErr w:type="gramEnd"/>
    </w:p>
    <w:p w:rsidR="00BF6816" w:rsidRDefault="001428BB">
      <w:pPr>
        <w:pStyle w:val="Zkladntext20"/>
      </w:pPr>
      <w:proofErr w:type="gramStart"/>
      <w:r>
        <w:rPr>
          <w:rStyle w:val="Zkladntext2"/>
          <w:spacing w:val="6"/>
          <w:sz w:val="30"/>
          <w:szCs w:val="30"/>
          <w:shd w:val="clear" w:color="auto" w:fill="000000"/>
        </w:rPr>
        <w:t>.........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hd w:val="clear" w:color="auto" w:fill="000000"/>
        </w:rPr>
        <w:t>.......</w:t>
      </w:r>
      <w:r>
        <w:rPr>
          <w:rStyle w:val="Zkladntext2"/>
          <w:spacing w:val="1"/>
          <w:shd w:val="clear" w:color="auto" w:fill="000000"/>
        </w:rPr>
        <w:t>........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2"/>
          <w:shd w:val="clear" w:color="auto" w:fill="000000"/>
        </w:rPr>
        <w:t>........</w:t>
      </w:r>
      <w:r>
        <w:rPr>
          <w:rStyle w:val="Zkladntext2"/>
          <w:spacing w:val="3"/>
          <w:shd w:val="clear" w:color="auto" w:fill="000000"/>
        </w:rPr>
        <w:t>......</w:t>
      </w:r>
      <w:r>
        <w:rPr>
          <w:rStyle w:val="Zkladntext2"/>
        </w:rPr>
        <w:t xml:space="preserve"> </w:t>
      </w:r>
      <w:r>
        <w:rPr>
          <w:rStyle w:val="Zkladntext2"/>
          <w:sz w:val="30"/>
          <w:szCs w:val="30"/>
          <w:shd w:val="clear" w:color="auto" w:fill="000000"/>
        </w:rPr>
        <w:t>​</w:t>
      </w:r>
      <w:r>
        <w:rPr>
          <w:rStyle w:val="Zkladntext2"/>
          <w:spacing w:val="1"/>
          <w:sz w:val="30"/>
          <w:szCs w:val="30"/>
          <w:shd w:val="clear" w:color="auto" w:fill="000000"/>
        </w:rPr>
        <w:t>....</w:t>
      </w:r>
      <w:r>
        <w:rPr>
          <w:rStyle w:val="Zkladntext2"/>
          <w:spacing w:val="2"/>
          <w:sz w:val="30"/>
          <w:szCs w:val="30"/>
          <w:shd w:val="clear" w:color="auto" w:fill="000000"/>
        </w:rPr>
        <w:t>.....</w:t>
      </w:r>
      <w:r>
        <w:rPr>
          <w:rStyle w:val="Zkladntext2"/>
          <w:sz w:val="30"/>
          <w:szCs w:val="30"/>
          <w:shd w:val="clear" w:color="auto" w:fill="000000"/>
        </w:rPr>
        <w:t>​</w:t>
      </w:r>
      <w:r>
        <w:rPr>
          <w:rStyle w:val="Zkladntext2"/>
          <w:spacing w:val="6"/>
          <w:sz w:val="30"/>
          <w:szCs w:val="30"/>
          <w:shd w:val="clear" w:color="auto" w:fill="000000"/>
        </w:rPr>
        <w:t>..</w:t>
      </w:r>
      <w:r>
        <w:rPr>
          <w:rStyle w:val="Zkladntext2"/>
          <w:spacing w:val="7"/>
          <w:sz w:val="30"/>
          <w:szCs w:val="30"/>
          <w:shd w:val="clear" w:color="auto" w:fill="000000"/>
        </w:rPr>
        <w:t>......</w:t>
      </w:r>
      <w:r>
        <w:rPr>
          <w:rStyle w:val="Zkladntext2"/>
          <w:shd w:val="clear" w:color="auto" w:fill="000000"/>
          <w:vertAlign w:val="subscript"/>
        </w:rPr>
        <w:t>​</w:t>
      </w:r>
      <w:r>
        <w:rPr>
          <w:rStyle w:val="Zkladntext2"/>
          <w:shd w:val="clear" w:color="auto" w:fill="000000"/>
          <w:vertAlign w:val="subscript"/>
        </w:rPr>
        <w:t>.</w:t>
      </w:r>
      <w:r>
        <w:rPr>
          <w:rStyle w:val="Zkladntext2"/>
          <w:spacing w:val="1"/>
          <w:shd w:val="clear" w:color="auto" w:fill="000000"/>
          <w:vertAlign w:val="subscript"/>
        </w:rPr>
        <w:t>.....</w:t>
      </w:r>
      <w:r>
        <w:rPr>
          <w:rStyle w:val="Zkladntext2"/>
          <w:shd w:val="clear" w:color="auto" w:fill="000000"/>
        </w:rPr>
        <w:t>.​</w:t>
      </w:r>
      <w:r>
        <w:rPr>
          <w:rStyle w:val="Zkladntext2"/>
          <w:spacing w:val="3"/>
          <w:shd w:val="clear" w:color="auto" w:fill="000000"/>
        </w:rPr>
        <w:t>.....</w:t>
      </w:r>
      <w:r>
        <w:rPr>
          <w:rStyle w:val="Zkladntext2"/>
          <w:spacing w:val="4"/>
          <w:shd w:val="clear" w:color="auto" w:fill="000000"/>
        </w:rPr>
        <w:t>....</w:t>
      </w:r>
      <w:r>
        <w:rPr>
          <w:rStyle w:val="Zkladntext2"/>
          <w:shd w:val="clear" w:color="auto" w:fill="000000"/>
        </w:rPr>
        <w:t>​</w:t>
      </w:r>
      <w:r>
        <w:rPr>
          <w:rStyle w:val="Zkladntext2"/>
          <w:spacing w:val="1"/>
          <w:shd w:val="clear" w:color="auto" w:fill="000000"/>
        </w:rPr>
        <w:t>............</w:t>
      </w:r>
      <w:r>
        <w:rPr>
          <w:rStyle w:val="Zkladntext2"/>
          <w:spacing w:val="2"/>
          <w:shd w:val="clear" w:color="auto" w:fill="000000"/>
        </w:rPr>
        <w:t>..</w:t>
      </w:r>
      <w:r>
        <w:rPr>
          <w:rStyle w:val="Zkladntext2"/>
        </w:rPr>
        <w:t xml:space="preserve"> </w:t>
      </w:r>
      <w:r>
        <w:rPr>
          <w:rStyle w:val="Zkladntext2"/>
          <w:sz w:val="30"/>
          <w:szCs w:val="30"/>
          <w:shd w:val="clear" w:color="auto" w:fill="000000"/>
        </w:rPr>
        <w:t>​</w:t>
      </w:r>
      <w:r>
        <w:rPr>
          <w:rStyle w:val="Zkladntext2"/>
          <w:sz w:val="30"/>
          <w:szCs w:val="30"/>
          <w:shd w:val="clear" w:color="auto" w:fill="000000"/>
        </w:rPr>
        <w:t>...........</w:t>
      </w:r>
      <w:r>
        <w:rPr>
          <w:rStyle w:val="Zkladntext2"/>
          <w:spacing w:val="1"/>
          <w:sz w:val="30"/>
          <w:szCs w:val="30"/>
          <w:shd w:val="clear" w:color="auto" w:fill="000000"/>
        </w:rPr>
        <w:t>........</w:t>
      </w:r>
      <w:r>
        <w:rPr>
          <w:rStyle w:val="Zkladntext2"/>
          <w:shd w:val="clear" w:color="auto" w:fill="000000"/>
          <w:vertAlign w:val="subscript"/>
        </w:rPr>
        <w:t>​</w:t>
      </w:r>
      <w:r>
        <w:rPr>
          <w:rStyle w:val="Zkladntext2"/>
          <w:shd w:val="clear" w:color="auto" w:fill="000000"/>
          <w:vertAlign w:val="subscript"/>
        </w:rPr>
        <w:t>..</w:t>
      </w:r>
      <w:r>
        <w:rPr>
          <w:rStyle w:val="Zkladntext2"/>
          <w:spacing w:val="8"/>
          <w:shd w:val="clear" w:color="auto" w:fill="000000"/>
          <w:vertAlign w:val="superscript"/>
        </w:rPr>
        <w:t>.</w:t>
      </w:r>
      <w:r>
        <w:rPr>
          <w:rStyle w:val="Zkladntext2"/>
          <w:spacing w:val="9"/>
          <w:shd w:val="clear" w:color="auto" w:fill="000000"/>
          <w:vertAlign w:val="superscript"/>
        </w:rPr>
        <w:t>.</w:t>
      </w:r>
      <w:r>
        <w:rPr>
          <w:rStyle w:val="Zkladntext2"/>
          <w:shd w:val="clear" w:color="auto" w:fill="000000"/>
          <w:vertAlign w:val="subscript"/>
        </w:rPr>
        <w:t>..</w:t>
      </w:r>
      <w:r>
        <w:rPr>
          <w:rStyle w:val="Zkladntext2"/>
          <w:spacing w:val="9"/>
          <w:shd w:val="clear" w:color="auto" w:fill="000000"/>
        </w:rPr>
        <w:t>.</w:t>
      </w:r>
      <w:r>
        <w:rPr>
          <w:rStyle w:val="Zkladntext2"/>
          <w:spacing w:val="12"/>
          <w:shd w:val="clear" w:color="auto" w:fill="000000"/>
        </w:rPr>
        <w:t>.</w:t>
      </w:r>
      <w:r>
        <w:rPr>
          <w:rStyle w:val="Zkladntext2"/>
          <w:spacing w:val="13"/>
          <w:shd w:val="clear" w:color="auto" w:fill="000000"/>
        </w:rPr>
        <w:t>.</w:t>
      </w:r>
      <w:proofErr w:type="gramEnd"/>
    </w:p>
    <w:p w:rsidR="00BF6816" w:rsidRDefault="001428BB">
      <w:pPr>
        <w:pStyle w:val="Zkladntext1"/>
        <w:spacing w:after="280"/>
        <w:ind w:left="680" w:firstLine="20"/>
        <w:sectPr w:rsidR="00BF6816">
          <w:footerReference w:type="default" r:id="rId8"/>
          <w:pgSz w:w="11900" w:h="16840"/>
          <w:pgMar w:top="292" w:right="1541" w:bottom="1972" w:left="1609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 xml:space="preserve">Mgr. Hana Bambulová, MBA, členka představenstva </w:t>
      </w:r>
      <w:r>
        <w:rPr>
          <w:rStyle w:val="Zkladntext"/>
          <w:b/>
          <w:bCs/>
        </w:rPr>
        <w:t>Prodávající</w:t>
      </w:r>
    </w:p>
    <w:p w:rsidR="00BF6816" w:rsidRDefault="001428BB">
      <w:pPr>
        <w:pStyle w:val="Zkladntext1"/>
        <w:spacing w:after="160" w:line="240" w:lineRule="auto"/>
        <w:rPr>
          <w:sz w:val="18"/>
          <w:szCs w:val="18"/>
        </w:rPr>
      </w:pPr>
      <w:r>
        <w:rPr>
          <w:rStyle w:val="Zkladntext"/>
          <w:i/>
          <w:iCs/>
          <w:sz w:val="18"/>
          <w:szCs w:val="18"/>
        </w:rPr>
        <w:lastRenderedPageBreak/>
        <w:t>Příloha č. 1</w:t>
      </w:r>
    </w:p>
    <w:p w:rsidR="00BF6816" w:rsidRDefault="001428BB">
      <w:pPr>
        <w:pStyle w:val="Titulektabulky0"/>
        <w:ind w:left="3494"/>
      </w:pPr>
      <w:r>
        <w:rPr>
          <w:rStyle w:val="Titulektabulky"/>
          <w:b/>
          <w:bCs/>
        </w:rPr>
        <w:t xml:space="preserve">Specifikace, </w:t>
      </w:r>
      <w:proofErr w:type="spellStart"/>
      <w:r>
        <w:rPr>
          <w:rStyle w:val="Titulektabulky"/>
          <w:b/>
          <w:bCs/>
        </w:rPr>
        <w:t>cenik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7051"/>
      </w:tblGrid>
      <w:tr w:rsidR="00BF681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Digitální teploměr Braun</w:t>
            </w:r>
            <w:r>
              <w:rPr>
                <w:rStyle w:val="Jin"/>
                <w:b/>
                <w:bCs/>
              </w:rPr>
              <w:t xml:space="preserve"> IRT 6520 </w:t>
            </w:r>
            <w:proofErr w:type="spellStart"/>
            <w:r>
              <w:rPr>
                <w:rStyle w:val="Jin"/>
                <w:b/>
                <w:bCs/>
              </w:rPr>
              <w:t>ThermoScan</w:t>
            </w:r>
            <w:proofErr w:type="spellEnd"/>
            <w:r>
              <w:rPr>
                <w:rStyle w:val="Jin"/>
                <w:b/>
                <w:bCs/>
              </w:rPr>
              <w:t xml:space="preserve">® 7 Age </w:t>
            </w:r>
            <w:proofErr w:type="spellStart"/>
            <w:r>
              <w:rPr>
                <w:rStyle w:val="Jin"/>
                <w:b/>
                <w:bCs/>
              </w:rPr>
              <w:t>Precision</w:t>
            </w:r>
            <w:proofErr w:type="spellEnd"/>
            <w:r>
              <w:rPr>
                <w:rStyle w:val="Jin"/>
                <w:b/>
                <w:bCs/>
              </w:rPr>
              <w:t>®</w:t>
            </w:r>
          </w:p>
        </w:tc>
      </w:tr>
      <w:tr w:rsidR="00BF681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Výrobce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Braun</w:t>
            </w:r>
          </w:p>
        </w:tc>
      </w:tr>
      <w:tr w:rsidR="00BF681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Kód produktu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816" w:rsidRDefault="001428BB">
            <w:pPr>
              <w:pStyle w:val="Jin0"/>
              <w:spacing w:after="0" w:line="240" w:lineRule="auto"/>
            </w:pPr>
            <w:r>
              <w:rPr>
                <w:rStyle w:val="Jin"/>
              </w:rPr>
              <w:t>IRT 6520</w:t>
            </w:r>
          </w:p>
        </w:tc>
      </w:tr>
      <w:tr w:rsidR="00BF6816">
        <w:tblPrEx>
          <w:tblCellMar>
            <w:top w:w="0" w:type="dxa"/>
            <w:bottom w:w="0" w:type="dxa"/>
          </w:tblCellMar>
        </w:tblPrEx>
        <w:trPr>
          <w:trHeight w:hRule="exact" w:val="386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816" w:rsidRDefault="001428BB">
            <w:pPr>
              <w:pStyle w:val="Jin0"/>
              <w:spacing w:before="120" w:after="0" w:line="240" w:lineRule="auto"/>
            </w:pPr>
            <w:r>
              <w:rPr>
                <w:rStyle w:val="Jin"/>
                <w:b/>
                <w:bCs/>
              </w:rPr>
              <w:t>Popis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16" w:rsidRDefault="001428BB">
            <w:pPr>
              <w:pStyle w:val="Jin0"/>
              <w:numPr>
                <w:ilvl w:val="0"/>
                <w:numId w:val="2"/>
              </w:numPr>
              <w:tabs>
                <w:tab w:val="left" w:pos="206"/>
              </w:tabs>
              <w:spacing w:after="0"/>
              <w:ind w:left="240" w:hanging="240"/>
            </w:pPr>
            <w:r>
              <w:rPr>
                <w:rStyle w:val="Jin"/>
              </w:rPr>
              <w:t xml:space="preserve">Braun IRT 6520 ušní teploměr s technologií "Age </w:t>
            </w:r>
            <w:proofErr w:type="spellStart"/>
            <w:r>
              <w:rPr>
                <w:rStyle w:val="Jin"/>
              </w:rPr>
              <w:t>Precision</w:t>
            </w:r>
            <w:proofErr w:type="spellEnd"/>
            <w:r>
              <w:rPr>
                <w:rStyle w:val="Jin"/>
              </w:rPr>
              <w:t>" s možností nastavení věkové kategorie,</w:t>
            </w:r>
          </w:p>
          <w:p w:rsidR="00BF6816" w:rsidRDefault="001428BB">
            <w:pPr>
              <w:pStyle w:val="Jin0"/>
              <w:numPr>
                <w:ilvl w:val="0"/>
                <w:numId w:val="2"/>
              </w:numPr>
              <w:tabs>
                <w:tab w:val="left" w:pos="206"/>
              </w:tabs>
              <w:spacing w:after="0"/>
            </w:pPr>
            <w:r>
              <w:rPr>
                <w:rStyle w:val="Jin"/>
              </w:rPr>
              <w:t>rozmezí nastavení věku je 0-3 měsíce, 3-36 měsíců, 36 měsíců a více,</w:t>
            </w:r>
          </w:p>
          <w:p w:rsidR="00BF6816" w:rsidRDefault="001428BB">
            <w:pPr>
              <w:pStyle w:val="Jin0"/>
              <w:numPr>
                <w:ilvl w:val="0"/>
                <w:numId w:val="2"/>
              </w:numPr>
              <w:tabs>
                <w:tab w:val="left" w:pos="206"/>
              </w:tabs>
              <w:spacing w:after="0"/>
            </w:pPr>
            <w:r>
              <w:rPr>
                <w:rStyle w:val="Jin"/>
              </w:rPr>
              <w:t>nejpřesnější teploměr díky předehřívané měřící sondě,</w:t>
            </w:r>
          </w:p>
          <w:p w:rsidR="00BF6816" w:rsidRDefault="001428BB">
            <w:pPr>
              <w:pStyle w:val="Jin0"/>
              <w:numPr>
                <w:ilvl w:val="0"/>
                <w:numId w:val="2"/>
              </w:numPr>
              <w:tabs>
                <w:tab w:val="left" w:pos="206"/>
              </w:tabs>
              <w:spacing w:after="0"/>
              <w:ind w:left="240" w:hanging="240"/>
            </w:pPr>
            <w:r>
              <w:rPr>
                <w:rStyle w:val="Jin"/>
              </w:rPr>
              <w:t>teploměr je vybaven velkým podsvíceným LCD displejem pro snadné přečtení teploty v průběhu noci,</w:t>
            </w:r>
          </w:p>
          <w:p w:rsidR="00BF6816" w:rsidRDefault="001428BB">
            <w:pPr>
              <w:pStyle w:val="Jin0"/>
              <w:numPr>
                <w:ilvl w:val="0"/>
                <w:numId w:val="2"/>
              </w:numPr>
              <w:tabs>
                <w:tab w:val="left" w:pos="206"/>
              </w:tabs>
              <w:spacing w:after="0"/>
              <w:ind w:left="240" w:hanging="240"/>
            </w:pPr>
            <w:proofErr w:type="spellStart"/>
            <w:r>
              <w:rPr>
                <w:rStyle w:val="Jin"/>
              </w:rPr>
              <w:t>ExacTemp</w:t>
            </w:r>
            <w:proofErr w:type="spellEnd"/>
            <w:r>
              <w:rPr>
                <w:rStyle w:val="Jin"/>
              </w:rPr>
              <w:t>™ průvodce pro přesné odečtení teploty se světelnou a zvukovou signalizací,</w:t>
            </w:r>
          </w:p>
          <w:p w:rsidR="00BF6816" w:rsidRDefault="001428BB">
            <w:pPr>
              <w:pStyle w:val="Jin0"/>
              <w:numPr>
                <w:ilvl w:val="0"/>
                <w:numId w:val="2"/>
              </w:numPr>
              <w:tabs>
                <w:tab w:val="left" w:pos="206"/>
              </w:tabs>
              <w:spacing w:after="0"/>
              <w:ind w:left="240" w:hanging="240"/>
            </w:pPr>
            <w:r>
              <w:rPr>
                <w:rStyle w:val="Jin"/>
              </w:rPr>
              <w:t>teploměr disponuje pa</w:t>
            </w:r>
            <w:r>
              <w:rPr>
                <w:rStyle w:val="Jin"/>
              </w:rPr>
              <w:t>mětí, do které lze uložit posledních 9 měření,</w:t>
            </w:r>
          </w:p>
          <w:p w:rsidR="00BF6816" w:rsidRDefault="001428BB">
            <w:pPr>
              <w:pStyle w:val="Jin0"/>
              <w:numPr>
                <w:ilvl w:val="0"/>
                <w:numId w:val="2"/>
              </w:numPr>
              <w:tabs>
                <w:tab w:val="left" w:pos="206"/>
              </w:tabs>
              <w:spacing w:after="0"/>
              <w:ind w:left="240" w:hanging="240"/>
            </w:pPr>
            <w:r>
              <w:rPr>
                <w:rStyle w:val="Jin"/>
              </w:rPr>
              <w:t>součástí jsou hygienické jednorázové krytky pro zachování maximální čistoty měřící sondy,</w:t>
            </w:r>
          </w:p>
          <w:p w:rsidR="00BF6816" w:rsidRDefault="001428BB">
            <w:pPr>
              <w:pStyle w:val="Jin0"/>
              <w:numPr>
                <w:ilvl w:val="0"/>
                <w:numId w:val="2"/>
              </w:numPr>
              <w:tabs>
                <w:tab w:val="left" w:pos="206"/>
              </w:tabs>
              <w:spacing w:after="0"/>
              <w:ind w:left="240" w:hanging="240"/>
            </w:pPr>
            <w:r>
              <w:rPr>
                <w:rStyle w:val="Jin"/>
              </w:rPr>
              <w:t>balení obsahuje pouzdro na uložení teploměru,</w:t>
            </w:r>
          </w:p>
          <w:p w:rsidR="00BF6816" w:rsidRDefault="001428BB">
            <w:pPr>
              <w:pStyle w:val="Jin0"/>
              <w:numPr>
                <w:ilvl w:val="0"/>
                <w:numId w:val="2"/>
              </w:numPr>
              <w:tabs>
                <w:tab w:val="left" w:pos="206"/>
              </w:tabs>
              <w:spacing w:after="0"/>
            </w:pPr>
            <w:r>
              <w:rPr>
                <w:rStyle w:val="Jin"/>
              </w:rPr>
              <w:t>napájení pomocí AA baterií,</w:t>
            </w:r>
          </w:p>
          <w:p w:rsidR="00BF6816" w:rsidRDefault="001428BB">
            <w:pPr>
              <w:pStyle w:val="Jin0"/>
              <w:numPr>
                <w:ilvl w:val="0"/>
                <w:numId w:val="2"/>
              </w:numPr>
              <w:tabs>
                <w:tab w:val="left" w:pos="206"/>
              </w:tabs>
              <w:spacing w:after="0"/>
            </w:pPr>
            <w:r>
              <w:rPr>
                <w:rStyle w:val="Jin"/>
              </w:rPr>
              <w:t>baterie jsou součástí balení.</w:t>
            </w:r>
          </w:p>
        </w:tc>
      </w:tr>
    </w:tbl>
    <w:p w:rsidR="00BF6816" w:rsidRDefault="00BF6816">
      <w:pPr>
        <w:spacing w:after="4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1512"/>
        <w:gridCol w:w="874"/>
        <w:gridCol w:w="1574"/>
        <w:gridCol w:w="1574"/>
      </w:tblGrid>
      <w:tr w:rsidR="00BF681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6816" w:rsidRDefault="001428BB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Název výrobku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6816" w:rsidRDefault="001428BB">
            <w:pPr>
              <w:pStyle w:val="Jin0"/>
              <w:spacing w:after="0" w:line="259" w:lineRule="auto"/>
              <w:jc w:val="center"/>
            </w:pPr>
            <w:r>
              <w:rPr>
                <w:rStyle w:val="Jin"/>
                <w:b/>
                <w:bCs/>
              </w:rPr>
              <w:t>Cena za 1 kus v Kč bez DPH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6816" w:rsidRDefault="001428BB">
            <w:pPr>
              <w:pStyle w:val="Jin0"/>
              <w:spacing w:after="0" w:line="259" w:lineRule="auto"/>
              <w:jc w:val="center"/>
            </w:pPr>
            <w:r>
              <w:rPr>
                <w:rStyle w:val="Jin"/>
                <w:b/>
                <w:bCs/>
              </w:rPr>
              <w:t>Počet ks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6816" w:rsidRDefault="001428BB">
            <w:pPr>
              <w:pStyle w:val="Jin0"/>
              <w:spacing w:after="0" w:line="264" w:lineRule="auto"/>
              <w:jc w:val="center"/>
            </w:pPr>
            <w:r>
              <w:rPr>
                <w:rStyle w:val="Jin"/>
                <w:b/>
                <w:bCs/>
              </w:rPr>
              <w:t>Cena celkem v Kč bez DPH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16" w:rsidRDefault="001428BB">
            <w:pPr>
              <w:pStyle w:val="Jin0"/>
              <w:spacing w:after="0" w:line="259" w:lineRule="auto"/>
              <w:jc w:val="center"/>
            </w:pPr>
            <w:r>
              <w:rPr>
                <w:rStyle w:val="Jin"/>
                <w:b/>
                <w:bCs/>
              </w:rPr>
              <w:t>Cena celkem v Kč vč. DPH</w:t>
            </w:r>
          </w:p>
        </w:tc>
      </w:tr>
      <w:tr w:rsidR="00BF6816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816" w:rsidRDefault="001428BB">
            <w:pPr>
              <w:pStyle w:val="Jin0"/>
              <w:spacing w:after="0" w:line="259" w:lineRule="auto"/>
            </w:pPr>
            <w:r>
              <w:rPr>
                <w:rStyle w:val="Jin"/>
                <w:b/>
                <w:bCs/>
              </w:rPr>
              <w:t xml:space="preserve">Digitální teploměr Braun IRT 6520 </w:t>
            </w:r>
            <w:proofErr w:type="spellStart"/>
            <w:r>
              <w:rPr>
                <w:rStyle w:val="Jin"/>
                <w:b/>
                <w:bCs/>
              </w:rPr>
              <w:t>ThermoScan</w:t>
            </w:r>
            <w:proofErr w:type="spellEnd"/>
            <w:r>
              <w:rPr>
                <w:rStyle w:val="Jin"/>
                <w:b/>
                <w:bCs/>
              </w:rPr>
              <w:t xml:space="preserve">® 7 Age </w:t>
            </w:r>
            <w:proofErr w:type="spellStart"/>
            <w:r>
              <w:rPr>
                <w:rStyle w:val="Jin"/>
                <w:b/>
                <w:bCs/>
              </w:rPr>
              <w:t>Precision</w:t>
            </w:r>
            <w:proofErr w:type="spellEnd"/>
            <w:r>
              <w:rPr>
                <w:rStyle w:val="Jin"/>
                <w:b/>
                <w:bCs/>
              </w:rPr>
              <w:t>®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816" w:rsidRDefault="001428BB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1231,40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816" w:rsidRDefault="001428BB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816" w:rsidRDefault="001428BB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80 041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16" w:rsidRDefault="001428BB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</w:rPr>
              <w:t>96 850</w:t>
            </w:r>
          </w:p>
        </w:tc>
      </w:tr>
    </w:tbl>
    <w:p w:rsidR="001428BB" w:rsidRDefault="001428BB"/>
    <w:sectPr w:rsidR="001428BB">
      <w:pgSz w:w="11900" w:h="16840"/>
      <w:pgMar w:top="1100" w:right="1568" w:bottom="1239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BB" w:rsidRDefault="001428BB">
      <w:r>
        <w:separator/>
      </w:r>
    </w:p>
  </w:endnote>
  <w:endnote w:type="continuationSeparator" w:id="0">
    <w:p w:rsidR="001428BB" w:rsidRDefault="0014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16" w:rsidRDefault="001428B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1052195</wp:posOffset>
              </wp:positionH>
              <wp:positionV relativeFrom="page">
                <wp:posOffset>9911715</wp:posOffset>
              </wp:positionV>
              <wp:extent cx="1691640" cy="1155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6816" w:rsidRDefault="001428BB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VZ 24_2022 Digitální teploměry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2.850000000000009pt;margin-top:780.45000000000005pt;width:133.19999999999999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VZ 24_2022 Digitální teploměry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BB" w:rsidRDefault="001428BB"/>
  </w:footnote>
  <w:footnote w:type="continuationSeparator" w:id="0">
    <w:p w:rsidR="001428BB" w:rsidRDefault="001428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2E9"/>
    <w:multiLevelType w:val="multilevel"/>
    <w:tmpl w:val="3FECA8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745F44"/>
    <w:multiLevelType w:val="multilevel"/>
    <w:tmpl w:val="F8021D3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16"/>
    <w:rsid w:val="001428BB"/>
    <w:rsid w:val="00BF6816"/>
    <w:rsid w:val="00E7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A7C5B-1F47-46D4-907F-890F26C3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pacing w:after="22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60"/>
      <w:ind w:right="260"/>
      <w:jc w:val="right"/>
      <w:outlineLvl w:val="0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340" w:line="209" w:lineRule="auto"/>
      <w:ind w:left="680" w:firstLine="720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pacing w:after="200"/>
      <w:jc w:val="center"/>
      <w:outlineLvl w:val="1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Jin0">
    <w:name w:val="Jiné"/>
    <w:basedOn w:val="Normln"/>
    <w:link w:val="Jin"/>
    <w:pPr>
      <w:spacing w:after="220" w:line="276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Radmila, DiS.</dc:creator>
  <cp:lastModifiedBy>SEDLÁČKOVÁ Radmila, DiS.</cp:lastModifiedBy>
  <cp:revision>2</cp:revision>
  <dcterms:created xsi:type="dcterms:W3CDTF">2022-07-20T09:55:00Z</dcterms:created>
  <dcterms:modified xsi:type="dcterms:W3CDTF">2022-07-20T09:55:00Z</dcterms:modified>
</cp:coreProperties>
</file>