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F46" w:rsidRPr="00563439" w:rsidRDefault="00740F46" w:rsidP="00740F46">
      <w:pPr>
        <w:spacing w:line="276" w:lineRule="auto"/>
        <w:jc w:val="center"/>
        <w:rPr>
          <w:rFonts w:ascii="Palatino Linotype" w:hAnsi="Palatino Linotype"/>
          <w:b/>
          <w:sz w:val="22"/>
          <w:szCs w:val="22"/>
        </w:rPr>
      </w:pPr>
      <w:r w:rsidRPr="00563439">
        <w:rPr>
          <w:rFonts w:ascii="Palatino Linotype" w:hAnsi="Palatino Linotype"/>
          <w:b/>
          <w:sz w:val="22"/>
          <w:szCs w:val="22"/>
        </w:rPr>
        <w:t>Příloha č. 6 – Požadavky na organizaci a zajištění školení</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Základním cílem je proškolit požadovaný počet uživatelů a správců ICIS před jeho uvedením do provozu a užívání. Další požadavky na přípravu uživatelů na testování, součinnost, seznámení se s dílčími plněními, apod. jsou součástí implementace </w:t>
      </w:r>
      <w:r>
        <w:rPr>
          <w:rFonts w:ascii="Palatino Linotype" w:eastAsia="Calibri" w:hAnsi="Palatino Linotype"/>
          <w:sz w:val="22"/>
          <w:szCs w:val="22"/>
          <w:lang w:eastAsia="en-US"/>
        </w:rPr>
        <w:t>D</w:t>
      </w:r>
      <w:r w:rsidRPr="00D36BD0">
        <w:rPr>
          <w:rFonts w:ascii="Palatino Linotype" w:eastAsia="Calibri" w:hAnsi="Palatino Linotype"/>
          <w:sz w:val="22"/>
          <w:szCs w:val="22"/>
          <w:lang w:eastAsia="en-US"/>
        </w:rPr>
        <w:t>íla a jsou nad rámec rozsahu požadavků na školení.</w:t>
      </w:r>
    </w:p>
    <w:p w:rsidR="00740F46" w:rsidRPr="00D36BD0" w:rsidRDefault="00740F46" w:rsidP="00740F46">
      <w:pPr>
        <w:spacing w:before="120" w:after="120"/>
        <w:ind w:left="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Skupiny uživatelů:</w:t>
      </w:r>
    </w:p>
    <w:p w:rsidR="00740F46" w:rsidRPr="00D36BD0" w:rsidRDefault="00740F46" w:rsidP="00740F46">
      <w:pPr>
        <w:keepNext/>
        <w:keepLines/>
        <w:numPr>
          <w:ilvl w:val="0"/>
          <w:numId w:val="2"/>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gestor - vedoucí pracovník (manažer),</w:t>
      </w:r>
    </w:p>
    <w:p w:rsidR="00740F46" w:rsidRPr="00D36BD0" w:rsidRDefault="00740F46" w:rsidP="00740F46">
      <w:pPr>
        <w:keepNext/>
        <w:keepLines/>
        <w:numPr>
          <w:ilvl w:val="0"/>
          <w:numId w:val="2"/>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správce aplikace a klíčový uživatel za danou oblast,</w:t>
      </w:r>
    </w:p>
    <w:p w:rsidR="00740F46" w:rsidRPr="00D36BD0" w:rsidRDefault="00740F46" w:rsidP="00740F46">
      <w:pPr>
        <w:keepNext/>
        <w:keepLines/>
        <w:numPr>
          <w:ilvl w:val="0"/>
          <w:numId w:val="2"/>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koncový uživatel,</w:t>
      </w:r>
    </w:p>
    <w:p w:rsidR="00740F46" w:rsidRPr="00D36BD0" w:rsidRDefault="00740F46" w:rsidP="00740F46">
      <w:pPr>
        <w:keepNext/>
        <w:keepLines/>
        <w:numPr>
          <w:ilvl w:val="0"/>
          <w:numId w:val="2"/>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správce systému a bezpečnostní správce.</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Počet uživatelů a správců a jejich rozdělení do tematických oblastí bude uveden na základě Plánu školení, který zpracuje Objednatel v součinnosti se Zhotovitelem v příslušné fázi projektu. </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Zhotovitel se zavazuje proškolit skupiny uživatelů a) až d) po 10 osobách po oblastech školení, to je celkem 420 osob. Skupinu b) proškolí Zhotovitel navíc jako lektory, kteří zajistí proškolení dalšího požadovaného počtu osob u Objednatele. </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Objednatel požaduje zajistit dva cykly školení, aby každý zaměstnanec prošel školením minimálně dvakrát.</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Školení gestorů a klíčových uživatelů se bude realizovat v prvním pořadí. Zaměstnanci v rámci těchto školení musí získat přehled o funkcích nového systému, jeho vlivu na stávající organizační strukturu, o nových pracovních postupech, apod.</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Je záměrem aby klíčový uživatel byl schopen zajistit školení skupiny c) primárně z hlediska metodik použití ICIS a správce aplikace pr</w:t>
      </w:r>
      <w:bookmarkStart w:id="0" w:name="_GoBack"/>
      <w:bookmarkEnd w:id="0"/>
      <w:r w:rsidRPr="00D36BD0">
        <w:rPr>
          <w:rFonts w:ascii="Palatino Linotype" w:eastAsia="Calibri" w:hAnsi="Palatino Linotype"/>
          <w:sz w:val="22"/>
          <w:szCs w:val="22"/>
          <w:lang w:eastAsia="en-US"/>
        </w:rPr>
        <w:t>imárně z hlediska ovládání funkcí aplikací ICIS.</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Školení správců systému a bezpečnostních správců se předpokládá realizovat ve druhém pořadí z důvodu získání znalostí ohledně nasazení ICIS (</w:t>
      </w:r>
      <w:r>
        <w:rPr>
          <w:rFonts w:ascii="Palatino Linotype" w:eastAsia="Calibri" w:hAnsi="Palatino Linotype"/>
          <w:sz w:val="22"/>
          <w:szCs w:val="22"/>
          <w:lang w:eastAsia="en-US"/>
        </w:rPr>
        <w:t xml:space="preserve">např. </w:t>
      </w:r>
      <w:r w:rsidRPr="00D36BD0">
        <w:rPr>
          <w:rFonts w:ascii="Palatino Linotype" w:eastAsia="Calibri" w:hAnsi="Palatino Linotype"/>
          <w:sz w:val="22"/>
          <w:szCs w:val="22"/>
          <w:lang w:eastAsia="en-US"/>
        </w:rPr>
        <w:t>převod dat, instalace).</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Školení správců aplikací a koncových uživatelů se předpokládá realizovat v okamžiku, kdy je systém již připraven a naplněn daty.</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Školení klíčových uživatelů a koncových uživatelů je rozděleno podle oblastí. </w:t>
      </w:r>
    </w:p>
    <w:p w:rsidR="00740F46" w:rsidRPr="00D36BD0" w:rsidRDefault="00740F46" w:rsidP="00740F46">
      <w:pPr>
        <w:numPr>
          <w:ilvl w:val="0"/>
          <w:numId w:val="1"/>
        </w:numPr>
        <w:spacing w:before="120" w:after="120"/>
        <w:ind w:left="426" w:hanging="426"/>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Organizace školení: </w:t>
      </w:r>
    </w:p>
    <w:p w:rsidR="00740F46" w:rsidRPr="00D36BD0" w:rsidRDefault="00740F46" w:rsidP="00740F46">
      <w:pPr>
        <w:keepNext/>
        <w:keepLines/>
        <w:numPr>
          <w:ilvl w:val="0"/>
          <w:numId w:val="3"/>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 xml:space="preserve">jeden kurz se skládá z  třídenního školení členěného podle oblastí, </w:t>
      </w:r>
    </w:p>
    <w:p w:rsidR="00740F46" w:rsidRPr="00D36BD0" w:rsidRDefault="00740F46" w:rsidP="00740F46">
      <w:pPr>
        <w:keepNext/>
        <w:keepLines/>
        <w:numPr>
          <w:ilvl w:val="0"/>
          <w:numId w:val="3"/>
        </w:numPr>
        <w:ind w:left="851" w:hanging="425"/>
        <w:jc w:val="both"/>
        <w:rPr>
          <w:rFonts w:ascii="Palatino Linotype" w:eastAsia="Calibri" w:hAnsi="Palatino Linotype"/>
          <w:sz w:val="22"/>
          <w:szCs w:val="22"/>
          <w:lang w:eastAsia="en-US"/>
        </w:rPr>
      </w:pPr>
      <w:r w:rsidRPr="00D36BD0">
        <w:rPr>
          <w:rFonts w:ascii="Palatino Linotype" w:eastAsia="Calibri" w:hAnsi="Palatino Linotype"/>
          <w:sz w:val="22"/>
          <w:szCs w:val="22"/>
          <w:lang w:eastAsia="en-US"/>
        </w:rPr>
        <w:t>počet školených osob na jeden kurz nepřesáhne dvacet,</w:t>
      </w:r>
    </w:p>
    <w:p w:rsidR="0061371B" w:rsidRPr="0061371B" w:rsidRDefault="00740F46" w:rsidP="00740F46">
      <w:pPr>
        <w:keepNext/>
        <w:keepLines/>
        <w:numPr>
          <w:ilvl w:val="0"/>
          <w:numId w:val="3"/>
        </w:numPr>
        <w:ind w:left="851" w:hanging="425"/>
        <w:jc w:val="both"/>
      </w:pPr>
      <w:r w:rsidRPr="0061371B">
        <w:rPr>
          <w:rFonts w:ascii="Palatino Linotype" w:eastAsia="Calibri" w:hAnsi="Palatino Linotype"/>
          <w:sz w:val="22"/>
          <w:szCs w:val="22"/>
          <w:lang w:eastAsia="en-US"/>
        </w:rPr>
        <w:t>školení bude mít minimálně dva cykly,</w:t>
      </w:r>
    </w:p>
    <w:p w:rsidR="007D65F3" w:rsidRDefault="00740F46" w:rsidP="00740F46">
      <w:pPr>
        <w:keepNext/>
        <w:keepLines/>
        <w:numPr>
          <w:ilvl w:val="0"/>
          <w:numId w:val="3"/>
        </w:numPr>
        <w:ind w:left="851" w:hanging="425"/>
        <w:jc w:val="both"/>
      </w:pPr>
      <w:r w:rsidRPr="0061371B">
        <w:rPr>
          <w:rFonts w:ascii="Palatino Linotype" w:eastAsia="Calibri" w:hAnsi="Palatino Linotype"/>
          <w:sz w:val="22"/>
          <w:szCs w:val="22"/>
          <w:lang w:eastAsia="en-US"/>
        </w:rPr>
        <w:t>školení se bude realizovat v sídle Objednatele.</w:t>
      </w:r>
    </w:p>
    <w:sectPr w:rsidR="007D65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18" w:rsidRDefault="00FD5718" w:rsidP="000C345A">
      <w:r>
        <w:separator/>
      </w:r>
    </w:p>
  </w:endnote>
  <w:endnote w:type="continuationSeparator" w:id="0">
    <w:p w:rsidR="00FD5718" w:rsidRDefault="00FD5718" w:rsidP="000C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18" w:rsidRDefault="00FD5718" w:rsidP="000C345A">
      <w:r>
        <w:separator/>
      </w:r>
    </w:p>
  </w:footnote>
  <w:footnote w:type="continuationSeparator" w:id="0">
    <w:p w:rsidR="00FD5718" w:rsidRDefault="00FD5718" w:rsidP="000C3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5A" w:rsidRDefault="000C34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325E"/>
    <w:multiLevelType w:val="hybridMultilevel"/>
    <w:tmpl w:val="2E04A3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036001B"/>
    <w:multiLevelType w:val="hybridMultilevel"/>
    <w:tmpl w:val="590A5A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560556BE"/>
    <w:multiLevelType w:val="hybridMultilevel"/>
    <w:tmpl w:val="590A5A8E"/>
    <w:lvl w:ilvl="0" w:tplc="EBB08476">
      <w:start w:val="1"/>
      <w:numFmt w:val="lowerLetter"/>
      <w:lvlText w:val="%1)"/>
      <w:lvlJc w:val="left"/>
      <w:pPr>
        <w:ind w:left="720" w:hanging="360"/>
      </w:pPr>
    </w:lvl>
    <w:lvl w:ilvl="1" w:tplc="15B2D456">
      <w:start w:val="1"/>
      <w:numFmt w:val="lowerLetter"/>
      <w:lvlText w:val="%2."/>
      <w:lvlJc w:val="left"/>
      <w:pPr>
        <w:ind w:left="1440" w:hanging="360"/>
      </w:pPr>
    </w:lvl>
    <w:lvl w:ilvl="2" w:tplc="74B48036">
      <w:start w:val="1"/>
      <w:numFmt w:val="lowerRoman"/>
      <w:lvlText w:val="%3."/>
      <w:lvlJc w:val="right"/>
      <w:pPr>
        <w:ind w:left="2160" w:hanging="180"/>
      </w:pPr>
    </w:lvl>
    <w:lvl w:ilvl="3" w:tplc="0958D536">
      <w:start w:val="1"/>
      <w:numFmt w:val="decimal"/>
      <w:lvlText w:val="%4."/>
      <w:lvlJc w:val="left"/>
      <w:pPr>
        <w:ind w:left="2880" w:hanging="360"/>
      </w:pPr>
    </w:lvl>
    <w:lvl w:ilvl="4" w:tplc="F158770A">
      <w:start w:val="1"/>
      <w:numFmt w:val="lowerLetter"/>
      <w:lvlText w:val="%5."/>
      <w:lvlJc w:val="left"/>
      <w:pPr>
        <w:ind w:left="3600" w:hanging="360"/>
      </w:pPr>
    </w:lvl>
    <w:lvl w:ilvl="5" w:tplc="4596ED06">
      <w:start w:val="1"/>
      <w:numFmt w:val="lowerRoman"/>
      <w:lvlText w:val="%6."/>
      <w:lvlJc w:val="right"/>
      <w:pPr>
        <w:ind w:left="4320" w:hanging="180"/>
      </w:pPr>
    </w:lvl>
    <w:lvl w:ilvl="6" w:tplc="89B8DCFC">
      <w:start w:val="1"/>
      <w:numFmt w:val="decimal"/>
      <w:lvlText w:val="%7."/>
      <w:lvlJc w:val="left"/>
      <w:pPr>
        <w:ind w:left="5040" w:hanging="360"/>
      </w:pPr>
    </w:lvl>
    <w:lvl w:ilvl="7" w:tplc="5AD88662">
      <w:start w:val="1"/>
      <w:numFmt w:val="lowerLetter"/>
      <w:lvlText w:val="%8."/>
      <w:lvlJc w:val="left"/>
      <w:pPr>
        <w:ind w:left="5760" w:hanging="360"/>
      </w:pPr>
    </w:lvl>
    <w:lvl w:ilvl="8" w:tplc="D87A73E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46"/>
    <w:rsid w:val="000076B4"/>
    <w:rsid w:val="000C345A"/>
    <w:rsid w:val="0061371B"/>
    <w:rsid w:val="00740F46"/>
    <w:rsid w:val="007D65F3"/>
    <w:rsid w:val="00FD5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0F4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345A"/>
    <w:pPr>
      <w:tabs>
        <w:tab w:val="center" w:pos="4536"/>
        <w:tab w:val="right" w:pos="9072"/>
      </w:tabs>
    </w:pPr>
  </w:style>
  <w:style w:type="character" w:customStyle="1" w:styleId="ZhlavChar">
    <w:name w:val="Záhlaví Char"/>
    <w:basedOn w:val="Standardnpsmoodstavce"/>
    <w:link w:val="Zhlav"/>
    <w:uiPriority w:val="99"/>
    <w:rsid w:val="000C345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C345A"/>
    <w:pPr>
      <w:tabs>
        <w:tab w:val="center" w:pos="4536"/>
        <w:tab w:val="right" w:pos="9072"/>
      </w:tabs>
    </w:pPr>
  </w:style>
  <w:style w:type="character" w:customStyle="1" w:styleId="ZpatChar">
    <w:name w:val="Zápatí Char"/>
    <w:basedOn w:val="Standardnpsmoodstavce"/>
    <w:link w:val="Zpat"/>
    <w:uiPriority w:val="99"/>
    <w:rsid w:val="000C345A"/>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0F4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345A"/>
    <w:pPr>
      <w:tabs>
        <w:tab w:val="center" w:pos="4536"/>
        <w:tab w:val="right" w:pos="9072"/>
      </w:tabs>
    </w:pPr>
  </w:style>
  <w:style w:type="character" w:customStyle="1" w:styleId="ZhlavChar">
    <w:name w:val="Záhlaví Char"/>
    <w:basedOn w:val="Standardnpsmoodstavce"/>
    <w:link w:val="Zhlav"/>
    <w:uiPriority w:val="99"/>
    <w:rsid w:val="000C345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C345A"/>
    <w:pPr>
      <w:tabs>
        <w:tab w:val="center" w:pos="4536"/>
        <w:tab w:val="right" w:pos="9072"/>
      </w:tabs>
    </w:pPr>
  </w:style>
  <w:style w:type="character" w:customStyle="1" w:styleId="ZpatChar">
    <w:name w:val="Zápatí Char"/>
    <w:basedOn w:val="Standardnpsmoodstavce"/>
    <w:link w:val="Zpat"/>
    <w:uiPriority w:val="99"/>
    <w:rsid w:val="000C345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1788</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2016-08-05T15:08:00Z</dcterms:created>
  <dcterms:modified xsi:type="dcterms:W3CDTF">2017-03-14T11:15:00Z</dcterms:modified>
</cp:coreProperties>
</file>