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35" w:rsidRDefault="00564E35" w:rsidP="00564E3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563439">
        <w:rPr>
          <w:rFonts w:ascii="Palatino Linotype" w:hAnsi="Palatino Linotype"/>
          <w:b/>
          <w:sz w:val="22"/>
          <w:szCs w:val="22"/>
        </w:rPr>
        <w:t>Příloha č. 5 – Požadavky na převod dat (migraci) a přechod na ICIS</w:t>
      </w:r>
    </w:p>
    <w:p w:rsidR="00564E35" w:rsidRPr="00C92FA3" w:rsidRDefault="00564E35" w:rsidP="00564E35">
      <w:pPr>
        <w:ind w:left="68"/>
        <w:rPr>
          <w:rFonts w:ascii="Palatino Linotype" w:hAnsi="Palatino Linotype"/>
          <w:sz w:val="22"/>
          <w:szCs w:val="22"/>
        </w:rPr>
      </w:pPr>
    </w:p>
    <w:p w:rsidR="00564E35" w:rsidRPr="00C92FA3" w:rsidRDefault="00564E35" w:rsidP="00564E35">
      <w:pPr>
        <w:numPr>
          <w:ilvl w:val="0"/>
          <w:numId w:val="1"/>
        </w:numPr>
        <w:ind w:left="426" w:hanging="426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Vlastní převod dat mezi stávajícími systémy a novým systémem ICIS bude realizován v následujících třech základních fázích:</w:t>
      </w:r>
    </w:p>
    <w:p w:rsidR="00564E35" w:rsidRPr="00C92FA3" w:rsidRDefault="00564E35" w:rsidP="00564E35">
      <w:pPr>
        <w:keepNext/>
        <w:keepLines/>
        <w:numPr>
          <w:ilvl w:val="0"/>
          <w:numId w:val="2"/>
        </w:numPr>
        <w:ind w:left="851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Čištění dat:</w:t>
      </w:r>
    </w:p>
    <w:p w:rsidR="00564E35" w:rsidRPr="00C92FA3" w:rsidRDefault="00564E35" w:rsidP="00564E35">
      <w:pPr>
        <w:numPr>
          <w:ilvl w:val="0"/>
          <w:numId w:val="3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čištění z hlediska obsahové správnosti,</w:t>
      </w:r>
    </w:p>
    <w:p w:rsidR="00564E35" w:rsidRPr="00C92FA3" w:rsidRDefault="00564E35" w:rsidP="00564E35">
      <w:pPr>
        <w:numPr>
          <w:ilvl w:val="0"/>
          <w:numId w:val="3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čištění z hlediska referenční integrity (vazby a duplicity).</w:t>
      </w:r>
    </w:p>
    <w:p w:rsidR="00564E35" w:rsidRPr="00C92FA3" w:rsidRDefault="00564E35" w:rsidP="00564E35">
      <w:pPr>
        <w:numPr>
          <w:ilvl w:val="0"/>
          <w:numId w:val="2"/>
        </w:numPr>
        <w:ind w:left="851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Naplnění Zhotovitelem definovaného rozhraní.</w:t>
      </w:r>
    </w:p>
    <w:p w:rsidR="00564E35" w:rsidRPr="00C92FA3" w:rsidRDefault="00564E35" w:rsidP="00564E35">
      <w:pPr>
        <w:numPr>
          <w:ilvl w:val="0"/>
          <w:numId w:val="2"/>
        </w:numPr>
        <w:ind w:left="851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Naplnění databáze ICIS.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Převod dat bude realizován primárně (nejen) mezi stávajícími systémy IZOP, WOIS a RIS2000 a ICIS. Podrobná specifikace zdrojů dat bude provedena v rámci bodu 4.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Odpovědnost za celý proces převodu (migrace) dat z datových struktur databází systémů dle bodu 2 bude na straně Zhotovitele. Objednatel poskytne na konkrétní písemné vyžádání minimální požadovanou součinnost u fází bodu 1 a) a 1 b).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 xml:space="preserve">V rámci analýzy převodu dat bude Zhotovitelem definován rozsah a stav dat určených k převodu do systému ICIS. 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Všechny fáze převodu se budou několikrát opakovat s cílem provést převod všech dat. Je reálným předpokladem, že při provádění fáze bodu 1 b) nedojde k převodu všech požadovaných dat. Výstupem bude protokol se seznamem chybných dat, který se předá odpovědným subjektům dle této přílohy k vyřešení. Poté se celý cyklus s opravenými daty opakuje.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Při realizaci fáze bodu 1 c) je opět reálným předpokladem, že nedojde k převodu všech požadovaných dat. Výstupem bude opět protokol se seznamem chybných dat, který se předá odpovědným subjektům dle této přílohy k vyřešení. Poté se celý cyklus s opravenými daty opakuje.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Pokud se ani po opakovaném provádění převodu dat nepodaří do konečného termínu požadovaná data převést, budou chybná data označena a v závislosti na jejich rozsahu bude dohodnut další postup.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 xml:space="preserve">Předpokládá se tedy, že ICIS může být převzat do provozu i s určitým procentem chybných dat. Tento krok bude proveden až po akceptaci chybovosti oprávněnými osobami </w:t>
      </w:r>
      <w:r>
        <w:rPr>
          <w:rFonts w:ascii="Palatino Linotype" w:eastAsia="Calibri" w:hAnsi="Palatino Linotype"/>
          <w:sz w:val="22"/>
          <w:szCs w:val="22"/>
          <w:lang w:eastAsia="en-US"/>
        </w:rPr>
        <w:t>S</w:t>
      </w:r>
      <w:r w:rsidRPr="00C92FA3">
        <w:rPr>
          <w:rFonts w:ascii="Palatino Linotype" w:eastAsia="Calibri" w:hAnsi="Palatino Linotype"/>
          <w:sz w:val="22"/>
          <w:szCs w:val="22"/>
          <w:lang w:eastAsia="en-US"/>
        </w:rPr>
        <w:t xml:space="preserve">tran. Termín uvedení ICIS do provozu (viz harmonogram dle přílohy č. 2 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Smlouvy </w:t>
      </w: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a Realizační plán projektu) je limitujícím termínem a do tohoto termínu bude převod dat ukončen.</w:t>
      </w:r>
    </w:p>
    <w:p w:rsidR="00564E35" w:rsidRPr="00C92FA3" w:rsidRDefault="00564E35" w:rsidP="00564E35">
      <w:pPr>
        <w:numPr>
          <w:ilvl w:val="0"/>
          <w:numId w:val="1"/>
        </w:numPr>
        <w:ind w:left="426" w:hanging="426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V průběhu a po ukončení převodu dat Objednatel zpracuje plán organizačních opatření souvisejících s převodem.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V průběhu a po ukončení převodu dat Zhotovitel zpracuje:</w:t>
      </w:r>
    </w:p>
    <w:p w:rsidR="00564E35" w:rsidRPr="00C92FA3" w:rsidRDefault="00564E35" w:rsidP="00564E35">
      <w:pPr>
        <w:numPr>
          <w:ilvl w:val="0"/>
          <w:numId w:val="4"/>
        </w:numPr>
        <w:spacing w:before="120" w:after="12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Zprávu o provedení převodu (migrace) dat, která obsahuje zejména: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datum zahájení převodu,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datum ukončení převodu,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popis průběhu a výsledku převodu,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informace o způsobu konverze dat,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lastRenderedPageBreak/>
        <w:t>informace o způsobu zajištění funkčnosti vnějších vazeb (rozhraní na okolní systémy) na ICIS.</w:t>
      </w:r>
    </w:p>
    <w:p w:rsidR="00564E35" w:rsidRPr="00C92FA3" w:rsidRDefault="00564E35" w:rsidP="00564E35">
      <w:pPr>
        <w:numPr>
          <w:ilvl w:val="0"/>
          <w:numId w:val="4"/>
        </w:numPr>
        <w:spacing w:before="120" w:after="12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Zprávu o implementaci ICIS a konverzi dat, která obsahuje zejména: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popis postupu a výsledků implementace a konverze dat,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popis požadovaných změn,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požadavky na provozní testování SW položek,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pokrytí požadavků na provozní testování testem,</w:t>
      </w:r>
    </w:p>
    <w:p w:rsidR="00564E35" w:rsidRPr="00C92FA3" w:rsidRDefault="00564E35" w:rsidP="00564E35">
      <w:pPr>
        <w:numPr>
          <w:ilvl w:val="0"/>
          <w:numId w:val="5"/>
        </w:numPr>
        <w:tabs>
          <w:tab w:val="num" w:pos="1134"/>
        </w:tabs>
        <w:spacing w:before="120" w:after="120"/>
        <w:ind w:left="1134" w:hanging="357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proveditelnost převzetí systému do provozního užívání.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Cílem této přílohy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Smlouvy</w:t>
      </w:r>
      <w:r w:rsidRPr="00C92FA3">
        <w:rPr>
          <w:rFonts w:ascii="Palatino Linotype" w:eastAsia="Calibri" w:hAnsi="Palatino Linotype"/>
          <w:sz w:val="22"/>
          <w:szCs w:val="22"/>
          <w:lang w:eastAsia="en-US"/>
        </w:rPr>
        <w:t xml:space="preserve"> je určit aktivity, které Zhotovitel zohlední při realizaci ICIS z pohledu zajištění přechodové etapy mezi stávajícími systémy a novým ICIS. V souladu s procesem přechodu na nový ICIS se předpokládá, že Objednatel vypracuje prováděcí plán organizačních úkonů a zabezpečení běžných činnosti a agend, které budou dotčeny procesem přechodu na nový informační systém. K tomu si může Objednatel vyžádat písemné doporučení Zhotovitele, kterým je oprávněn, nikoli však povinen (při zachování všech svých práv) se následně řídit.</w:t>
      </w:r>
    </w:p>
    <w:p w:rsidR="00564E35" w:rsidRPr="00C92FA3" w:rsidRDefault="00564E35" w:rsidP="00564E35">
      <w:pPr>
        <w:numPr>
          <w:ilvl w:val="0"/>
          <w:numId w:val="1"/>
        </w:numPr>
        <w:spacing w:before="120" w:after="120"/>
        <w:ind w:left="425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 xml:space="preserve">Při vlastním přechodu na nový systém ICIS nejde jen o proces migrace dat, jeho detailní naplánování, rozdělení odpovědností za jeho jednotlivé kroky a jejich provedení, ale i o převedení funkcí a procesů do nového prostředí. Dále je popsán podrobněji migrační proces dat, který bude rozdělen do několika fází, a tyto kroky budou mít jednoznačně určenu odpovědnost jednotlivých stran za jejich úspěšné provedení. </w:t>
      </w:r>
    </w:p>
    <w:p w:rsidR="00564E35" w:rsidRPr="00C92FA3" w:rsidRDefault="00564E35" w:rsidP="00564E35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:rsidR="00564E35" w:rsidRPr="00C92FA3" w:rsidRDefault="00564E35" w:rsidP="00564E35">
      <w:pPr>
        <w:ind w:left="426"/>
        <w:rPr>
          <w:rFonts w:ascii="Palatino Linotype" w:eastAsia="Calibri" w:hAnsi="Palatino Linotype"/>
          <w:sz w:val="22"/>
          <w:szCs w:val="22"/>
          <w:lang w:eastAsia="en-US"/>
        </w:rPr>
      </w:pPr>
      <w:r w:rsidRPr="00C92FA3">
        <w:rPr>
          <w:rFonts w:ascii="Palatino Linotype" w:eastAsia="Calibri" w:hAnsi="Palatino Linotype"/>
          <w:sz w:val="22"/>
          <w:szCs w:val="22"/>
          <w:lang w:eastAsia="en-US"/>
        </w:rPr>
        <w:t>Výčet a popis jednotlivých kroků je uveden v následující tabulce: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74"/>
        <w:gridCol w:w="2852"/>
        <w:gridCol w:w="5536"/>
      </w:tblGrid>
      <w:tr w:rsidR="00564E35" w:rsidRPr="00561D77" w:rsidTr="0001380A">
        <w:trPr>
          <w:cantSplit/>
          <w:trHeight w:val="198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:rsidR="00564E35" w:rsidRPr="00561D77" w:rsidRDefault="00564E35" w:rsidP="0001380A">
            <w:p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Název fáze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Popis kroku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Analýza rozsahu a povahy aktualizace údajů v okolních komunikujících systémech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Zhotovitel navrhne a posléze ve spolupráci s Objednatelem a zástupci třetích stran (dodavateli okolních systémů) projednají kroky a požadavky na data potřebná pro bezproblémovou aktualizaci údajů v systémech třetích stran (okolních systémech) pro zajištění hladkého přechodu (CRP, CMÚ apod.).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Analýza datových struktur stávajících systémů.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Zhotovitel navrhne a posléze ve spolupráci s Objednatelem stanoví zdroje, rozsah a výčet migrovaných dat. Na konkrétní vyžádání Objednatel poskytne dokumentaci stávajících datových struktur a vysvětlí význam dat, u nichž to není z fyzické podoby databáze zřejmé. V rámci analýzy musí být mimo jiné i detailně stanoveno „jak stará data budou migrována“, případně jaký rozsah musí být dostupný ihned (například pro tzv. frekvenční kontroly) a jaké budou doplňovány po hlavní migraci a spuštění systému.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564E35">
            <w:pPr>
              <w:numPr>
                <w:ilvl w:val="1"/>
                <w:numId w:val="6"/>
              </w:num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 xml:space="preserve">Mapování na datové struktury ICIS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Zhotovitel připraví popis mapování stávajících datových struktur na nově navržené struktury, „migrační šablony“ pro naplnění daty (např. formou definice struktury CSV nebo DBF souboru), způsoby převodu dat, vypracování mapovacích tabulek a převodových číselníků a můstků, a připraví kontroly, které musí migrované údaje splňovat.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Mapování bude zpracováno z dokumentace a objasnění popsaných v aktivitě A.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Příprava a zprovoznění technologické infrastruktury pro migrační proces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Zhotovitel navrhne a posléze ve spolupráci s Objednatelem dohodne architekturu technologické infrastruktury a veškeré technické podmínky a prostředky (HW, komunikační kanály, přenosové protokoly, datová úložiště, optimální parametry přenosu dat s ohledem na velký objem přenášených dat atd.) potřebné pro realizaci migrace dat. Výše uvedené zpracuje formou metodiky provedení migrace.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Konfigurace, transformace a předání dat pro provedení migrace.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 xml:space="preserve">Zhotovitel zajistí export dat do migračních šablon v datovém úložišti, včetně jejich transformace či úprav nutných k úspěšnému provedení přenosu. 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564E35">
            <w:pPr>
              <w:numPr>
                <w:ilvl w:val="0"/>
                <w:numId w:val="7"/>
              </w:num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Korekce a čištění dat před spuštěním testovací migrace.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Nad datovým úložištěm proběhnou na základě návrhu Zhotovitele a posléze případně ve spolupráci Zhotovitele a Objednatele případné pomocné konverzní, čistící a konsolidační algoritmy. Zejména se čištění bude týkat odstraňování duplicit, vymezení starých a nemigrovaných záznamů apod.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564E35">
            <w:pPr>
              <w:numPr>
                <w:ilvl w:val="0"/>
                <w:numId w:val="8"/>
              </w:num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Testovací migrace.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Následně budou data prostřednictvím programů připravených Zhotovitelem přenesena z migračních šablon do nového systému dohodnutým technickým řešením a způsobem.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Testovací migrace bude vyhodnocena také z pohledu výkonu přenosové infrastruktury a z pohledu celkových časů potřebných na přenesení dat.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564E35">
            <w:pPr>
              <w:numPr>
                <w:ilvl w:val="0"/>
                <w:numId w:val="9"/>
              </w:numPr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Validace testovací migrace a analýza problémových dat.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Poté proběhne kontrola migrovaných dat, identifikace problémů, návrh a dohoda na jejich řešení, příprava na další kolo testování pro ověření dohodnutého řešení.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lastRenderedPageBreak/>
              <w:t>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Příprava na aktualizaci údajů v okolních komunikujících systémech.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Dalším krokem bude příprava, spuštění a kontrola aktualizací údajů v okolních systémech.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Provádění kroků D, E, F a G do odladění všech problémů spojených s migrací.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 xml:space="preserve">Před ostrou migrací Zhotovitel provede několik (minimálně 5 částečných a poté 5 úplných iterací s detailní a důkladnou validací migrovaných dat) dílčích testovacích migrací do testovacího prostředí Objednatele, kde proběhnou testy a ověření správnosti výstupů ze systému (porovnání se stejnými výstupy v původním systému). 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Případný nesoulad s daty v protokolárně předaných migračních šablonách a případný nesoulad dat v migračních šablonách s daty stávajícího systému řeší Zhotovitel.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V rámci této fáze bude ověřen také proces a prostředky pro doplňkové migrace dat.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Ověření, korekce a čištění dat před spuštěním ostré migrace.</w:t>
            </w:r>
          </w:p>
          <w:p w:rsidR="00564E35" w:rsidRPr="00561D77" w:rsidRDefault="00564E35" w:rsidP="0001380A">
            <w:pPr>
              <w:tabs>
                <w:tab w:val="num" w:pos="360"/>
              </w:tabs>
              <w:ind w:left="83" w:hanging="360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tabs>
                <w:tab w:val="num" w:pos="360"/>
              </w:tabs>
              <w:ind w:left="83" w:hanging="360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Závěrečná kontrola připravenosti na ostrou migraci.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Proběhne finální kontrola a korekce dat před jejich importem do ostré databáze ICIS a finální ověření připravenosti migračního procesu před spuštěním ostré migrace.</w:t>
            </w:r>
          </w:p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564E35" w:rsidRPr="00561D77" w:rsidTr="0001380A"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564E35" w:rsidRPr="00561D77" w:rsidRDefault="00564E35" w:rsidP="0001380A">
                  <w:pPr>
                    <w:jc w:val="both"/>
                    <w:rPr>
                      <w:rFonts w:ascii="Palatino Linotype" w:eastAsia="Calibri" w:hAnsi="Palatino Linotype" w:cs="Arial"/>
                      <w:b/>
                      <w:sz w:val="22"/>
                      <w:szCs w:val="22"/>
                      <w:lang w:eastAsia="en-US"/>
                    </w:rPr>
                  </w:pPr>
                  <w:r w:rsidRPr="00561D77">
                    <w:rPr>
                      <w:rFonts w:ascii="Palatino Linotype" w:eastAsia="Calibri" w:hAnsi="Palatino Linotype" w:cs="Arial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Zhotovitel bude odpovědný za naplnění migračních šablon a kontrolu úplnosti a správnost migračních dat, respektive jejich soulad se stávajícím systémem a dále za </w:t>
                  </w:r>
                  <w:r w:rsidRPr="00561D77">
                    <w:rPr>
                      <w:rFonts w:ascii="Palatino Linotype" w:eastAsia="Calibri" w:hAnsi="Palatino Linotype" w:cs="Arial"/>
                      <w:b/>
                      <w:sz w:val="22"/>
                      <w:szCs w:val="22"/>
                      <w:lang w:eastAsia="en-US"/>
                    </w:rPr>
                    <w:t>harmonogram migrací, přípravu migračních a transformačních procedur pro přesun dat připravených v migračních šablonách do cílového systému, tedy za úplnost a správnost importovaných dat ve smyslu souladu s daty v migračních šablonách.</w:t>
                  </w:r>
                </w:p>
              </w:tc>
            </w:tr>
          </w:tbl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564E35" w:rsidRPr="00561D77" w:rsidTr="0001380A"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50021"/>
                  <w:vAlign w:val="center"/>
                  <w:hideMark/>
                </w:tcPr>
                <w:p w:rsidR="00564E35" w:rsidRPr="00561D77" w:rsidRDefault="00564E35" w:rsidP="0001380A">
                  <w:pPr>
                    <w:jc w:val="both"/>
                    <w:rPr>
                      <w:rFonts w:ascii="Palatino Linotype" w:eastAsia="Calibri" w:hAnsi="Palatino Linotype" w:cs="Arial"/>
                      <w:b/>
                      <w:sz w:val="22"/>
                      <w:szCs w:val="22"/>
                      <w:lang w:eastAsia="en-US"/>
                    </w:rPr>
                  </w:pPr>
                  <w:r w:rsidRPr="00561D77">
                    <w:rPr>
                      <w:rFonts w:ascii="Palatino Linotype" w:eastAsia="Calibri" w:hAnsi="Palatino Linotype" w:cs="Arial"/>
                      <w:b/>
                      <w:sz w:val="22"/>
                      <w:szCs w:val="22"/>
                      <w:lang w:eastAsia="en-US"/>
                    </w:rPr>
                    <w:t>Zhotovitel v součinnosti s Objednatelem (na základě písemného doporučení Zhotovitele) vypracuje plán a harmonogram přechodu OZP na ICIS.</w:t>
                  </w:r>
                </w:p>
              </w:tc>
            </w:tr>
          </w:tbl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lastRenderedPageBreak/>
              <w:t>L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Ostrá migrace.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 xml:space="preserve">Zhotovitel provede ostrou migraci dat, tj. akceptovaným skriptem bude ověřeným způsobem (použitým v testovací migraci) naplněna po nasazení ostrého systému provozní databáze. 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Po dobu ostré migrace bude chod stávajícího systému zastaven (export dat), aby nedocházelo k nekontrolovaným změnám zdrojových dat, a bude proto nutné provést migraci v rámci plánovaného výpadku systému – doba nečinnosti bude stanovena také v závislosti na zjištěných přenosových časech během testovacích migrací.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Validace ostré migrace a analýza problémových dat.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Poté provede Zhotovitel v součinnosti s Objednatelem kontrolu migrovaných dat ostré migrace, identifikaci zásadních problémů a jejich vyřešení, příp. návrh a dohodu na jejich dořešení za provozu (podle povahy identifikovaných problémů) včetně stanovení konkrétního plánu a harmonogramu řešení.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Aplikace doplňkových kontrolních a korekčních úloh po ostré migraci.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Dále provede Zhotovitel v součinnosti s Objednatelem spuštění a vyhodnocení kontrolních a korekčních úloh nad migrovanými daty a poté nad všemi daty v celkové souvislosti a vazbách.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Aktualizace údajů v okolních komunikujících systémech.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Zhotovitel zajistí provedení zejména aktualizace související se zajištěním předání údajů o registracích pojištěnců v CRP, dále aktualizace údajů v dalších okolních systémech.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Korekce a čištění dat před spuštěním doplňkové migrace.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 xml:space="preserve">Zhotovitel v součinnosti s Objednatelem provede poslední opravy a korekce dat připravených a vygenerovaných pro doplňkovou migraci před jejich importem do ostré databáze. 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Q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Doplňkové migrace dat.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Po dobu cca 2-3 měsíců po provedení ostré migrace budou probíhat doplňkové migrace některých vybraných oblastí dat (Hromadná oznámení zaměstnavatelů apod.), zejména údajů, které bude potřeba evidovat z pohledu účetní uzávěrky ještě v původním systému Objednatele.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Doplňkové migrace naplánuje Zhotovitel v časech technologické případně technické údržby tak, aby neovlivňovaly rutinní provoz systému ani případné pravidelné dávkové úlohy.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lastRenderedPageBreak/>
              <w:t>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Validace doplňkové migrace a analýza problémových dat.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Poté provede Zhotovitel v součinnosti s Objednatelem kontrolu migrovaných dat doplňkové migrace, identifikaci zásadních problémů a jejich vyřešení, příp. návrh a dohodu na jejich dořešení za provozu (podle povahy identifikovaných problémů) včetně stanovení konkrétního plánu a harmonogramu řešení.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Aplikace doplňkových kontrolních a korekčních úloh po doplňkové migraci.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Dále provede Zhotovitel v součinnosti s Objednatelem spuštění a vyhodnocení kontrolních a korekčních úloh nad migrovanými daty a poté nad všemi daty v celkové souvislosti a vazbách.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Provádění bodů M, N, O, P, R a S až do ukončení provádění doplňkových migrací.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Výše uvedené body budou prováděny pro každou dávku doplňkové migrace až do jejich úplného dokončení.</w:t>
            </w: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</w:p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Případný nesoulad s daty v protokolárně předaných migračních šablonách doplňkových migrací a nesoulad dat v migračních šablonách s daty doplňkových migrací stávajícího systému řeší Zhotovitel.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Korekce a čištění dat po dokončení migrací za provozu.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Předpokládá se fáze korekcí a čištění migrovaných dat po dokončení migrací za rutinního provozu v časovém úseku 6 až 12 měsíců v intenzivní součinnosti Zhotovitele s Objednatelem. Tyto činnosti musí být zohledněny v nabídce Zhotovitele na následnou technickou podporu.</w:t>
            </w:r>
          </w:p>
        </w:tc>
      </w:tr>
      <w:tr w:rsidR="00564E35" w:rsidRPr="00561D77" w:rsidTr="0001380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64E35" w:rsidRPr="00561D77" w:rsidRDefault="00564E35" w:rsidP="0001380A">
            <w:pPr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tabs>
                <w:tab w:val="num" w:pos="360"/>
              </w:tabs>
              <w:ind w:left="83"/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b/>
                <w:sz w:val="22"/>
                <w:szCs w:val="22"/>
                <w:lang w:eastAsia="en-US"/>
              </w:rPr>
              <w:t>Podpora některých provozních operací spojených s přechodem na nový ICIS.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4E35" w:rsidRPr="00561D77" w:rsidRDefault="00564E35" w:rsidP="0001380A">
            <w:pPr>
              <w:jc w:val="both"/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</w:pPr>
            <w:r w:rsidRPr="00561D77">
              <w:rPr>
                <w:rFonts w:ascii="Palatino Linotype" w:eastAsia="Calibri" w:hAnsi="Palatino Linotype" w:cs="Arial"/>
                <w:sz w:val="22"/>
                <w:szCs w:val="22"/>
                <w:lang w:eastAsia="en-US"/>
              </w:rPr>
              <w:t>Na žádost Objednatele zabezpečí Zhotovitel požadované jednorázové provozní operace (např. přetisk EHIC průkazů apod.) spojených s přechodem na ICIS.</w:t>
            </w:r>
          </w:p>
        </w:tc>
      </w:tr>
    </w:tbl>
    <w:p w:rsidR="007D65F3" w:rsidRDefault="007D65F3"/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7F" w:rsidRDefault="00510A7F" w:rsidP="001257F4">
      <w:r>
        <w:separator/>
      </w:r>
    </w:p>
  </w:endnote>
  <w:endnote w:type="continuationSeparator" w:id="0">
    <w:p w:rsidR="00510A7F" w:rsidRDefault="00510A7F" w:rsidP="001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7F" w:rsidRDefault="00510A7F" w:rsidP="001257F4">
      <w:r>
        <w:separator/>
      </w:r>
    </w:p>
  </w:footnote>
  <w:footnote w:type="continuationSeparator" w:id="0">
    <w:p w:rsidR="00510A7F" w:rsidRDefault="00510A7F" w:rsidP="0012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F4" w:rsidRDefault="001257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6FB"/>
    <w:multiLevelType w:val="hybridMultilevel"/>
    <w:tmpl w:val="2E04A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9DE"/>
    <w:multiLevelType w:val="hybridMultilevel"/>
    <w:tmpl w:val="590A5A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350"/>
    <w:multiLevelType w:val="hybridMultilevel"/>
    <w:tmpl w:val="1E54FA4E"/>
    <w:lvl w:ilvl="0" w:tplc="04050019">
      <w:start w:val="1"/>
      <w:numFmt w:val="lowerLetter"/>
      <w:lvlText w:val="%1."/>
      <w:lvlJc w:val="left"/>
      <w:pPr>
        <w:ind w:left="1693" w:hanging="360"/>
      </w:pPr>
    </w:lvl>
    <w:lvl w:ilvl="1" w:tplc="04050019">
      <w:start w:val="1"/>
      <w:numFmt w:val="lowerLetter"/>
      <w:lvlText w:val="%2."/>
      <w:lvlJc w:val="left"/>
      <w:pPr>
        <w:ind w:left="2413" w:hanging="360"/>
      </w:pPr>
    </w:lvl>
    <w:lvl w:ilvl="2" w:tplc="0405001B">
      <w:start w:val="1"/>
      <w:numFmt w:val="lowerRoman"/>
      <w:lvlText w:val="%3."/>
      <w:lvlJc w:val="right"/>
      <w:pPr>
        <w:ind w:left="3133" w:hanging="180"/>
      </w:pPr>
    </w:lvl>
    <w:lvl w:ilvl="3" w:tplc="0405000F">
      <w:start w:val="1"/>
      <w:numFmt w:val="decimal"/>
      <w:lvlText w:val="%4."/>
      <w:lvlJc w:val="left"/>
      <w:pPr>
        <w:ind w:left="3853" w:hanging="360"/>
      </w:pPr>
    </w:lvl>
    <w:lvl w:ilvl="4" w:tplc="04050019">
      <w:start w:val="1"/>
      <w:numFmt w:val="lowerLetter"/>
      <w:lvlText w:val="%5."/>
      <w:lvlJc w:val="left"/>
      <w:pPr>
        <w:ind w:left="4573" w:hanging="360"/>
      </w:pPr>
    </w:lvl>
    <w:lvl w:ilvl="5" w:tplc="0405001B">
      <w:start w:val="1"/>
      <w:numFmt w:val="lowerRoman"/>
      <w:lvlText w:val="%6."/>
      <w:lvlJc w:val="right"/>
      <w:pPr>
        <w:ind w:left="5293" w:hanging="180"/>
      </w:pPr>
    </w:lvl>
    <w:lvl w:ilvl="6" w:tplc="0405000F">
      <w:start w:val="1"/>
      <w:numFmt w:val="decimal"/>
      <w:lvlText w:val="%7."/>
      <w:lvlJc w:val="left"/>
      <w:pPr>
        <w:ind w:left="6013" w:hanging="360"/>
      </w:pPr>
    </w:lvl>
    <w:lvl w:ilvl="7" w:tplc="04050019">
      <w:start w:val="1"/>
      <w:numFmt w:val="lowerLetter"/>
      <w:lvlText w:val="%8."/>
      <w:lvlJc w:val="left"/>
      <w:pPr>
        <w:ind w:left="6733" w:hanging="360"/>
      </w:pPr>
    </w:lvl>
    <w:lvl w:ilvl="8" w:tplc="0405001B">
      <w:start w:val="1"/>
      <w:numFmt w:val="lowerRoman"/>
      <w:lvlText w:val="%9."/>
      <w:lvlJc w:val="right"/>
      <w:pPr>
        <w:ind w:left="7453" w:hanging="180"/>
      </w:pPr>
    </w:lvl>
  </w:abstractNum>
  <w:abstractNum w:abstractNumId="3" w15:restartNumberingAfterBreak="0">
    <w:nsid w:val="22234F1C"/>
    <w:multiLevelType w:val="hybridMultilevel"/>
    <w:tmpl w:val="3356B394"/>
    <w:lvl w:ilvl="0" w:tplc="04050019">
      <w:start w:val="1"/>
      <w:numFmt w:val="lowerLetter"/>
      <w:lvlText w:val="%1."/>
      <w:lvlJc w:val="left"/>
      <w:pPr>
        <w:ind w:left="973" w:hanging="360"/>
      </w:pPr>
    </w:lvl>
    <w:lvl w:ilvl="1" w:tplc="04050019">
      <w:start w:val="1"/>
      <w:numFmt w:val="lowerLetter"/>
      <w:lvlText w:val="%2."/>
      <w:lvlJc w:val="left"/>
      <w:pPr>
        <w:ind w:left="1693" w:hanging="360"/>
      </w:pPr>
    </w:lvl>
    <w:lvl w:ilvl="2" w:tplc="0405001B">
      <w:start w:val="1"/>
      <w:numFmt w:val="lowerRoman"/>
      <w:lvlText w:val="%3."/>
      <w:lvlJc w:val="right"/>
      <w:pPr>
        <w:ind w:left="2413" w:hanging="180"/>
      </w:pPr>
    </w:lvl>
    <w:lvl w:ilvl="3" w:tplc="0405000F">
      <w:start w:val="1"/>
      <w:numFmt w:val="decimal"/>
      <w:lvlText w:val="%4."/>
      <w:lvlJc w:val="left"/>
      <w:pPr>
        <w:ind w:left="3133" w:hanging="360"/>
      </w:pPr>
    </w:lvl>
    <w:lvl w:ilvl="4" w:tplc="04050019">
      <w:start w:val="1"/>
      <w:numFmt w:val="lowerLetter"/>
      <w:lvlText w:val="%5."/>
      <w:lvlJc w:val="left"/>
      <w:pPr>
        <w:ind w:left="3853" w:hanging="360"/>
      </w:pPr>
    </w:lvl>
    <w:lvl w:ilvl="5" w:tplc="0405001B">
      <w:start w:val="1"/>
      <w:numFmt w:val="lowerRoman"/>
      <w:lvlText w:val="%6."/>
      <w:lvlJc w:val="right"/>
      <w:pPr>
        <w:ind w:left="4573" w:hanging="180"/>
      </w:pPr>
    </w:lvl>
    <w:lvl w:ilvl="6" w:tplc="0405000F">
      <w:start w:val="1"/>
      <w:numFmt w:val="decimal"/>
      <w:lvlText w:val="%7."/>
      <w:lvlJc w:val="left"/>
      <w:pPr>
        <w:ind w:left="5293" w:hanging="360"/>
      </w:pPr>
    </w:lvl>
    <w:lvl w:ilvl="7" w:tplc="04050019">
      <w:start w:val="1"/>
      <w:numFmt w:val="lowerLetter"/>
      <w:lvlText w:val="%8."/>
      <w:lvlJc w:val="left"/>
      <w:pPr>
        <w:ind w:left="6013" w:hanging="360"/>
      </w:pPr>
    </w:lvl>
    <w:lvl w:ilvl="8" w:tplc="0405001B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2D443B2D"/>
    <w:multiLevelType w:val="hybridMultilevel"/>
    <w:tmpl w:val="D70C82AC"/>
    <w:lvl w:ilvl="0" w:tplc="04050019">
      <w:start w:val="1"/>
      <w:numFmt w:val="lowerLetter"/>
      <w:lvlText w:val="%1."/>
      <w:lvlJc w:val="left"/>
      <w:pPr>
        <w:ind w:left="2413" w:hanging="360"/>
      </w:pPr>
    </w:lvl>
    <w:lvl w:ilvl="1" w:tplc="04050019">
      <w:start w:val="1"/>
      <w:numFmt w:val="lowerLetter"/>
      <w:lvlText w:val="%2."/>
      <w:lvlJc w:val="left"/>
      <w:pPr>
        <w:ind w:left="3133" w:hanging="360"/>
      </w:pPr>
    </w:lvl>
    <w:lvl w:ilvl="2" w:tplc="0405001B">
      <w:start w:val="1"/>
      <w:numFmt w:val="lowerRoman"/>
      <w:lvlText w:val="%3."/>
      <w:lvlJc w:val="right"/>
      <w:pPr>
        <w:ind w:left="3853" w:hanging="180"/>
      </w:pPr>
    </w:lvl>
    <w:lvl w:ilvl="3" w:tplc="0405000F">
      <w:start w:val="1"/>
      <w:numFmt w:val="decimal"/>
      <w:lvlText w:val="%4."/>
      <w:lvlJc w:val="left"/>
      <w:pPr>
        <w:ind w:left="4573" w:hanging="360"/>
      </w:pPr>
    </w:lvl>
    <w:lvl w:ilvl="4" w:tplc="04050019">
      <w:start w:val="1"/>
      <w:numFmt w:val="lowerLetter"/>
      <w:lvlText w:val="%5."/>
      <w:lvlJc w:val="left"/>
      <w:pPr>
        <w:ind w:left="5293" w:hanging="360"/>
      </w:pPr>
    </w:lvl>
    <w:lvl w:ilvl="5" w:tplc="0405001B">
      <w:start w:val="1"/>
      <w:numFmt w:val="lowerRoman"/>
      <w:lvlText w:val="%6."/>
      <w:lvlJc w:val="right"/>
      <w:pPr>
        <w:ind w:left="6013" w:hanging="180"/>
      </w:pPr>
    </w:lvl>
    <w:lvl w:ilvl="6" w:tplc="0405000F">
      <w:start w:val="1"/>
      <w:numFmt w:val="decimal"/>
      <w:lvlText w:val="%7."/>
      <w:lvlJc w:val="left"/>
      <w:pPr>
        <w:ind w:left="6733" w:hanging="360"/>
      </w:pPr>
    </w:lvl>
    <w:lvl w:ilvl="7" w:tplc="04050019">
      <w:start w:val="1"/>
      <w:numFmt w:val="lowerLetter"/>
      <w:lvlText w:val="%8."/>
      <w:lvlJc w:val="left"/>
      <w:pPr>
        <w:ind w:left="7453" w:hanging="360"/>
      </w:pPr>
    </w:lvl>
    <w:lvl w:ilvl="8" w:tplc="0405001B">
      <w:start w:val="1"/>
      <w:numFmt w:val="lowerRoman"/>
      <w:lvlText w:val="%9."/>
      <w:lvlJc w:val="right"/>
      <w:pPr>
        <w:ind w:left="8173" w:hanging="180"/>
      </w:pPr>
    </w:lvl>
  </w:abstractNum>
  <w:abstractNum w:abstractNumId="5" w15:restartNumberingAfterBreak="0">
    <w:nsid w:val="459F1C73"/>
    <w:multiLevelType w:val="hybridMultilevel"/>
    <w:tmpl w:val="0738735E"/>
    <w:lvl w:ilvl="0" w:tplc="EDF0C34C">
      <w:start w:val="1"/>
      <w:numFmt w:val="bullet"/>
      <w:lvlText w:val=""/>
      <w:lvlJc w:val="left"/>
      <w:pPr>
        <w:ind w:left="253" w:hanging="360"/>
      </w:pPr>
      <w:rPr>
        <w:rFonts w:ascii="Wingdings" w:hAnsi="Wingdings" w:hint="default"/>
        <w:color w:val="A50021"/>
        <w:position w:val="-6"/>
        <w:sz w:val="36"/>
      </w:rPr>
    </w:lvl>
    <w:lvl w:ilvl="1" w:tplc="04050019">
      <w:start w:val="1"/>
      <w:numFmt w:val="lowerLetter"/>
      <w:lvlText w:val="%2."/>
      <w:lvlJc w:val="left"/>
      <w:pPr>
        <w:ind w:left="973" w:hanging="360"/>
      </w:pPr>
    </w:lvl>
    <w:lvl w:ilvl="2" w:tplc="0405001B">
      <w:start w:val="1"/>
      <w:numFmt w:val="lowerRoman"/>
      <w:lvlText w:val="%3."/>
      <w:lvlJc w:val="right"/>
      <w:pPr>
        <w:ind w:left="1693" w:hanging="180"/>
      </w:pPr>
    </w:lvl>
    <w:lvl w:ilvl="3" w:tplc="0405000F">
      <w:start w:val="1"/>
      <w:numFmt w:val="decimal"/>
      <w:lvlText w:val="%4."/>
      <w:lvlJc w:val="left"/>
      <w:pPr>
        <w:ind w:left="2413" w:hanging="360"/>
      </w:pPr>
    </w:lvl>
    <w:lvl w:ilvl="4" w:tplc="04050019">
      <w:start w:val="1"/>
      <w:numFmt w:val="lowerLetter"/>
      <w:lvlText w:val="%5."/>
      <w:lvlJc w:val="left"/>
      <w:pPr>
        <w:ind w:left="3133" w:hanging="360"/>
      </w:pPr>
    </w:lvl>
    <w:lvl w:ilvl="5" w:tplc="0405001B">
      <w:start w:val="1"/>
      <w:numFmt w:val="lowerRoman"/>
      <w:lvlText w:val="%6."/>
      <w:lvlJc w:val="right"/>
      <w:pPr>
        <w:ind w:left="3853" w:hanging="180"/>
      </w:pPr>
    </w:lvl>
    <w:lvl w:ilvl="6" w:tplc="0405000F">
      <w:start w:val="1"/>
      <w:numFmt w:val="decimal"/>
      <w:lvlText w:val="%7."/>
      <w:lvlJc w:val="left"/>
      <w:pPr>
        <w:ind w:left="4573" w:hanging="360"/>
      </w:pPr>
    </w:lvl>
    <w:lvl w:ilvl="7" w:tplc="04050019">
      <w:start w:val="1"/>
      <w:numFmt w:val="lowerLetter"/>
      <w:lvlText w:val="%8."/>
      <w:lvlJc w:val="left"/>
      <w:pPr>
        <w:ind w:left="5293" w:hanging="360"/>
      </w:pPr>
    </w:lvl>
    <w:lvl w:ilvl="8" w:tplc="0405001B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49DB1CA2"/>
    <w:multiLevelType w:val="hybridMultilevel"/>
    <w:tmpl w:val="E8B049D8"/>
    <w:lvl w:ilvl="0" w:tplc="DC54FDDA">
      <w:start w:val="1"/>
      <w:numFmt w:val="lowerLetter"/>
      <w:lvlText w:val="%1)"/>
      <w:lvlJc w:val="left"/>
      <w:pPr>
        <w:tabs>
          <w:tab w:val="num" w:pos="530"/>
        </w:tabs>
        <w:ind w:left="530" w:hanging="170"/>
      </w:pPr>
      <w:rPr>
        <w:b w:val="0"/>
        <w:i w:val="0"/>
        <w:sz w:val="22"/>
        <w:szCs w:val="24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03CF6"/>
    <w:multiLevelType w:val="hybridMultilevel"/>
    <w:tmpl w:val="DA1E4D76"/>
    <w:lvl w:ilvl="0" w:tplc="8ECCB8F0">
      <w:start w:val="1"/>
      <w:numFmt w:val="lowerRoman"/>
      <w:lvlText w:val="%1."/>
      <w:lvlJc w:val="right"/>
      <w:pPr>
        <w:ind w:left="1440" w:hanging="360"/>
      </w:pPr>
    </w:lvl>
    <w:lvl w:ilvl="1" w:tplc="5B507768">
      <w:start w:val="1"/>
      <w:numFmt w:val="lowerLetter"/>
      <w:lvlText w:val="%2."/>
      <w:lvlJc w:val="left"/>
      <w:pPr>
        <w:ind w:left="2160" w:hanging="360"/>
      </w:pPr>
    </w:lvl>
    <w:lvl w:ilvl="2" w:tplc="5BB47B9A">
      <w:start w:val="1"/>
      <w:numFmt w:val="lowerRoman"/>
      <w:lvlText w:val="%3."/>
      <w:lvlJc w:val="right"/>
      <w:pPr>
        <w:ind w:left="2880" w:hanging="180"/>
      </w:pPr>
    </w:lvl>
    <w:lvl w:ilvl="3" w:tplc="6ABC234E">
      <w:start w:val="1"/>
      <w:numFmt w:val="decimal"/>
      <w:lvlText w:val="%4."/>
      <w:lvlJc w:val="left"/>
      <w:pPr>
        <w:ind w:left="3600" w:hanging="360"/>
      </w:pPr>
    </w:lvl>
    <w:lvl w:ilvl="4" w:tplc="CE7271C4">
      <w:start w:val="1"/>
      <w:numFmt w:val="lowerLetter"/>
      <w:lvlText w:val="%5."/>
      <w:lvlJc w:val="left"/>
      <w:pPr>
        <w:ind w:left="4320" w:hanging="360"/>
      </w:pPr>
    </w:lvl>
    <w:lvl w:ilvl="5" w:tplc="C9BA7E90">
      <w:start w:val="1"/>
      <w:numFmt w:val="lowerRoman"/>
      <w:lvlText w:val="%6."/>
      <w:lvlJc w:val="right"/>
      <w:pPr>
        <w:ind w:left="5040" w:hanging="180"/>
      </w:pPr>
    </w:lvl>
    <w:lvl w:ilvl="6" w:tplc="BFD87B80">
      <w:start w:val="1"/>
      <w:numFmt w:val="decimal"/>
      <w:lvlText w:val="%7."/>
      <w:lvlJc w:val="left"/>
      <w:pPr>
        <w:ind w:left="5760" w:hanging="360"/>
      </w:pPr>
    </w:lvl>
    <w:lvl w:ilvl="7" w:tplc="3A2615BC">
      <w:start w:val="1"/>
      <w:numFmt w:val="lowerLetter"/>
      <w:lvlText w:val="%8."/>
      <w:lvlJc w:val="left"/>
      <w:pPr>
        <w:ind w:left="6480" w:hanging="360"/>
      </w:pPr>
    </w:lvl>
    <w:lvl w:ilvl="8" w:tplc="5404A46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0B5B0A"/>
    <w:multiLevelType w:val="hybridMultilevel"/>
    <w:tmpl w:val="97843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5"/>
    <w:rsid w:val="001257F4"/>
    <w:rsid w:val="00510A7F"/>
    <w:rsid w:val="00564E35"/>
    <w:rsid w:val="007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7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7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2016-08-05T15:08:00Z</dcterms:created>
  <dcterms:modified xsi:type="dcterms:W3CDTF">2016-08-05T15:08:00Z</dcterms:modified>
</cp:coreProperties>
</file>