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91" w:rsidRPr="002B65FA" w:rsidRDefault="00103791" w:rsidP="00103791">
      <w:pPr>
        <w:jc w:val="center"/>
      </w:pPr>
      <w:bookmarkStart w:id="0" w:name="_Toc369207741"/>
      <w:r w:rsidRPr="002B65FA">
        <w:rPr>
          <w:b/>
          <w:color w:val="A50021"/>
          <w:sz w:val="48"/>
          <w:szCs w:val="48"/>
        </w:rPr>
        <w:t xml:space="preserve">Studie </w:t>
      </w:r>
      <w:r w:rsidRPr="00E53557">
        <w:rPr>
          <w:b/>
          <w:color w:val="A50021"/>
          <w:sz w:val="48"/>
          <w:szCs w:val="48"/>
        </w:rPr>
        <w:t xml:space="preserve">proveditelnosti projektu „Výstavba, implementace </w:t>
      </w:r>
      <w:r w:rsidR="00181B67">
        <w:rPr>
          <w:b/>
          <w:color w:val="A50021"/>
          <w:sz w:val="48"/>
          <w:szCs w:val="48"/>
        </w:rPr>
        <w:br/>
      </w:r>
      <w:r w:rsidRPr="00E53557">
        <w:rPr>
          <w:b/>
          <w:color w:val="A50021"/>
          <w:sz w:val="48"/>
          <w:szCs w:val="48"/>
        </w:rPr>
        <w:t>a</w:t>
      </w:r>
      <w:r>
        <w:rPr>
          <w:b/>
          <w:color w:val="A50021"/>
          <w:sz w:val="48"/>
          <w:szCs w:val="48"/>
        </w:rPr>
        <w:t> </w:t>
      </w:r>
      <w:r w:rsidRPr="00E53557">
        <w:rPr>
          <w:b/>
          <w:color w:val="A50021"/>
          <w:sz w:val="48"/>
          <w:szCs w:val="48"/>
        </w:rPr>
        <w:t>technická podpora ICIS OZP“</w:t>
      </w:r>
      <w:bookmarkEnd w:id="0"/>
    </w:p>
    <w:p w:rsidR="000013A9" w:rsidRPr="00CF2F92" w:rsidRDefault="000013A9" w:rsidP="000013A9">
      <w:pPr>
        <w:pStyle w:val="Titulnstrana"/>
        <w:rPr>
          <w:b/>
          <w:color w:val="E60019"/>
          <w:sz w:val="44"/>
          <w:szCs w:val="44"/>
        </w:rPr>
      </w:pPr>
    </w:p>
    <w:p w:rsidR="000013A9" w:rsidRPr="00CF2F92" w:rsidRDefault="000013A9" w:rsidP="000013A9">
      <w:pPr>
        <w:pStyle w:val="Titulnstrana"/>
        <w:rPr>
          <w:b/>
          <w:color w:val="000000"/>
          <w:sz w:val="44"/>
          <w:szCs w:val="44"/>
        </w:rPr>
      </w:pPr>
      <w:r w:rsidRPr="00CF2F92">
        <w:rPr>
          <w:b/>
          <w:color w:val="000000"/>
          <w:sz w:val="44"/>
          <w:szCs w:val="44"/>
        </w:rPr>
        <w:t>Příloha P</w:t>
      </w:r>
      <w:r w:rsidR="00751F91">
        <w:rPr>
          <w:b/>
          <w:color w:val="000000"/>
          <w:sz w:val="44"/>
          <w:szCs w:val="44"/>
        </w:rPr>
        <w:t>1</w:t>
      </w:r>
      <w:r w:rsidR="00767E86">
        <w:rPr>
          <w:b/>
          <w:color w:val="000000"/>
          <w:sz w:val="44"/>
          <w:szCs w:val="44"/>
        </w:rPr>
        <w:t>8</w:t>
      </w:r>
    </w:p>
    <w:p w:rsidR="000013A9" w:rsidRPr="00CF2F92" w:rsidRDefault="00247618" w:rsidP="000013A9">
      <w:pPr>
        <w:pStyle w:val="Titulnstrana"/>
        <w:rPr>
          <w:b/>
          <w:color w:val="000000"/>
          <w:sz w:val="44"/>
          <w:szCs w:val="44"/>
        </w:rPr>
      </w:pPr>
      <w:r>
        <w:rPr>
          <w:b/>
          <w:color w:val="000000"/>
          <w:sz w:val="44"/>
          <w:szCs w:val="44"/>
        </w:rPr>
        <w:t xml:space="preserve">Seznam </w:t>
      </w:r>
      <w:r w:rsidR="00751F91">
        <w:rPr>
          <w:b/>
          <w:color w:val="000000"/>
          <w:sz w:val="44"/>
          <w:szCs w:val="44"/>
        </w:rPr>
        <w:t>funkcí</w:t>
      </w:r>
      <w:r w:rsidR="000013A9" w:rsidRPr="00CF2F92">
        <w:rPr>
          <w:b/>
          <w:color w:val="000000"/>
          <w:sz w:val="44"/>
          <w:szCs w:val="44"/>
        </w:rPr>
        <w:t xml:space="preserve"> – </w:t>
      </w:r>
      <w:r w:rsidR="00767E86">
        <w:rPr>
          <w:b/>
          <w:color w:val="000000"/>
          <w:sz w:val="44"/>
          <w:szCs w:val="44"/>
        </w:rPr>
        <w:t>Výběr pojistného</w:t>
      </w:r>
    </w:p>
    <w:p w:rsidR="000013A9" w:rsidRPr="00CF2F92" w:rsidRDefault="000013A9" w:rsidP="000013A9">
      <w:pPr>
        <w:jc w:val="center"/>
        <w:rPr>
          <w:b/>
          <w:sz w:val="44"/>
          <w:szCs w:val="44"/>
        </w:rPr>
      </w:pPr>
    </w:p>
    <w:p w:rsidR="000013A9" w:rsidRPr="00CF2F92" w:rsidRDefault="000013A9" w:rsidP="000013A9">
      <w:pPr>
        <w:jc w:val="center"/>
        <w:rPr>
          <w:sz w:val="28"/>
        </w:rPr>
      </w:pPr>
    </w:p>
    <w:p w:rsidR="000013A9" w:rsidRPr="00CF2F92" w:rsidRDefault="000013A9" w:rsidP="000013A9">
      <w:pPr>
        <w:jc w:val="center"/>
        <w:rPr>
          <w:b/>
          <w:color w:val="FF0000"/>
          <w:sz w:val="28"/>
        </w:rPr>
      </w:pPr>
    </w:p>
    <w:p w:rsidR="000013A9" w:rsidRPr="00CF2F92" w:rsidRDefault="000013A9" w:rsidP="000013A9">
      <w:pPr>
        <w:jc w:val="center"/>
        <w:rPr>
          <w:b/>
          <w:color w:val="FF0000"/>
          <w:sz w:val="28"/>
        </w:rPr>
      </w:pPr>
    </w:p>
    <w:p w:rsidR="00AB746C" w:rsidRPr="00CF2F92" w:rsidRDefault="00AB746C" w:rsidP="000013A9">
      <w:pPr>
        <w:rPr>
          <w:b/>
          <w:color w:val="FF0000"/>
          <w:sz w:val="28"/>
        </w:rPr>
      </w:pPr>
    </w:p>
    <w:p w:rsidR="00AB746C" w:rsidRPr="002B65FA" w:rsidRDefault="00AB746C" w:rsidP="00AB746C">
      <w:r w:rsidRPr="002B65FA">
        <w:t>Datum:</w:t>
      </w:r>
      <w:r w:rsidRPr="002B65FA">
        <w:tab/>
      </w:r>
      <w:r w:rsidRPr="002B65FA">
        <w:tab/>
      </w:r>
      <w:r w:rsidRPr="002B65FA">
        <w:tab/>
        <w:t>28. 1</w:t>
      </w:r>
      <w:r>
        <w:t>1</w:t>
      </w:r>
      <w:r w:rsidRPr="002B65FA">
        <w:t>. 2013</w:t>
      </w:r>
    </w:p>
    <w:p w:rsidR="00AB746C" w:rsidRPr="002B65FA" w:rsidRDefault="00181B67" w:rsidP="00AB746C">
      <w:pPr>
        <w:rPr>
          <w:sz w:val="16"/>
          <w:szCs w:val="16"/>
        </w:rPr>
      </w:pPr>
      <w:r>
        <w:t>Počet stran:</w:t>
      </w:r>
      <w:r>
        <w:tab/>
      </w:r>
      <w:r>
        <w:tab/>
      </w:r>
      <w:fldSimple w:instr=" NUMPAGES   \* MERGEFORMAT ">
        <w:r w:rsidR="006F3B34">
          <w:rPr>
            <w:noProof/>
          </w:rPr>
          <w:t>17</w:t>
        </w:r>
      </w:fldSimple>
    </w:p>
    <w:p w:rsidR="00103791" w:rsidRDefault="00103791">
      <w:pPr>
        <w:spacing w:before="0" w:after="200" w:line="276" w:lineRule="auto"/>
        <w:jc w:val="left"/>
        <w:rPr>
          <w:b/>
          <w:sz w:val="36"/>
          <w:szCs w:val="36"/>
        </w:rPr>
      </w:pPr>
      <w:r>
        <w:rPr>
          <w:b/>
          <w:sz w:val="36"/>
          <w:szCs w:val="36"/>
        </w:rPr>
        <w:br w:type="page"/>
      </w:r>
    </w:p>
    <w:p w:rsidR="000013A9" w:rsidRPr="00CF2F92" w:rsidRDefault="000013A9" w:rsidP="000013A9">
      <w:pPr>
        <w:rPr>
          <w:b/>
          <w:sz w:val="36"/>
          <w:szCs w:val="36"/>
        </w:rPr>
      </w:pPr>
      <w:r w:rsidRPr="00CF2F92">
        <w:rPr>
          <w:b/>
          <w:sz w:val="36"/>
          <w:szCs w:val="36"/>
        </w:rPr>
        <w:lastRenderedPageBreak/>
        <w:t>Obsah</w:t>
      </w:r>
    </w:p>
    <w:p w:rsidR="00BE2E3B" w:rsidRDefault="005513A0">
      <w:pPr>
        <w:pStyle w:val="Obsah1"/>
        <w:rPr>
          <w:rFonts w:asciiTheme="minorHAnsi" w:eastAsiaTheme="minorEastAsia" w:hAnsiTheme="minorHAnsi" w:cstheme="minorBidi"/>
          <w:noProof/>
          <w:sz w:val="22"/>
          <w:lang w:eastAsia="cs-CZ"/>
        </w:rPr>
      </w:pPr>
      <w:r>
        <w:fldChar w:fldCharType="begin"/>
      </w:r>
      <w:r>
        <w:instrText xml:space="preserve"> TOC \o "1-3" \h \z \u </w:instrText>
      </w:r>
      <w:r>
        <w:fldChar w:fldCharType="separate"/>
      </w:r>
      <w:hyperlink w:anchor="_Toc374344320" w:history="1">
        <w:r w:rsidR="00BE2E3B" w:rsidRPr="003600B7">
          <w:rPr>
            <w:rStyle w:val="Hypertextovodkaz"/>
            <w:noProof/>
          </w:rPr>
          <w:t>1</w:t>
        </w:r>
        <w:r w:rsidR="00BE2E3B">
          <w:rPr>
            <w:rFonts w:asciiTheme="minorHAnsi" w:eastAsiaTheme="minorEastAsia" w:hAnsiTheme="minorHAnsi" w:cstheme="minorBidi"/>
            <w:noProof/>
            <w:sz w:val="22"/>
            <w:lang w:eastAsia="cs-CZ"/>
          </w:rPr>
          <w:tab/>
        </w:r>
        <w:r w:rsidR="00BE2E3B" w:rsidRPr="003600B7">
          <w:rPr>
            <w:rStyle w:val="Hypertextovodkaz"/>
            <w:noProof/>
          </w:rPr>
          <w:t>Správa a evidence předpisů pojistného a plateb (SPP)</w:t>
        </w:r>
        <w:r w:rsidR="00BE2E3B">
          <w:rPr>
            <w:noProof/>
            <w:webHidden/>
          </w:rPr>
          <w:tab/>
        </w:r>
        <w:r w:rsidR="00BE2E3B">
          <w:rPr>
            <w:noProof/>
            <w:webHidden/>
          </w:rPr>
          <w:fldChar w:fldCharType="begin"/>
        </w:r>
        <w:r w:rsidR="00BE2E3B">
          <w:rPr>
            <w:noProof/>
            <w:webHidden/>
          </w:rPr>
          <w:instrText xml:space="preserve"> PAGEREF _Toc374344320 \h </w:instrText>
        </w:r>
        <w:r w:rsidR="00BE2E3B">
          <w:rPr>
            <w:noProof/>
            <w:webHidden/>
          </w:rPr>
        </w:r>
        <w:r w:rsidR="00BE2E3B">
          <w:rPr>
            <w:noProof/>
            <w:webHidden/>
          </w:rPr>
          <w:fldChar w:fldCharType="separate"/>
        </w:r>
        <w:r w:rsidR="006F3B34">
          <w:rPr>
            <w:noProof/>
            <w:webHidden/>
          </w:rPr>
          <w:t>3</w:t>
        </w:r>
        <w:r w:rsidR="00BE2E3B">
          <w:rPr>
            <w:noProof/>
            <w:webHidden/>
          </w:rPr>
          <w:fldChar w:fldCharType="end"/>
        </w:r>
      </w:hyperlink>
    </w:p>
    <w:p w:rsidR="00BE2E3B" w:rsidRDefault="00457721">
      <w:pPr>
        <w:pStyle w:val="Obsah1"/>
        <w:rPr>
          <w:rFonts w:asciiTheme="minorHAnsi" w:eastAsiaTheme="minorEastAsia" w:hAnsiTheme="minorHAnsi" w:cstheme="minorBidi"/>
          <w:noProof/>
          <w:sz w:val="22"/>
          <w:lang w:eastAsia="cs-CZ"/>
        </w:rPr>
      </w:pPr>
      <w:hyperlink w:anchor="_Toc374344321" w:history="1">
        <w:r w:rsidR="00BE2E3B" w:rsidRPr="003600B7">
          <w:rPr>
            <w:rStyle w:val="Hypertextovodkaz"/>
            <w:noProof/>
          </w:rPr>
          <w:t>2</w:t>
        </w:r>
        <w:r w:rsidR="00BE2E3B">
          <w:rPr>
            <w:rFonts w:asciiTheme="minorHAnsi" w:eastAsiaTheme="minorEastAsia" w:hAnsiTheme="minorHAnsi" w:cstheme="minorBidi"/>
            <w:noProof/>
            <w:sz w:val="22"/>
            <w:lang w:eastAsia="cs-CZ"/>
          </w:rPr>
          <w:tab/>
        </w:r>
        <w:r w:rsidR="00BE2E3B" w:rsidRPr="003600B7">
          <w:rPr>
            <w:rStyle w:val="Hypertextovodkaz"/>
            <w:noProof/>
          </w:rPr>
          <w:t>Kontrola předpisů pojistného (KPP)</w:t>
        </w:r>
        <w:r w:rsidR="00BE2E3B">
          <w:rPr>
            <w:noProof/>
            <w:webHidden/>
          </w:rPr>
          <w:tab/>
        </w:r>
        <w:r w:rsidR="00BE2E3B">
          <w:rPr>
            <w:noProof/>
            <w:webHidden/>
          </w:rPr>
          <w:fldChar w:fldCharType="begin"/>
        </w:r>
        <w:r w:rsidR="00BE2E3B">
          <w:rPr>
            <w:noProof/>
            <w:webHidden/>
          </w:rPr>
          <w:instrText xml:space="preserve"> PAGEREF _Toc374344321 \h </w:instrText>
        </w:r>
        <w:r w:rsidR="00BE2E3B">
          <w:rPr>
            <w:noProof/>
            <w:webHidden/>
          </w:rPr>
        </w:r>
        <w:r w:rsidR="00BE2E3B">
          <w:rPr>
            <w:noProof/>
            <w:webHidden/>
          </w:rPr>
          <w:fldChar w:fldCharType="separate"/>
        </w:r>
        <w:r w:rsidR="006F3B34">
          <w:rPr>
            <w:noProof/>
            <w:webHidden/>
          </w:rPr>
          <w:t>5</w:t>
        </w:r>
        <w:r w:rsidR="00BE2E3B">
          <w:rPr>
            <w:noProof/>
            <w:webHidden/>
          </w:rPr>
          <w:fldChar w:fldCharType="end"/>
        </w:r>
      </w:hyperlink>
    </w:p>
    <w:p w:rsidR="00BE2E3B" w:rsidRDefault="00457721">
      <w:pPr>
        <w:pStyle w:val="Obsah1"/>
        <w:rPr>
          <w:rFonts w:asciiTheme="minorHAnsi" w:eastAsiaTheme="minorEastAsia" w:hAnsiTheme="minorHAnsi" w:cstheme="minorBidi"/>
          <w:noProof/>
          <w:sz w:val="22"/>
          <w:lang w:eastAsia="cs-CZ"/>
        </w:rPr>
      </w:pPr>
      <w:hyperlink w:anchor="_Toc374344322" w:history="1">
        <w:r w:rsidR="00BE2E3B" w:rsidRPr="003600B7">
          <w:rPr>
            <w:rStyle w:val="Hypertextovodkaz"/>
            <w:noProof/>
          </w:rPr>
          <w:t>3</w:t>
        </w:r>
        <w:r w:rsidR="00BE2E3B">
          <w:rPr>
            <w:rFonts w:asciiTheme="minorHAnsi" w:eastAsiaTheme="minorEastAsia" w:hAnsiTheme="minorHAnsi" w:cstheme="minorBidi"/>
            <w:noProof/>
            <w:sz w:val="22"/>
            <w:lang w:eastAsia="cs-CZ"/>
          </w:rPr>
          <w:tab/>
        </w:r>
        <w:r w:rsidR="00BE2E3B" w:rsidRPr="003600B7">
          <w:rPr>
            <w:rStyle w:val="Hypertextovodkaz"/>
            <w:noProof/>
          </w:rPr>
          <w:t>Kontrola platební kázně (KPL)</w:t>
        </w:r>
        <w:r w:rsidR="00BE2E3B">
          <w:rPr>
            <w:noProof/>
            <w:webHidden/>
          </w:rPr>
          <w:tab/>
        </w:r>
        <w:r w:rsidR="00BE2E3B">
          <w:rPr>
            <w:noProof/>
            <w:webHidden/>
          </w:rPr>
          <w:fldChar w:fldCharType="begin"/>
        </w:r>
        <w:r w:rsidR="00BE2E3B">
          <w:rPr>
            <w:noProof/>
            <w:webHidden/>
          </w:rPr>
          <w:instrText xml:space="preserve"> PAGEREF _Toc374344322 \h </w:instrText>
        </w:r>
        <w:r w:rsidR="00BE2E3B">
          <w:rPr>
            <w:noProof/>
            <w:webHidden/>
          </w:rPr>
        </w:r>
        <w:r w:rsidR="00BE2E3B">
          <w:rPr>
            <w:noProof/>
            <w:webHidden/>
          </w:rPr>
          <w:fldChar w:fldCharType="separate"/>
        </w:r>
        <w:r w:rsidR="006F3B34">
          <w:rPr>
            <w:noProof/>
            <w:webHidden/>
          </w:rPr>
          <w:t>7</w:t>
        </w:r>
        <w:r w:rsidR="00BE2E3B">
          <w:rPr>
            <w:noProof/>
            <w:webHidden/>
          </w:rPr>
          <w:fldChar w:fldCharType="end"/>
        </w:r>
      </w:hyperlink>
    </w:p>
    <w:p w:rsidR="00BE2E3B" w:rsidRDefault="00457721">
      <w:pPr>
        <w:pStyle w:val="Obsah1"/>
        <w:rPr>
          <w:rFonts w:asciiTheme="minorHAnsi" w:eastAsiaTheme="minorEastAsia" w:hAnsiTheme="minorHAnsi" w:cstheme="minorBidi"/>
          <w:noProof/>
          <w:sz w:val="22"/>
          <w:lang w:eastAsia="cs-CZ"/>
        </w:rPr>
      </w:pPr>
      <w:hyperlink w:anchor="_Toc374344323" w:history="1">
        <w:r w:rsidR="00BE2E3B" w:rsidRPr="003600B7">
          <w:rPr>
            <w:rStyle w:val="Hypertextovodkaz"/>
            <w:noProof/>
          </w:rPr>
          <w:t>4</w:t>
        </w:r>
        <w:r w:rsidR="00BE2E3B">
          <w:rPr>
            <w:rFonts w:asciiTheme="minorHAnsi" w:eastAsiaTheme="minorEastAsia" w:hAnsiTheme="minorHAnsi" w:cstheme="minorBidi"/>
            <w:noProof/>
            <w:sz w:val="22"/>
            <w:lang w:eastAsia="cs-CZ"/>
          </w:rPr>
          <w:tab/>
        </w:r>
        <w:r w:rsidR="00BE2E3B" w:rsidRPr="003600B7">
          <w:rPr>
            <w:rStyle w:val="Hypertextovodkaz"/>
            <w:noProof/>
          </w:rPr>
          <w:t>Insolvenční řízení, likvidace, úmrtí (ISL)</w:t>
        </w:r>
        <w:r w:rsidR="00BE2E3B">
          <w:rPr>
            <w:noProof/>
            <w:webHidden/>
          </w:rPr>
          <w:tab/>
        </w:r>
        <w:r w:rsidR="00BE2E3B">
          <w:rPr>
            <w:noProof/>
            <w:webHidden/>
          </w:rPr>
          <w:fldChar w:fldCharType="begin"/>
        </w:r>
        <w:r w:rsidR="00BE2E3B">
          <w:rPr>
            <w:noProof/>
            <w:webHidden/>
          </w:rPr>
          <w:instrText xml:space="preserve"> PAGEREF _Toc374344323 \h </w:instrText>
        </w:r>
        <w:r w:rsidR="00BE2E3B">
          <w:rPr>
            <w:noProof/>
            <w:webHidden/>
          </w:rPr>
        </w:r>
        <w:r w:rsidR="00BE2E3B">
          <w:rPr>
            <w:noProof/>
            <w:webHidden/>
          </w:rPr>
          <w:fldChar w:fldCharType="separate"/>
        </w:r>
        <w:r w:rsidR="006F3B34">
          <w:rPr>
            <w:noProof/>
            <w:webHidden/>
          </w:rPr>
          <w:t>11</w:t>
        </w:r>
        <w:r w:rsidR="00BE2E3B">
          <w:rPr>
            <w:noProof/>
            <w:webHidden/>
          </w:rPr>
          <w:fldChar w:fldCharType="end"/>
        </w:r>
      </w:hyperlink>
    </w:p>
    <w:p w:rsidR="00BE2E3B" w:rsidRDefault="00457721">
      <w:pPr>
        <w:pStyle w:val="Obsah1"/>
        <w:rPr>
          <w:rFonts w:asciiTheme="minorHAnsi" w:eastAsiaTheme="minorEastAsia" w:hAnsiTheme="minorHAnsi" w:cstheme="minorBidi"/>
          <w:noProof/>
          <w:sz w:val="22"/>
          <w:lang w:eastAsia="cs-CZ"/>
        </w:rPr>
      </w:pPr>
      <w:hyperlink w:anchor="_Toc374344324" w:history="1">
        <w:r w:rsidR="00BE2E3B" w:rsidRPr="003600B7">
          <w:rPr>
            <w:rStyle w:val="Hypertextovodkaz"/>
            <w:noProof/>
          </w:rPr>
          <w:t>5</w:t>
        </w:r>
        <w:r w:rsidR="00BE2E3B">
          <w:rPr>
            <w:rFonts w:asciiTheme="minorHAnsi" w:eastAsiaTheme="minorEastAsia" w:hAnsiTheme="minorHAnsi" w:cstheme="minorBidi"/>
            <w:noProof/>
            <w:sz w:val="22"/>
            <w:lang w:eastAsia="cs-CZ"/>
          </w:rPr>
          <w:tab/>
        </w:r>
        <w:r w:rsidR="00BE2E3B" w:rsidRPr="003600B7">
          <w:rPr>
            <w:rStyle w:val="Hypertextovodkaz"/>
            <w:noProof/>
          </w:rPr>
          <w:t>Právní vymáhání pohledávek (PRA)</w:t>
        </w:r>
        <w:r w:rsidR="00BE2E3B">
          <w:rPr>
            <w:noProof/>
            <w:webHidden/>
          </w:rPr>
          <w:tab/>
        </w:r>
        <w:r w:rsidR="00BE2E3B">
          <w:rPr>
            <w:noProof/>
            <w:webHidden/>
          </w:rPr>
          <w:fldChar w:fldCharType="begin"/>
        </w:r>
        <w:r w:rsidR="00BE2E3B">
          <w:rPr>
            <w:noProof/>
            <w:webHidden/>
          </w:rPr>
          <w:instrText xml:space="preserve"> PAGEREF _Toc374344324 \h </w:instrText>
        </w:r>
        <w:r w:rsidR="00BE2E3B">
          <w:rPr>
            <w:noProof/>
            <w:webHidden/>
          </w:rPr>
        </w:r>
        <w:r w:rsidR="00BE2E3B">
          <w:rPr>
            <w:noProof/>
            <w:webHidden/>
          </w:rPr>
          <w:fldChar w:fldCharType="separate"/>
        </w:r>
        <w:r w:rsidR="006F3B34">
          <w:rPr>
            <w:noProof/>
            <w:webHidden/>
          </w:rPr>
          <w:t>12</w:t>
        </w:r>
        <w:r w:rsidR="00BE2E3B">
          <w:rPr>
            <w:noProof/>
            <w:webHidden/>
          </w:rPr>
          <w:fldChar w:fldCharType="end"/>
        </w:r>
      </w:hyperlink>
    </w:p>
    <w:p w:rsidR="00BE2E3B" w:rsidRDefault="00457721">
      <w:pPr>
        <w:pStyle w:val="Obsah1"/>
        <w:rPr>
          <w:rFonts w:asciiTheme="minorHAnsi" w:eastAsiaTheme="minorEastAsia" w:hAnsiTheme="minorHAnsi" w:cstheme="minorBidi"/>
          <w:noProof/>
          <w:sz w:val="22"/>
          <w:lang w:eastAsia="cs-CZ"/>
        </w:rPr>
      </w:pPr>
      <w:hyperlink w:anchor="_Toc374344325" w:history="1">
        <w:r w:rsidR="00BE2E3B" w:rsidRPr="003600B7">
          <w:rPr>
            <w:rStyle w:val="Hypertextovodkaz"/>
            <w:noProof/>
          </w:rPr>
          <w:t>6</w:t>
        </w:r>
        <w:r w:rsidR="00BE2E3B">
          <w:rPr>
            <w:rFonts w:asciiTheme="minorHAnsi" w:eastAsiaTheme="minorEastAsia" w:hAnsiTheme="minorHAnsi" w:cstheme="minorBidi"/>
            <w:noProof/>
            <w:sz w:val="22"/>
            <w:lang w:eastAsia="cs-CZ"/>
          </w:rPr>
          <w:tab/>
        </w:r>
        <w:r w:rsidR="00BE2E3B" w:rsidRPr="003600B7">
          <w:rPr>
            <w:rStyle w:val="Hypertextovodkaz"/>
            <w:noProof/>
          </w:rPr>
          <w:t>Regresy - Náhrady nákladů na hrazené služby (REG)</w:t>
        </w:r>
        <w:r w:rsidR="00BE2E3B">
          <w:rPr>
            <w:noProof/>
            <w:webHidden/>
          </w:rPr>
          <w:tab/>
        </w:r>
        <w:r w:rsidR="00BE2E3B">
          <w:rPr>
            <w:noProof/>
            <w:webHidden/>
          </w:rPr>
          <w:fldChar w:fldCharType="begin"/>
        </w:r>
        <w:r w:rsidR="00BE2E3B">
          <w:rPr>
            <w:noProof/>
            <w:webHidden/>
          </w:rPr>
          <w:instrText xml:space="preserve"> PAGEREF _Toc374344325 \h </w:instrText>
        </w:r>
        <w:r w:rsidR="00BE2E3B">
          <w:rPr>
            <w:noProof/>
            <w:webHidden/>
          </w:rPr>
        </w:r>
        <w:r w:rsidR="00BE2E3B">
          <w:rPr>
            <w:noProof/>
            <w:webHidden/>
          </w:rPr>
          <w:fldChar w:fldCharType="separate"/>
        </w:r>
        <w:r w:rsidR="006F3B34">
          <w:rPr>
            <w:noProof/>
            <w:webHidden/>
          </w:rPr>
          <w:t>15</w:t>
        </w:r>
        <w:r w:rsidR="00BE2E3B">
          <w:rPr>
            <w:noProof/>
            <w:webHidden/>
          </w:rPr>
          <w:fldChar w:fldCharType="end"/>
        </w:r>
      </w:hyperlink>
    </w:p>
    <w:p w:rsidR="000013A9" w:rsidRPr="00CF2F92" w:rsidRDefault="005513A0" w:rsidP="000013A9">
      <w:r>
        <w:fldChar w:fldCharType="end"/>
      </w:r>
    </w:p>
    <w:p w:rsidR="00247618" w:rsidRDefault="00247618">
      <w:pPr>
        <w:spacing w:before="0" w:after="200" w:line="276" w:lineRule="auto"/>
        <w:jc w:val="left"/>
      </w:pPr>
      <w:r>
        <w:br w:type="page"/>
      </w:r>
    </w:p>
    <w:p w:rsidR="008329A8" w:rsidRDefault="008329A8" w:rsidP="008329A8">
      <w:pPr>
        <w:pStyle w:val="Nadpis1"/>
      </w:pPr>
      <w:bookmarkStart w:id="1" w:name="_Toc374344320"/>
      <w:r>
        <w:lastRenderedPageBreak/>
        <w:t>Správa a evidence předpisů pojistného a plateb (SPP)</w:t>
      </w:r>
      <w:bookmarkEnd w:id="1"/>
    </w:p>
    <w:tbl>
      <w:tblPr>
        <w:tblStyle w:val="Mkatabulky"/>
        <w:tblpPr w:leftFromText="141" w:rightFromText="141" w:vertAnchor="text" w:horzAnchor="margin" w:tblpX="113" w:tblpY="181"/>
        <w:tblW w:w="5000" w:type="pct"/>
        <w:tblLook w:val="04A0" w:firstRow="1" w:lastRow="0" w:firstColumn="1" w:lastColumn="0" w:noHBand="0" w:noVBand="1"/>
      </w:tblPr>
      <w:tblGrid>
        <w:gridCol w:w="1673"/>
        <w:gridCol w:w="2551"/>
        <w:gridCol w:w="5074"/>
      </w:tblGrid>
      <w:tr w:rsidR="008329A8" w:rsidRPr="00247618" w:rsidTr="006A0BE0">
        <w:trPr>
          <w:cnfStyle w:val="100000000000" w:firstRow="1" w:lastRow="0" w:firstColumn="0" w:lastColumn="0" w:oddVBand="0" w:evenVBand="0" w:oddHBand="0" w:evenHBand="0" w:firstRowFirstColumn="0" w:firstRowLastColumn="0" w:lastRowFirstColumn="0" w:lastRowLastColumn="0"/>
          <w:trHeight w:val="345"/>
          <w:tblHeader/>
        </w:trPr>
        <w:tc>
          <w:tcPr>
            <w:tcW w:w="1673" w:type="dxa"/>
          </w:tcPr>
          <w:p w:rsidR="008329A8" w:rsidRPr="00247618" w:rsidRDefault="008329A8" w:rsidP="00330F6D">
            <w:pPr>
              <w:spacing w:before="0"/>
              <w:jc w:val="left"/>
              <w:rPr>
                <w:sz w:val="16"/>
                <w:szCs w:val="16"/>
              </w:rPr>
            </w:pPr>
            <w:r w:rsidRPr="00247618">
              <w:rPr>
                <w:sz w:val="16"/>
                <w:szCs w:val="16"/>
              </w:rPr>
              <w:t>Kód</w:t>
            </w:r>
            <w:r>
              <w:rPr>
                <w:sz w:val="16"/>
                <w:szCs w:val="16"/>
              </w:rPr>
              <w:t xml:space="preserve"> oblasti / procesu / funkce</w:t>
            </w:r>
          </w:p>
        </w:tc>
        <w:tc>
          <w:tcPr>
            <w:tcW w:w="2551" w:type="dxa"/>
          </w:tcPr>
          <w:p w:rsidR="008329A8" w:rsidRDefault="008329A8" w:rsidP="00330F6D">
            <w:pPr>
              <w:spacing w:before="0"/>
              <w:jc w:val="left"/>
              <w:rPr>
                <w:sz w:val="16"/>
                <w:szCs w:val="16"/>
              </w:rPr>
            </w:pPr>
            <w:r>
              <w:rPr>
                <w:sz w:val="16"/>
                <w:szCs w:val="16"/>
              </w:rPr>
              <w:t xml:space="preserve">Související proces / </w:t>
            </w:r>
          </w:p>
          <w:p w:rsidR="008329A8" w:rsidRPr="00247618" w:rsidRDefault="008329A8" w:rsidP="00330F6D">
            <w:pPr>
              <w:spacing w:before="0"/>
              <w:jc w:val="left"/>
              <w:rPr>
                <w:sz w:val="16"/>
                <w:szCs w:val="16"/>
              </w:rPr>
            </w:pPr>
            <w:r>
              <w:rPr>
                <w:sz w:val="16"/>
                <w:szCs w:val="16"/>
              </w:rPr>
              <w:t>oblast / aktivita</w:t>
            </w:r>
          </w:p>
        </w:tc>
        <w:tc>
          <w:tcPr>
            <w:tcW w:w="5074" w:type="dxa"/>
          </w:tcPr>
          <w:p w:rsidR="008329A8" w:rsidRPr="00247618" w:rsidRDefault="008329A8" w:rsidP="00330F6D">
            <w:pPr>
              <w:spacing w:before="0"/>
              <w:jc w:val="left"/>
              <w:rPr>
                <w:sz w:val="16"/>
                <w:szCs w:val="16"/>
              </w:rPr>
            </w:pPr>
            <w:r>
              <w:rPr>
                <w:sz w:val="16"/>
                <w:szCs w:val="16"/>
              </w:rPr>
              <w:t>Popis</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PP</w:t>
            </w:r>
          </w:p>
        </w:tc>
        <w:tc>
          <w:tcPr>
            <w:tcW w:w="2551"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 xml:space="preserve">Správa a evidence předpisů pojistného  PPPZ </w:t>
            </w:r>
          </w:p>
        </w:tc>
        <w:tc>
          <w:tcPr>
            <w:tcW w:w="5074"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procesy - VP-SPP-PPZ, požadavky - VP-SPP-PP</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F-VP-SPP-PPZ-001</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Zaevidování PPPZ ručně</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uživateli přes grafické rozhraní zaevidování údajů PPPZ do karty včetně provádění validace vyplňovaných údajů při jejich zadávání</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F-VP-SPP-PPZ-002</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0F08A9">
            <w:pPr>
              <w:spacing w:before="0"/>
              <w:jc w:val="left"/>
              <w:rPr>
                <w:rFonts w:cs="Arial"/>
                <w:sz w:val="16"/>
                <w:szCs w:val="16"/>
              </w:rPr>
            </w:pPr>
            <w:r w:rsidRPr="006A0BE0">
              <w:rPr>
                <w:rFonts w:cs="Arial"/>
                <w:sz w:val="16"/>
                <w:szCs w:val="16"/>
              </w:rPr>
              <w:t>Systém umožní automaticky dohledat zaměstnavatele zaevidovaného  PPPZ.</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F-VP-SPP-PPZ-003</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uživateli přes grafické rozhraní zaevidovat předregistraci zaměstnavatele, pokud nebyl v systému dohledán</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F-VP-SPP-PPZ-004</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Zaevidování PPPZ z vytěžených dat</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automatické zaevidování PPPZ z vytěžených dat - zpracuje předaný datový soubor a založí karty PPPZ  pro jednotlivé záznamy</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F-VP-SPP-PPZ-005</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Zaevidování PPPZ z portálu ZP</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automatické zaevidování PPPZ z dat z portálu ZP - zpracuje předaný datový soubor a založí karty PPPZ pro jednotlivé záznamy</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F-VP-SPP-PPZ-006</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Kontrola údajů</w:t>
            </w:r>
          </w:p>
        </w:tc>
        <w:tc>
          <w:tcPr>
            <w:tcW w:w="5074" w:type="dxa"/>
            <w:vAlign w:val="top"/>
          </w:tcPr>
          <w:p w:rsidR="006A0BE0" w:rsidRPr="006A0BE0" w:rsidRDefault="006A0BE0" w:rsidP="00331E9E">
            <w:pPr>
              <w:spacing w:before="0"/>
              <w:jc w:val="left"/>
              <w:rPr>
                <w:rFonts w:cs="Arial"/>
                <w:sz w:val="16"/>
                <w:szCs w:val="16"/>
              </w:rPr>
            </w:pPr>
            <w:r w:rsidRPr="006A0BE0">
              <w:rPr>
                <w:rFonts w:cs="Arial"/>
                <w:sz w:val="16"/>
                <w:szCs w:val="16"/>
              </w:rPr>
              <w:t>Systém automaticky provede kontrolu navedených údajů dle definovaných pravidel a označí chybové záznamy</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F-VP-SPP-PPZ-007</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Schválení údajů</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automaticky nebo spuštěním funkce uživatelem schválení údajů PPPZ</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F-VP-SPP-PPZ-008</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Zaúčtování údajů</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automaticky nebo spuštěním funkce uživatelem zaúčtování údajů PPPZ, čímž vznikne předpis pojistného</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F-VP-SPP-PPZ-009</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Úprava předpisu pojistného</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uživateli přes grafické rozhraní úpravu výše pojistného</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F-VP-SPP-PPZ-010</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Chybové záznamy</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automaticky vloží a zobrazí chybové záznamy PPPZ</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F-VP-SPP-PPZ-011</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Vyřešení chyby</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řešení chyb PPPZ - zobrazí uživateli formuláře pro opravu údajů PPPZ.</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ZV</w:t>
            </w:r>
          </w:p>
        </w:tc>
        <w:tc>
          <w:tcPr>
            <w:tcW w:w="2551"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 xml:space="preserve">Zpracování a vyúčtování přehledů OSVČ </w:t>
            </w:r>
          </w:p>
        </w:tc>
        <w:tc>
          <w:tcPr>
            <w:tcW w:w="5074"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procesy - VP-SPP-SVC, požadavky - VP-SPP-ZV</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F-VP-SPP-SVC-001</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Zaevidování přehledu</w:t>
            </w:r>
          </w:p>
        </w:tc>
        <w:tc>
          <w:tcPr>
            <w:tcW w:w="5074" w:type="dxa"/>
            <w:vAlign w:val="top"/>
          </w:tcPr>
          <w:p w:rsidR="006A0BE0" w:rsidRPr="006A0BE0" w:rsidRDefault="006A0BE0" w:rsidP="00331E9E">
            <w:pPr>
              <w:spacing w:before="0"/>
              <w:jc w:val="left"/>
              <w:rPr>
                <w:rFonts w:cs="Arial"/>
                <w:sz w:val="16"/>
                <w:szCs w:val="16"/>
              </w:rPr>
            </w:pPr>
            <w:r w:rsidRPr="006A0BE0">
              <w:rPr>
                <w:rFonts w:cs="Arial"/>
                <w:sz w:val="16"/>
                <w:szCs w:val="16"/>
              </w:rPr>
              <w:t>Systém umožní uživateli přes grafické rozhraní zaevidování přehledu pojistného včetně kontroly doby podání.</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F-VP-SPP-SVC-002</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Kontrola údajů</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automaticky provede kontrol</w:t>
            </w:r>
            <w:r w:rsidR="00331E9E">
              <w:rPr>
                <w:rFonts w:cs="Arial"/>
                <w:sz w:val="16"/>
                <w:szCs w:val="16"/>
              </w:rPr>
              <w:t xml:space="preserve">u navedených údajů vůči stávající </w:t>
            </w:r>
            <w:r w:rsidRPr="006A0BE0">
              <w:rPr>
                <w:rFonts w:cs="Arial"/>
                <w:sz w:val="16"/>
                <w:szCs w:val="16"/>
              </w:rPr>
              <w:t>platební povinnosti</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F-VP-SPP-SVC-003</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provede automaticky výpočet přeplatku nebo nedoplatku na pojistném</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F-VP-SPP-SVC-004</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stanoví automaticky výši zálohy na následující období</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F-VP-SPP-SVC-005</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Úprava platebních povinností</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 xml:space="preserve">Systém umožní uživateli přes grafické rozhraní úpravu výše zálohy na následující období. </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F-VP-SPP-SVC-006</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Snížení zálohy</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uživateli zaevidování žádosti o snížení zálohy.</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F-VP-SPP-SVC-007</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automaticky posoudí kritéria pro snížení zálohy dle definovaných pravidel</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F-VP-SPP-SVC-008</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uživateli provedení úpravy platebních povinností v případě vyhovění kritériím pro snížení zálohy</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F-VP-SPP-SVC-009</w:t>
            </w:r>
          </w:p>
        </w:tc>
        <w:tc>
          <w:tcPr>
            <w:tcW w:w="2551" w:type="dxa"/>
            <w:vAlign w:val="top"/>
          </w:tcPr>
          <w:p w:rsidR="006A0BE0" w:rsidRPr="006A0BE0" w:rsidRDefault="006A0BE0" w:rsidP="006A0BE0">
            <w:pPr>
              <w:spacing w:before="0"/>
              <w:jc w:val="left"/>
              <w:rPr>
                <w:rFonts w:cs="Arial"/>
                <w:sz w:val="16"/>
                <w:szCs w:val="16"/>
              </w:rPr>
            </w:pP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vytisknou</w:t>
            </w:r>
            <w:r w:rsidR="00331E9E">
              <w:rPr>
                <w:rFonts w:cs="Arial"/>
                <w:sz w:val="16"/>
                <w:szCs w:val="16"/>
              </w:rPr>
              <w:t>t</w:t>
            </w:r>
            <w:r w:rsidRPr="006A0BE0">
              <w:rPr>
                <w:rFonts w:cs="Arial"/>
                <w:sz w:val="16"/>
                <w:szCs w:val="16"/>
              </w:rPr>
              <w:t xml:space="preserve"> informace klientovi (jak souhlasné tak nesouhlasné vyřízení žádosti o snížení zálohy)</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lastRenderedPageBreak/>
              <w:t>F-VP-SPP-SVC-010</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Obeslání OSVČ s podklady pro Přehled</w:t>
            </w:r>
          </w:p>
        </w:tc>
        <w:tc>
          <w:tcPr>
            <w:tcW w:w="5074" w:type="dxa"/>
            <w:vAlign w:val="top"/>
          </w:tcPr>
          <w:p w:rsidR="006A0BE0" w:rsidRPr="006A0BE0" w:rsidRDefault="006A0BE0" w:rsidP="00331E9E">
            <w:pPr>
              <w:spacing w:before="0"/>
              <w:jc w:val="left"/>
              <w:rPr>
                <w:rFonts w:cs="Arial"/>
                <w:sz w:val="16"/>
                <w:szCs w:val="16"/>
              </w:rPr>
            </w:pPr>
            <w:r w:rsidRPr="006A0BE0">
              <w:rPr>
                <w:rFonts w:cs="Arial"/>
                <w:sz w:val="16"/>
                <w:szCs w:val="16"/>
              </w:rPr>
              <w:t xml:space="preserve">Systém umožní tvorbu dopisu pro OSVČ s údaji k Přehledu na začátku roku </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F-VP-SPP-SVC-011</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Komunikace s portálem - přijetí přehledu</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 xml:space="preserve">Systém umožní automatické zaevidování přehledu OSVČ z portálu ZP nebo OZP </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F-VP-SPP-SVC-012</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Komunikace s portálem - výpis zaplacených záloh</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umožní automaticky připravit data pro portál ZP nebo OZP - seznam zaplacených záloh za definované období</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GE</w:t>
            </w:r>
          </w:p>
        </w:tc>
        <w:tc>
          <w:tcPr>
            <w:tcW w:w="2551"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 xml:space="preserve">Generování předpisů - pro plátce OSVČ a OBZP </w:t>
            </w:r>
          </w:p>
        </w:tc>
        <w:tc>
          <w:tcPr>
            <w:tcW w:w="5074"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procesy - VP-SPP-GEN, požadavky - VP-SPP-GE</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F-VP-SPP-GEN-001</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Generování předpisů - dopředu</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bude obsahovat dávkovou úlohu, která dle aktuální platební povinnosti pro daný měsíc pro kategorii plátce OSVČ a OBZP zapíše do účetnictví předpisy pro úhradu pojistného.</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F-VP-SPP-GEN-002</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Generování předpisů - zpětně 1</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bude umožňovat automatické generování předpisů pro úhradu pojistného do účetnictví dle nově navedené kategorie plátce (OSVČ, OBZP) zpětně od počátku platnosti kategorie do současnosti nebo při změně pro nová období</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F-VP-SPP-GEN-003</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Generování předpisů - zpětně 2</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bude umožňovat automatické generování inverzních (mínusových) předpisů pro úhradu pojistného do účetnictví při odstranění kategorie plátce OSVČ nebo OBZP nebo zkrácení platnosti této kategorie zpětně pro změněná období</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PL</w:t>
            </w:r>
          </w:p>
        </w:tc>
        <w:tc>
          <w:tcPr>
            <w:tcW w:w="2551"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 xml:space="preserve">Správa, identifikace plateb  </w:t>
            </w:r>
          </w:p>
        </w:tc>
        <w:tc>
          <w:tcPr>
            <w:tcW w:w="5074" w:type="dxa"/>
            <w:vAlign w:val="top"/>
          </w:tcPr>
          <w:p w:rsidR="006A0BE0" w:rsidRPr="006A0BE0" w:rsidRDefault="006A0BE0" w:rsidP="006A0BE0">
            <w:pPr>
              <w:spacing w:before="0"/>
              <w:jc w:val="right"/>
              <w:rPr>
                <w:rFonts w:cs="Arial"/>
                <w:b/>
                <w:i/>
                <w:sz w:val="16"/>
                <w:szCs w:val="16"/>
              </w:rPr>
            </w:pPr>
            <w:r w:rsidRPr="006A0BE0">
              <w:rPr>
                <w:rFonts w:cs="Arial"/>
                <w:b/>
                <w:i/>
                <w:sz w:val="16"/>
                <w:szCs w:val="16"/>
              </w:rPr>
              <w:t>požadavky - VP-SPP-PL</w:t>
            </w:r>
          </w:p>
        </w:tc>
      </w:tr>
      <w:tr w:rsidR="006A0BE0" w:rsidRPr="00247618" w:rsidTr="006A0BE0">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F-VP-SPP-PL-001</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Párování předpisů a plateb</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Systém bude umožňovat automatické párování plateb a předpisů na základě definovaných kritérií.</w:t>
            </w:r>
          </w:p>
        </w:tc>
      </w:tr>
      <w:tr w:rsidR="006A0BE0" w:rsidRPr="00247618" w:rsidTr="006A0BE0">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6A0BE0" w:rsidRPr="006A0BE0" w:rsidRDefault="006A0BE0" w:rsidP="006A0BE0">
            <w:pPr>
              <w:spacing w:before="0"/>
              <w:jc w:val="left"/>
              <w:rPr>
                <w:rFonts w:cs="Arial"/>
                <w:sz w:val="16"/>
                <w:szCs w:val="16"/>
              </w:rPr>
            </w:pPr>
            <w:r w:rsidRPr="006A0BE0">
              <w:rPr>
                <w:rFonts w:cs="Arial"/>
                <w:sz w:val="16"/>
                <w:szCs w:val="16"/>
              </w:rPr>
              <w:t>F-VP-SPP-PL-002</w:t>
            </w:r>
          </w:p>
        </w:tc>
        <w:tc>
          <w:tcPr>
            <w:tcW w:w="2551" w:type="dxa"/>
            <w:vAlign w:val="top"/>
          </w:tcPr>
          <w:p w:rsidR="006A0BE0" w:rsidRPr="006A0BE0" w:rsidRDefault="006A0BE0" w:rsidP="006A0BE0">
            <w:pPr>
              <w:spacing w:before="0"/>
              <w:jc w:val="left"/>
              <w:rPr>
                <w:rFonts w:cs="Arial"/>
                <w:sz w:val="16"/>
                <w:szCs w:val="16"/>
              </w:rPr>
            </w:pPr>
            <w:r w:rsidRPr="006A0BE0">
              <w:rPr>
                <w:rFonts w:cs="Arial"/>
                <w:sz w:val="16"/>
                <w:szCs w:val="16"/>
              </w:rPr>
              <w:t>Přeúčtování</w:t>
            </w:r>
          </w:p>
        </w:tc>
        <w:tc>
          <w:tcPr>
            <w:tcW w:w="5074" w:type="dxa"/>
            <w:vAlign w:val="top"/>
          </w:tcPr>
          <w:p w:rsidR="006A0BE0" w:rsidRPr="006A0BE0" w:rsidRDefault="006A0BE0" w:rsidP="006A0BE0">
            <w:pPr>
              <w:spacing w:before="0"/>
              <w:jc w:val="left"/>
              <w:rPr>
                <w:rFonts w:cs="Arial"/>
                <w:sz w:val="16"/>
                <w:szCs w:val="16"/>
              </w:rPr>
            </w:pPr>
            <w:r w:rsidRPr="006A0BE0">
              <w:rPr>
                <w:rFonts w:cs="Arial"/>
                <w:sz w:val="16"/>
                <w:szCs w:val="16"/>
              </w:rPr>
              <w:t>Sy</w:t>
            </w:r>
            <w:r w:rsidR="003E7B06">
              <w:rPr>
                <w:rFonts w:cs="Arial"/>
                <w:sz w:val="16"/>
                <w:szCs w:val="16"/>
              </w:rPr>
              <w:t>s</w:t>
            </w:r>
            <w:r w:rsidRPr="006A0BE0">
              <w:rPr>
                <w:rFonts w:cs="Arial"/>
                <w:sz w:val="16"/>
                <w:szCs w:val="16"/>
              </w:rPr>
              <w:t>tém bude umožňovat uživateli přes grafické rozhraní přeúčtování neidentifikovaných nebo nesprávně přiřazených plateb</w:t>
            </w:r>
          </w:p>
        </w:tc>
      </w:tr>
    </w:tbl>
    <w:p w:rsidR="008329A8" w:rsidRPr="008329A8" w:rsidRDefault="008329A8" w:rsidP="008329A8"/>
    <w:p w:rsidR="008329A8" w:rsidRDefault="008329A8" w:rsidP="008329A8">
      <w:pPr>
        <w:pStyle w:val="Nadpis1"/>
      </w:pPr>
      <w:bookmarkStart w:id="2" w:name="_Toc374344321"/>
      <w:r>
        <w:lastRenderedPageBreak/>
        <w:t>Kontrola předpisů pojistného (KPP)</w:t>
      </w:r>
      <w:bookmarkEnd w:id="2"/>
    </w:p>
    <w:tbl>
      <w:tblPr>
        <w:tblStyle w:val="Mkatabulky"/>
        <w:tblpPr w:leftFromText="141" w:rightFromText="141" w:vertAnchor="text" w:horzAnchor="margin" w:tblpX="113" w:tblpY="181"/>
        <w:tblW w:w="5000" w:type="pct"/>
        <w:tblLook w:val="04A0" w:firstRow="1" w:lastRow="0" w:firstColumn="1" w:lastColumn="0" w:noHBand="0" w:noVBand="1"/>
      </w:tblPr>
      <w:tblGrid>
        <w:gridCol w:w="1673"/>
        <w:gridCol w:w="2452"/>
        <w:gridCol w:w="5173"/>
      </w:tblGrid>
      <w:tr w:rsidR="008329A8" w:rsidRPr="00247618" w:rsidTr="00330F6D">
        <w:trPr>
          <w:cnfStyle w:val="100000000000" w:firstRow="1" w:lastRow="0" w:firstColumn="0" w:lastColumn="0" w:oddVBand="0" w:evenVBand="0" w:oddHBand="0" w:evenHBand="0" w:firstRowFirstColumn="0" w:firstRowLastColumn="0" w:lastRowFirstColumn="0" w:lastRowLastColumn="0"/>
          <w:trHeight w:val="345"/>
          <w:tblHeader/>
        </w:trPr>
        <w:tc>
          <w:tcPr>
            <w:tcW w:w="1673" w:type="dxa"/>
          </w:tcPr>
          <w:p w:rsidR="008329A8" w:rsidRPr="00247618" w:rsidRDefault="008329A8" w:rsidP="00330F6D">
            <w:pPr>
              <w:spacing w:before="0"/>
              <w:jc w:val="left"/>
              <w:rPr>
                <w:sz w:val="16"/>
                <w:szCs w:val="16"/>
              </w:rPr>
            </w:pPr>
            <w:r w:rsidRPr="00247618">
              <w:rPr>
                <w:sz w:val="16"/>
                <w:szCs w:val="16"/>
              </w:rPr>
              <w:t>Kód</w:t>
            </w:r>
            <w:r>
              <w:rPr>
                <w:sz w:val="16"/>
                <w:szCs w:val="16"/>
              </w:rPr>
              <w:t xml:space="preserve"> oblasti / procesu / funkce</w:t>
            </w:r>
          </w:p>
        </w:tc>
        <w:tc>
          <w:tcPr>
            <w:tcW w:w="2452" w:type="dxa"/>
          </w:tcPr>
          <w:p w:rsidR="008329A8" w:rsidRDefault="008329A8" w:rsidP="00330F6D">
            <w:pPr>
              <w:spacing w:before="0"/>
              <w:jc w:val="left"/>
              <w:rPr>
                <w:sz w:val="16"/>
                <w:szCs w:val="16"/>
              </w:rPr>
            </w:pPr>
            <w:r>
              <w:rPr>
                <w:sz w:val="16"/>
                <w:szCs w:val="16"/>
              </w:rPr>
              <w:t xml:space="preserve">Související proces / </w:t>
            </w:r>
          </w:p>
          <w:p w:rsidR="008329A8" w:rsidRPr="00247618" w:rsidRDefault="008329A8" w:rsidP="00330F6D">
            <w:pPr>
              <w:spacing w:before="0"/>
              <w:jc w:val="left"/>
              <w:rPr>
                <w:sz w:val="16"/>
                <w:szCs w:val="16"/>
              </w:rPr>
            </w:pPr>
            <w:r>
              <w:rPr>
                <w:sz w:val="16"/>
                <w:szCs w:val="16"/>
              </w:rPr>
              <w:t>oblast / aktivita</w:t>
            </w:r>
          </w:p>
        </w:tc>
        <w:tc>
          <w:tcPr>
            <w:tcW w:w="5173" w:type="dxa"/>
          </w:tcPr>
          <w:p w:rsidR="008329A8" w:rsidRPr="00247618" w:rsidRDefault="008329A8" w:rsidP="00330F6D">
            <w:pPr>
              <w:spacing w:before="0"/>
              <w:jc w:val="left"/>
              <w:rPr>
                <w:sz w:val="16"/>
                <w:szCs w:val="16"/>
              </w:rPr>
            </w:pPr>
            <w:r>
              <w:rPr>
                <w:sz w:val="16"/>
                <w:szCs w:val="16"/>
              </w:rPr>
              <w:t>Popis</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right"/>
              <w:rPr>
                <w:rFonts w:cs="Arial"/>
                <w:b/>
                <w:i/>
                <w:sz w:val="16"/>
                <w:szCs w:val="16"/>
              </w:rPr>
            </w:pPr>
          </w:p>
        </w:tc>
        <w:tc>
          <w:tcPr>
            <w:tcW w:w="2452" w:type="dxa"/>
            <w:vAlign w:val="top"/>
          </w:tcPr>
          <w:p w:rsidR="003E7B06" w:rsidRPr="003E7B06" w:rsidRDefault="003E7B06" w:rsidP="003E7B06">
            <w:pPr>
              <w:spacing w:before="0"/>
              <w:jc w:val="right"/>
              <w:rPr>
                <w:rFonts w:cs="Arial"/>
                <w:b/>
                <w:i/>
                <w:sz w:val="16"/>
                <w:szCs w:val="16"/>
              </w:rPr>
            </w:pPr>
          </w:p>
        </w:tc>
        <w:tc>
          <w:tcPr>
            <w:tcW w:w="5173"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procesy - VP-KPP, požadavky - VP-KPP</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F-VP-KPP-001</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Kontrola nepodaných PPPZ</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automaticky nalezne subjekty, které nesplnily zákonnou povinnost podat PPPZ za sledované období.</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F-VP-KPP-002</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Výzva klientovi k předložení PPPZ</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výzvy klientovi k předložení PPPZ</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F-VP-KPP-003</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Zápis informace na kartu kontroly</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automaticky zapíše informace o proběhlé kontrole na PPPZ a jejím výsledku na kartu kontroly</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F-VP-KPP-004</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stanovení - zaměstnavatel</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stanovení výše PVP pro zaměstnavatele</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F-VP-KPP-005</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w:t>
            </w:r>
            <w:r>
              <w:rPr>
                <w:rFonts w:cs="Arial"/>
                <w:sz w:val="16"/>
                <w:szCs w:val="16"/>
              </w:rPr>
              <w:t>s</w:t>
            </w:r>
            <w:r w:rsidRPr="003E7B06">
              <w:rPr>
                <w:rFonts w:cs="Arial"/>
                <w:sz w:val="16"/>
                <w:szCs w:val="16"/>
              </w:rPr>
              <w:t>tém umožní vytvořit uživateli nezaúčtovaný předpis na PVP zaměstnavatele</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F-VP-KPP-006</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informace klientovi o stanovení PVP zaměstnavatele</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F-VP-KPP-007</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zrušení - zaměstnavatel</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uživateli přes grafické rozhraní zrušení nezaúčtovaných předpisů PVP po dodání PPPZ zaměstnavatelem</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F-VP-KPP-008</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zaúčtování - zaměstnavatel</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uživateli přes grafické rozhraní zaúčtování nezaúčtovaných předpisů PVP zaměstnavatele</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F-VP-KPP-009</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inverzní předpisy zaměstnavatel</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uživateli přes grafické rozhraní vytvoření inverzních předpisů zaúčtovaného PVP při dodání PPPZ zaměstnavatelem</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F-VP-KPP-010</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Kontrola nepodaných přehledů OSVČ</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nalezne subjekty, které nesplnily zákonnou povinnost podat přehled OSVČ za sledované období.</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F-VP-KPP-011</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Výzva klientovi k podání přehledu OSVČ</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výzvy klientovi k předložení přehledu OSVČ</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F-VP-KPP-012</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Zápis informace na kartu kontroly</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zapíše informace o proběhlé kontrole na nepodaný přehled OSVČ a jejím výsledku na kartu kontroly</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F-VP-KPP-013</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stanovení - OSVČ</w:t>
            </w: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automatické stanovení výše PVP pro OSVČ</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F-VP-KPP-014</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31E9E">
            <w:pPr>
              <w:spacing w:before="0"/>
              <w:jc w:val="left"/>
              <w:rPr>
                <w:rFonts w:cs="Arial"/>
                <w:sz w:val="16"/>
                <w:szCs w:val="16"/>
              </w:rPr>
            </w:pPr>
            <w:r w:rsidRPr="003E7B06">
              <w:rPr>
                <w:rFonts w:cs="Arial"/>
                <w:sz w:val="16"/>
                <w:szCs w:val="16"/>
              </w:rPr>
              <w:t>Systém umožní uživateli přes grafické rozhraní vytvořit nezaúčtovaný předpis na PVP OSVČ</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F-VP-KPP-015</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informace klientovi o stanovení PVP OSVČ</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F-VP-KPP-016</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zrušení - OSVČ</w:t>
            </w:r>
          </w:p>
        </w:tc>
        <w:tc>
          <w:tcPr>
            <w:tcW w:w="5173" w:type="dxa"/>
            <w:vAlign w:val="top"/>
          </w:tcPr>
          <w:p w:rsidR="003E7B06" w:rsidRPr="003E7B06" w:rsidRDefault="003E7B06" w:rsidP="00331E9E">
            <w:pPr>
              <w:spacing w:before="0"/>
              <w:jc w:val="left"/>
              <w:rPr>
                <w:rFonts w:cs="Arial"/>
                <w:sz w:val="16"/>
                <w:szCs w:val="16"/>
              </w:rPr>
            </w:pPr>
            <w:r w:rsidRPr="003E7B06">
              <w:rPr>
                <w:rFonts w:cs="Arial"/>
                <w:sz w:val="16"/>
                <w:szCs w:val="16"/>
              </w:rPr>
              <w:t>Systém umožní uživateli přes grafické rozhraní zrušení nezaúčtovaných předpisů PVP po dodání přehledu OSVČ</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F-VP-KPP-017</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zaúčtování - OSVČ</w:t>
            </w:r>
          </w:p>
        </w:tc>
        <w:tc>
          <w:tcPr>
            <w:tcW w:w="5173" w:type="dxa"/>
            <w:vAlign w:val="top"/>
          </w:tcPr>
          <w:p w:rsidR="003E7B06" w:rsidRPr="003E7B06" w:rsidRDefault="003E7B06" w:rsidP="00331E9E">
            <w:pPr>
              <w:spacing w:before="0"/>
              <w:jc w:val="left"/>
              <w:rPr>
                <w:rFonts w:cs="Arial"/>
                <w:sz w:val="16"/>
                <w:szCs w:val="16"/>
              </w:rPr>
            </w:pPr>
            <w:r w:rsidRPr="003E7B06">
              <w:rPr>
                <w:rFonts w:cs="Arial"/>
                <w:sz w:val="16"/>
                <w:szCs w:val="16"/>
              </w:rPr>
              <w:t>Systém umožní uživateli přes grafické rozhraní zaúčtování nezaúčtovaných předpisů PVP OSVČ</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F-VP-KPP-018</w:t>
            </w:r>
          </w:p>
        </w:tc>
        <w:tc>
          <w:tcPr>
            <w:tcW w:w="2452" w:type="dxa"/>
            <w:vAlign w:val="top"/>
          </w:tcPr>
          <w:p w:rsidR="003E7B06" w:rsidRPr="003E7B06" w:rsidRDefault="003E7B06" w:rsidP="003E7B06">
            <w:pPr>
              <w:spacing w:before="0"/>
              <w:jc w:val="left"/>
              <w:rPr>
                <w:rFonts w:cs="Arial"/>
                <w:sz w:val="16"/>
                <w:szCs w:val="16"/>
              </w:rPr>
            </w:pPr>
            <w:r w:rsidRPr="003E7B06">
              <w:rPr>
                <w:rFonts w:cs="Arial"/>
                <w:sz w:val="16"/>
                <w:szCs w:val="16"/>
              </w:rPr>
              <w:t>PVP - inverzní předpisy OSVČ</w:t>
            </w:r>
          </w:p>
        </w:tc>
        <w:tc>
          <w:tcPr>
            <w:tcW w:w="5173" w:type="dxa"/>
            <w:vAlign w:val="top"/>
          </w:tcPr>
          <w:p w:rsidR="003E7B06" w:rsidRPr="003E7B06" w:rsidRDefault="003E7B06" w:rsidP="00331E9E">
            <w:pPr>
              <w:spacing w:before="0"/>
              <w:jc w:val="left"/>
              <w:rPr>
                <w:rFonts w:cs="Arial"/>
                <w:sz w:val="16"/>
                <w:szCs w:val="16"/>
              </w:rPr>
            </w:pPr>
            <w:r w:rsidRPr="003E7B06">
              <w:rPr>
                <w:rFonts w:cs="Arial"/>
                <w:sz w:val="16"/>
                <w:szCs w:val="16"/>
              </w:rPr>
              <w:t>Systém umožní uživateli přes grafické rozhraní vytvoření inverzních předpisů zaúčtovaného PVP při dodání přehledu OSVČ</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ZA</w:t>
            </w:r>
          </w:p>
        </w:tc>
        <w:tc>
          <w:tcPr>
            <w:tcW w:w="2452"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 xml:space="preserve">Řešení nesouladu v evidenci zaměstnanců (HOZ x PPPZ) </w:t>
            </w:r>
          </w:p>
        </w:tc>
        <w:tc>
          <w:tcPr>
            <w:tcW w:w="5173"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požadavky - VP-KPP-ZA</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F-VP-KPP-ZA-001</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bude umět automaticky detekovat nesoulad počtu zaměstnanců na základě  PPPZ, HOZ a evidence v ICIS</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F-VP-KPP-ZA-002</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informací pro klientova</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PO</w:t>
            </w:r>
          </w:p>
        </w:tc>
        <w:tc>
          <w:tcPr>
            <w:tcW w:w="2452"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Vyměření pokuty a nákladů řízení</w:t>
            </w:r>
          </w:p>
        </w:tc>
        <w:tc>
          <w:tcPr>
            <w:tcW w:w="5173" w:type="dxa"/>
            <w:vAlign w:val="top"/>
          </w:tcPr>
          <w:p w:rsidR="003E7B06" w:rsidRPr="003E7B06" w:rsidRDefault="003E7B06" w:rsidP="003E7B06">
            <w:pPr>
              <w:spacing w:before="0"/>
              <w:jc w:val="right"/>
              <w:rPr>
                <w:rFonts w:cs="Arial"/>
                <w:b/>
                <w:i/>
                <w:sz w:val="16"/>
                <w:szCs w:val="16"/>
              </w:rPr>
            </w:pPr>
            <w:r w:rsidRPr="003E7B06">
              <w:rPr>
                <w:rFonts w:cs="Arial"/>
                <w:b/>
                <w:i/>
                <w:sz w:val="16"/>
                <w:szCs w:val="16"/>
              </w:rPr>
              <w:t>požadavky - VP-KPP-PO</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F-VP-KPP-PO-001</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bude obsahovat podporu správního řízení - stavový automat</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F-VP-KPP-PO-002</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uživateli přes grafické rozhraní založení karty pokuty a zaevidování potřebných údajů.</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lastRenderedPageBreak/>
              <w:t>F-VP-KPP-PO-003</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585409">
            <w:pPr>
              <w:spacing w:before="0"/>
              <w:jc w:val="left"/>
              <w:rPr>
                <w:rFonts w:cs="Arial"/>
                <w:sz w:val="16"/>
                <w:szCs w:val="16"/>
              </w:rPr>
            </w:pPr>
            <w:r w:rsidRPr="003E7B06">
              <w:rPr>
                <w:rFonts w:cs="Arial"/>
                <w:sz w:val="16"/>
                <w:szCs w:val="16"/>
              </w:rPr>
              <w:t xml:space="preserve">Systém umožní uživateli přes grafické rozhraní stanovení výše pokuty a výše nákladů řízení </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F-VP-KPP-PO-004</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31E9E">
            <w:pPr>
              <w:spacing w:before="0"/>
              <w:jc w:val="left"/>
              <w:rPr>
                <w:rFonts w:cs="Arial"/>
                <w:sz w:val="16"/>
                <w:szCs w:val="16"/>
              </w:rPr>
            </w:pPr>
            <w:r w:rsidRPr="003E7B06">
              <w:rPr>
                <w:rFonts w:cs="Arial"/>
                <w:sz w:val="16"/>
                <w:szCs w:val="16"/>
              </w:rPr>
              <w:t>Systém umožní uživateli přes grafické rozhraní vytvoření účetního předpisu na pokutu a náklady řízení</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F-VP-KPP-PO-005</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informace klientovi o stanovení pokuty</w:t>
            </w:r>
          </w:p>
        </w:tc>
      </w:tr>
      <w:tr w:rsidR="003E7B06" w:rsidRPr="00247618" w:rsidTr="003E7B06">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F-VP-KPP-PO-006</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automatické párování úhrad pokut a nákladů řízení s předpisy</w:t>
            </w:r>
          </w:p>
        </w:tc>
      </w:tr>
      <w:tr w:rsidR="003E7B06" w:rsidRPr="00247618" w:rsidTr="003E7B06">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E7B06" w:rsidRPr="003E7B06" w:rsidRDefault="003E7B06" w:rsidP="003E7B06">
            <w:pPr>
              <w:spacing w:before="0"/>
              <w:jc w:val="left"/>
              <w:rPr>
                <w:rFonts w:cs="Arial"/>
                <w:sz w:val="16"/>
                <w:szCs w:val="16"/>
              </w:rPr>
            </w:pPr>
            <w:r w:rsidRPr="003E7B06">
              <w:rPr>
                <w:rFonts w:cs="Arial"/>
                <w:sz w:val="16"/>
                <w:szCs w:val="16"/>
              </w:rPr>
              <w:t>F-VP-KPP-PO-007</w:t>
            </w:r>
          </w:p>
        </w:tc>
        <w:tc>
          <w:tcPr>
            <w:tcW w:w="2452" w:type="dxa"/>
            <w:vAlign w:val="top"/>
          </w:tcPr>
          <w:p w:rsidR="003E7B06" w:rsidRPr="003E7B06" w:rsidRDefault="003E7B06" w:rsidP="003E7B06">
            <w:pPr>
              <w:spacing w:before="0"/>
              <w:jc w:val="left"/>
              <w:rPr>
                <w:rFonts w:cs="Arial"/>
                <w:sz w:val="16"/>
                <w:szCs w:val="16"/>
              </w:rPr>
            </w:pPr>
          </w:p>
        </w:tc>
        <w:tc>
          <w:tcPr>
            <w:tcW w:w="5173" w:type="dxa"/>
            <w:vAlign w:val="top"/>
          </w:tcPr>
          <w:p w:rsidR="003E7B06" w:rsidRPr="003E7B06" w:rsidRDefault="003E7B06" w:rsidP="003E7B06">
            <w:pPr>
              <w:spacing w:before="0"/>
              <w:jc w:val="left"/>
              <w:rPr>
                <w:rFonts w:cs="Arial"/>
                <w:sz w:val="16"/>
                <w:szCs w:val="16"/>
              </w:rPr>
            </w:pPr>
            <w:r w:rsidRPr="003E7B06">
              <w:rPr>
                <w:rFonts w:cs="Arial"/>
                <w:sz w:val="16"/>
                <w:szCs w:val="16"/>
              </w:rPr>
              <w:t>Systém umožní tisk dopisů při neuhrazení pokuty a nákladů řízení s výzvou k uhrazení</w:t>
            </w:r>
          </w:p>
        </w:tc>
      </w:tr>
      <w:tr w:rsidR="00585409" w:rsidRPr="00247618" w:rsidTr="00585409">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585409" w:rsidRPr="00585409" w:rsidRDefault="00585409" w:rsidP="00585409">
            <w:pPr>
              <w:spacing w:before="0"/>
              <w:jc w:val="left"/>
              <w:rPr>
                <w:sz w:val="16"/>
                <w:szCs w:val="16"/>
              </w:rPr>
            </w:pPr>
            <w:r w:rsidRPr="00585409">
              <w:rPr>
                <w:sz w:val="16"/>
                <w:szCs w:val="16"/>
              </w:rPr>
              <w:t>F-VP-KPP-PO-008</w:t>
            </w:r>
          </w:p>
        </w:tc>
        <w:tc>
          <w:tcPr>
            <w:tcW w:w="2452" w:type="dxa"/>
            <w:vAlign w:val="top"/>
          </w:tcPr>
          <w:p w:rsidR="00585409" w:rsidRPr="00585409" w:rsidRDefault="00585409" w:rsidP="00585409">
            <w:pPr>
              <w:spacing w:before="0"/>
              <w:jc w:val="left"/>
              <w:rPr>
                <w:sz w:val="16"/>
                <w:szCs w:val="16"/>
              </w:rPr>
            </w:pPr>
          </w:p>
        </w:tc>
        <w:tc>
          <w:tcPr>
            <w:tcW w:w="5173" w:type="dxa"/>
            <w:vAlign w:val="top"/>
          </w:tcPr>
          <w:p w:rsidR="00585409" w:rsidRPr="00585409" w:rsidRDefault="00585409" w:rsidP="00585409">
            <w:pPr>
              <w:spacing w:before="0"/>
              <w:jc w:val="left"/>
              <w:rPr>
                <w:sz w:val="16"/>
                <w:szCs w:val="16"/>
              </w:rPr>
            </w:pPr>
            <w:r>
              <w:rPr>
                <w:sz w:val="16"/>
                <w:szCs w:val="16"/>
              </w:rPr>
              <w:t>Systém u</w:t>
            </w:r>
            <w:r w:rsidRPr="00585409">
              <w:rPr>
                <w:sz w:val="16"/>
                <w:szCs w:val="16"/>
              </w:rPr>
              <w:t>možní právní vymáhání pokut a nákladů řízení</w:t>
            </w:r>
          </w:p>
        </w:tc>
      </w:tr>
      <w:tr w:rsidR="00585409" w:rsidRPr="00247618" w:rsidTr="00585409">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585409" w:rsidRPr="00585409" w:rsidRDefault="00585409" w:rsidP="00585409">
            <w:pPr>
              <w:spacing w:before="0"/>
              <w:jc w:val="left"/>
              <w:rPr>
                <w:sz w:val="16"/>
                <w:szCs w:val="16"/>
              </w:rPr>
            </w:pPr>
            <w:r w:rsidRPr="00585409">
              <w:rPr>
                <w:sz w:val="16"/>
                <w:szCs w:val="16"/>
              </w:rPr>
              <w:t>F-VP-KPP-PO-009</w:t>
            </w:r>
          </w:p>
        </w:tc>
        <w:tc>
          <w:tcPr>
            <w:tcW w:w="2452" w:type="dxa"/>
            <w:vAlign w:val="top"/>
          </w:tcPr>
          <w:p w:rsidR="00585409" w:rsidRPr="00585409" w:rsidRDefault="00585409" w:rsidP="00585409">
            <w:pPr>
              <w:spacing w:before="0"/>
              <w:jc w:val="left"/>
              <w:rPr>
                <w:sz w:val="16"/>
                <w:szCs w:val="16"/>
              </w:rPr>
            </w:pPr>
          </w:p>
        </w:tc>
        <w:tc>
          <w:tcPr>
            <w:tcW w:w="5173" w:type="dxa"/>
            <w:vAlign w:val="top"/>
          </w:tcPr>
          <w:p w:rsidR="00585409" w:rsidRPr="00585409" w:rsidRDefault="00585409" w:rsidP="00585409">
            <w:pPr>
              <w:spacing w:before="0"/>
              <w:jc w:val="left"/>
              <w:rPr>
                <w:sz w:val="16"/>
                <w:szCs w:val="16"/>
              </w:rPr>
            </w:pPr>
            <w:r w:rsidRPr="00585409">
              <w:rPr>
                <w:sz w:val="16"/>
                <w:szCs w:val="16"/>
              </w:rPr>
              <w:t>Systém umožní uživateli přes grafické rozhraní zaevidovat odpis pokut a nákladů řízení</w:t>
            </w:r>
          </w:p>
        </w:tc>
      </w:tr>
      <w:tr w:rsidR="00585409" w:rsidRPr="00247618" w:rsidTr="00585409">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585409" w:rsidRPr="00585409" w:rsidRDefault="00585409" w:rsidP="00585409">
            <w:pPr>
              <w:spacing w:before="0"/>
              <w:jc w:val="left"/>
              <w:rPr>
                <w:sz w:val="16"/>
                <w:szCs w:val="16"/>
              </w:rPr>
            </w:pPr>
            <w:r w:rsidRPr="00585409">
              <w:rPr>
                <w:sz w:val="16"/>
                <w:szCs w:val="16"/>
              </w:rPr>
              <w:t>F-VP-KPP-PO-010</w:t>
            </w:r>
          </w:p>
        </w:tc>
        <w:tc>
          <w:tcPr>
            <w:tcW w:w="2452" w:type="dxa"/>
            <w:vAlign w:val="top"/>
          </w:tcPr>
          <w:p w:rsidR="00585409" w:rsidRPr="00585409" w:rsidRDefault="00585409" w:rsidP="00585409">
            <w:pPr>
              <w:spacing w:before="0"/>
              <w:jc w:val="left"/>
              <w:rPr>
                <w:sz w:val="16"/>
                <w:szCs w:val="16"/>
              </w:rPr>
            </w:pPr>
          </w:p>
        </w:tc>
        <w:tc>
          <w:tcPr>
            <w:tcW w:w="5173" w:type="dxa"/>
            <w:vAlign w:val="top"/>
          </w:tcPr>
          <w:p w:rsidR="00585409" w:rsidRPr="00585409" w:rsidRDefault="00585409" w:rsidP="00331E9E">
            <w:pPr>
              <w:spacing w:before="0"/>
              <w:jc w:val="left"/>
              <w:rPr>
                <w:sz w:val="16"/>
                <w:szCs w:val="16"/>
              </w:rPr>
            </w:pPr>
            <w:r w:rsidRPr="00585409">
              <w:rPr>
                <w:sz w:val="16"/>
                <w:szCs w:val="16"/>
              </w:rPr>
              <w:t>Systém umožní uživateli přes grafické rozhraní tvorbu inverzního předpisu na pokutu a náklady řízení</w:t>
            </w:r>
          </w:p>
        </w:tc>
      </w:tr>
      <w:tr w:rsidR="00585409" w:rsidRPr="00247618" w:rsidTr="00585409">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585409" w:rsidRPr="00585409" w:rsidRDefault="00585409" w:rsidP="00585409">
            <w:pPr>
              <w:spacing w:before="0"/>
              <w:jc w:val="left"/>
              <w:rPr>
                <w:sz w:val="16"/>
                <w:szCs w:val="16"/>
              </w:rPr>
            </w:pPr>
            <w:r w:rsidRPr="00585409">
              <w:rPr>
                <w:sz w:val="16"/>
                <w:szCs w:val="16"/>
              </w:rPr>
              <w:t>F-VP-KPP-PO-011</w:t>
            </w:r>
          </w:p>
        </w:tc>
        <w:tc>
          <w:tcPr>
            <w:tcW w:w="2452" w:type="dxa"/>
            <w:vAlign w:val="top"/>
          </w:tcPr>
          <w:p w:rsidR="00585409" w:rsidRPr="00585409" w:rsidRDefault="00585409" w:rsidP="00585409">
            <w:pPr>
              <w:spacing w:before="0"/>
              <w:jc w:val="left"/>
              <w:rPr>
                <w:sz w:val="16"/>
                <w:szCs w:val="16"/>
              </w:rPr>
            </w:pPr>
          </w:p>
        </w:tc>
        <w:tc>
          <w:tcPr>
            <w:tcW w:w="5173" w:type="dxa"/>
            <w:vAlign w:val="top"/>
          </w:tcPr>
          <w:p w:rsidR="00585409" w:rsidRPr="00585409" w:rsidRDefault="00585409" w:rsidP="00585409">
            <w:pPr>
              <w:spacing w:before="0"/>
              <w:jc w:val="left"/>
              <w:rPr>
                <w:sz w:val="16"/>
                <w:szCs w:val="16"/>
              </w:rPr>
            </w:pPr>
            <w:r w:rsidRPr="00585409">
              <w:rPr>
                <w:sz w:val="16"/>
                <w:szCs w:val="16"/>
              </w:rPr>
              <w:t>Systém umožní automa</w:t>
            </w:r>
            <w:r w:rsidR="00331E9E">
              <w:rPr>
                <w:sz w:val="16"/>
                <w:szCs w:val="16"/>
              </w:rPr>
              <w:t>ticky dle definovaných kritérií</w:t>
            </w:r>
            <w:r w:rsidRPr="00585409">
              <w:rPr>
                <w:sz w:val="16"/>
                <w:szCs w:val="16"/>
              </w:rPr>
              <w:t xml:space="preserve"> nastavit stav Vyřešeno na kartě pokuty s nulovým zůstatkem pokuty a nákladů řízení</w:t>
            </w:r>
          </w:p>
        </w:tc>
      </w:tr>
    </w:tbl>
    <w:p w:rsidR="008329A8" w:rsidRPr="008329A8" w:rsidRDefault="008329A8" w:rsidP="008329A8"/>
    <w:p w:rsidR="008329A8" w:rsidRDefault="008329A8" w:rsidP="008329A8">
      <w:pPr>
        <w:pStyle w:val="Nadpis1"/>
      </w:pPr>
      <w:bookmarkStart w:id="3" w:name="_Toc374344322"/>
      <w:r>
        <w:lastRenderedPageBreak/>
        <w:t>Kontrola platební kázně (KPL)</w:t>
      </w:r>
      <w:bookmarkEnd w:id="3"/>
    </w:p>
    <w:tbl>
      <w:tblPr>
        <w:tblStyle w:val="Mkatabulky"/>
        <w:tblpPr w:leftFromText="141" w:rightFromText="141" w:vertAnchor="text" w:horzAnchor="margin" w:tblpX="113" w:tblpY="181"/>
        <w:tblW w:w="5000" w:type="pct"/>
        <w:tblLook w:val="04A0" w:firstRow="1" w:lastRow="0" w:firstColumn="1" w:lastColumn="0" w:noHBand="0" w:noVBand="1"/>
      </w:tblPr>
      <w:tblGrid>
        <w:gridCol w:w="1673"/>
        <w:gridCol w:w="2452"/>
        <w:gridCol w:w="5173"/>
      </w:tblGrid>
      <w:tr w:rsidR="008329A8" w:rsidRPr="00247618" w:rsidTr="00330F6D">
        <w:trPr>
          <w:cnfStyle w:val="100000000000" w:firstRow="1" w:lastRow="0" w:firstColumn="0" w:lastColumn="0" w:oddVBand="0" w:evenVBand="0" w:oddHBand="0" w:evenHBand="0" w:firstRowFirstColumn="0" w:firstRowLastColumn="0" w:lastRowFirstColumn="0" w:lastRowLastColumn="0"/>
          <w:trHeight w:val="345"/>
          <w:tblHeader/>
        </w:trPr>
        <w:tc>
          <w:tcPr>
            <w:tcW w:w="1673" w:type="dxa"/>
          </w:tcPr>
          <w:p w:rsidR="008329A8" w:rsidRPr="00247618" w:rsidRDefault="008329A8" w:rsidP="00330F6D">
            <w:pPr>
              <w:spacing w:before="0"/>
              <w:jc w:val="left"/>
              <w:rPr>
                <w:sz w:val="16"/>
                <w:szCs w:val="16"/>
              </w:rPr>
            </w:pPr>
            <w:r w:rsidRPr="00247618">
              <w:rPr>
                <w:sz w:val="16"/>
                <w:szCs w:val="16"/>
              </w:rPr>
              <w:t>Kód</w:t>
            </w:r>
            <w:r>
              <w:rPr>
                <w:sz w:val="16"/>
                <w:szCs w:val="16"/>
              </w:rPr>
              <w:t xml:space="preserve"> oblasti / procesu / funkce</w:t>
            </w:r>
          </w:p>
        </w:tc>
        <w:tc>
          <w:tcPr>
            <w:tcW w:w="2452" w:type="dxa"/>
          </w:tcPr>
          <w:p w:rsidR="008329A8" w:rsidRDefault="008329A8" w:rsidP="00330F6D">
            <w:pPr>
              <w:spacing w:before="0"/>
              <w:jc w:val="left"/>
              <w:rPr>
                <w:sz w:val="16"/>
                <w:szCs w:val="16"/>
              </w:rPr>
            </w:pPr>
            <w:r>
              <w:rPr>
                <w:sz w:val="16"/>
                <w:szCs w:val="16"/>
              </w:rPr>
              <w:t xml:space="preserve">Související proces / </w:t>
            </w:r>
          </w:p>
          <w:p w:rsidR="008329A8" w:rsidRPr="00247618" w:rsidRDefault="008329A8" w:rsidP="00330F6D">
            <w:pPr>
              <w:spacing w:before="0"/>
              <w:jc w:val="left"/>
              <w:rPr>
                <w:sz w:val="16"/>
                <w:szCs w:val="16"/>
              </w:rPr>
            </w:pPr>
            <w:r>
              <w:rPr>
                <w:sz w:val="16"/>
                <w:szCs w:val="16"/>
              </w:rPr>
              <w:t>oblast / aktivita</w:t>
            </w:r>
          </w:p>
        </w:tc>
        <w:tc>
          <w:tcPr>
            <w:tcW w:w="5173" w:type="dxa"/>
          </w:tcPr>
          <w:p w:rsidR="008329A8" w:rsidRPr="00247618" w:rsidRDefault="008329A8" w:rsidP="00330F6D">
            <w:pPr>
              <w:spacing w:before="0"/>
              <w:jc w:val="left"/>
              <w:rPr>
                <w:sz w:val="16"/>
                <w:szCs w:val="16"/>
              </w:rPr>
            </w:pPr>
            <w:r>
              <w:rPr>
                <w:sz w:val="16"/>
                <w:szCs w:val="16"/>
              </w:rPr>
              <w:t>Popis</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right"/>
              <w:rPr>
                <w:rFonts w:cs="Arial"/>
                <w:b/>
                <w:i/>
                <w:sz w:val="16"/>
                <w:szCs w:val="16"/>
              </w:rPr>
            </w:pPr>
            <w:r w:rsidRPr="00330F6D">
              <w:rPr>
                <w:rFonts w:cs="Arial"/>
                <w:b/>
                <w:i/>
                <w:sz w:val="16"/>
                <w:szCs w:val="16"/>
              </w:rPr>
              <w:t>KN</w:t>
            </w:r>
          </w:p>
        </w:tc>
        <w:tc>
          <w:tcPr>
            <w:tcW w:w="2452" w:type="dxa"/>
            <w:vAlign w:val="top"/>
          </w:tcPr>
          <w:p w:rsidR="00330F6D" w:rsidRPr="00330F6D" w:rsidRDefault="00330F6D" w:rsidP="00330F6D">
            <w:pPr>
              <w:spacing w:before="0"/>
              <w:jc w:val="right"/>
              <w:rPr>
                <w:rFonts w:cs="Arial"/>
                <w:b/>
                <w:i/>
                <w:sz w:val="16"/>
                <w:szCs w:val="16"/>
              </w:rPr>
            </w:pPr>
            <w:r w:rsidRPr="00330F6D">
              <w:rPr>
                <w:rFonts w:cs="Arial"/>
                <w:b/>
                <w:i/>
                <w:sz w:val="16"/>
                <w:szCs w:val="16"/>
              </w:rPr>
              <w:t>Karta nezkontrolovaného období</w:t>
            </w:r>
          </w:p>
        </w:tc>
        <w:tc>
          <w:tcPr>
            <w:tcW w:w="5173" w:type="dxa"/>
            <w:vAlign w:val="top"/>
          </w:tcPr>
          <w:p w:rsidR="00330F6D" w:rsidRPr="00330F6D" w:rsidRDefault="00330F6D" w:rsidP="00330F6D">
            <w:pPr>
              <w:spacing w:before="0"/>
              <w:jc w:val="right"/>
              <w:rPr>
                <w:rFonts w:cs="Arial"/>
                <w:b/>
                <w:i/>
                <w:sz w:val="16"/>
                <w:szCs w:val="16"/>
              </w:rPr>
            </w:pPr>
            <w:r w:rsidRPr="00330F6D">
              <w:rPr>
                <w:rFonts w:cs="Arial"/>
                <w:b/>
                <w:i/>
                <w:sz w:val="16"/>
                <w:szCs w:val="16"/>
              </w:rPr>
              <w:t>procesy - VP-KPL-KNO, požadavky - VP-KPL-KN</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F-VP-KPL-KNO-001</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Vytvoření karty</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automatické vytvoření karty nezkontrolovaného období pro plátce s platební povinností - organizace vždy, pojištěnec pokud má kategorii plátce OBZP nebo OSVČ</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F-VP-KPL-KNO-002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 xml:space="preserve">Systém umožní automatický výpočet aktuální výše dluhu na pojistném a penále </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F-VP-KPL-KNO-003</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přiřazení referenta kartě kontroly nebo jeho změnu - automaticky dle definovaných pravidel nebo ručně přes grafické rozhraní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F-VP-KPL-KNO-004</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bude podporovat automatické přechody mezi stavy po uplynutí nastavené doby</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2D69A1">
            <w:pPr>
              <w:spacing w:before="0"/>
              <w:jc w:val="right"/>
              <w:rPr>
                <w:rFonts w:cs="Arial"/>
                <w:b/>
                <w:i/>
                <w:sz w:val="16"/>
                <w:szCs w:val="16"/>
              </w:rPr>
            </w:pPr>
            <w:r w:rsidRPr="00330F6D">
              <w:rPr>
                <w:rFonts w:cs="Arial"/>
                <w:b/>
                <w:i/>
                <w:sz w:val="16"/>
                <w:szCs w:val="16"/>
              </w:rPr>
              <w:t>AK</w:t>
            </w:r>
          </w:p>
        </w:tc>
        <w:tc>
          <w:tcPr>
            <w:tcW w:w="2452" w:type="dxa"/>
            <w:vAlign w:val="top"/>
          </w:tcPr>
          <w:p w:rsidR="00330F6D" w:rsidRPr="00330F6D" w:rsidRDefault="00330F6D" w:rsidP="002D69A1">
            <w:pPr>
              <w:spacing w:before="0"/>
              <w:jc w:val="right"/>
              <w:rPr>
                <w:rFonts w:cs="Arial"/>
                <w:b/>
                <w:i/>
                <w:sz w:val="16"/>
                <w:szCs w:val="16"/>
              </w:rPr>
            </w:pPr>
            <w:r w:rsidRPr="00330F6D">
              <w:rPr>
                <w:rFonts w:cs="Arial"/>
                <w:b/>
                <w:i/>
                <w:sz w:val="16"/>
                <w:szCs w:val="16"/>
              </w:rPr>
              <w:t>Spuštění kontroly a evidence stavu – automatická úloha</w:t>
            </w:r>
          </w:p>
        </w:tc>
        <w:tc>
          <w:tcPr>
            <w:tcW w:w="5173" w:type="dxa"/>
            <w:vAlign w:val="top"/>
          </w:tcPr>
          <w:p w:rsidR="00330F6D" w:rsidRPr="00330F6D" w:rsidRDefault="00330F6D" w:rsidP="002D69A1">
            <w:pPr>
              <w:spacing w:before="0"/>
              <w:jc w:val="right"/>
              <w:rPr>
                <w:rFonts w:cs="Arial"/>
                <w:b/>
                <w:i/>
                <w:sz w:val="16"/>
                <w:szCs w:val="16"/>
              </w:rPr>
            </w:pPr>
            <w:r w:rsidRPr="00330F6D">
              <w:rPr>
                <w:rFonts w:cs="Arial"/>
                <w:b/>
                <w:i/>
                <w:sz w:val="16"/>
                <w:szCs w:val="16"/>
              </w:rPr>
              <w:t>požadavky - VP-KPL-AK</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F-VP-KPL-AK-001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bude obsahovat úlohu, která po spuštění uživatelem do historie karty nezkontrolovaného období provede zápis řádku s aktuálním stavem na pojistném a penále (dluh, přeplatek, 0) a zajistí automatický posun stavů dle definovaných následníků</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PE</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 xml:space="preserve">Stanovení penále </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požadavky - VP-KPL-PE</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F-VP-KPL-PE-001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bude umožňovat automatický výpočet penále dle zákona.</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F-VP-KPL-PE-002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automaticky v okamžiku vystavení výkazu nedoplatků vytvoří nezaúčtovaný předpis na penále.</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F-VP-KPL-PE-003</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vytvoření zaúčtovaného předpisu na penále v případě úhrady penále bez předpisu ve výši úhrady</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F-VP-KPL-PE-004</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zaúčtování nezaúčtovaného předpisu na penále v okamžiku vykonatelnosti VN</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DL</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 xml:space="preserve">Řešení procesu kontroly platební kázně s dluhem na pojistném nebo penále </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procesy - VP-KPL-KPK, požadavky - VP-KPL-DL</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F-VP-KPL-KPK-001</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Výběr kontrol ke zpracování</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bude umožňovat filtrování kontrol dle zadaných kritérií přes grafické rozhraní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bude podporovat automatické přechody mezi stavy po uplynutí nastavené doby</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F-VP-KPL-KPK-003</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Výzva k úhradě</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bude umožňovat tisk a zaevidování výzvy k úhradě dlužného pojistného a penále na kartě kontroly</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F-VP-KPL-KPK-004</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Splátkový kalendář</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bude umožňovat uživateli přes grafické rozhraní zaevidování splátkového kalendáře přes grafické rozhraní</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F-VP-KPL-KPK-005</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bude umožňovat uživateli přes grafické rozhraní sledování úhrad dle splátkového kalendáře</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F-VP-KPL-KPK-006</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Výkaz nedoplatků</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vytvoření výkazu nedoplatků jeho tisk a odeslání (pošta, datové schránky) - včetně použití plné moci</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F-VP-KPL-KPK-007</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po vystavení VN provede automaticky k zadanému datu uzavření nezkontrolovaného období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F-VP-KPL-KPK-008</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po vystavení VN provede automaticky na kartě kontroly s VN nastavení uzamčení období pro změnu pohledávek</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lastRenderedPageBreak/>
              <w:t>F-VP-KPL-KPK-009</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automaticky založení Karty nezkontrolovaného období jako následné karty po kartě kontroly s VN</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F-VP-KPL-KPK-010</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Zpracování doručení VN</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zpracování informace o doručení VN - automaticky z datových schránek nebo ručně přes grafické rozhraní</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při nedoručení VN provede automaticky nové doručení veřejnou vývěskou</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automaticky při zpracování doručení VN provede zaúčtování nezaúčtovaného předpisu penále</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F-VP-KPL-KPK-013</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zaevidovat námitky proti VN přes grafické rozhraní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F-VP-KPL-KPK-014</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odpovědi na námitky proti VN přes grafické rozhraní</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F-VP-KPL-KPK-015</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zaevidování odvolání proti VN přes grafické rozhraní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F-VP-KPL-KPK-016</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odpovědi na odvolání proti VN přes grafické rozhraní</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F-VP-KPL-KPK-017</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Předání právnímu odboru</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nastavení stavu Předáno na právní odbor - přesun stavu na kartě kontroly</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F-VP-KPL-KPK-018</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 xml:space="preserve">Systém umožní zaevidování odpovědné osoby právního odboru, které případ přináleží dle definovaných kritérií automaticky nebo ručně uživatelem přes grafické rozhraní </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F-VP-KPL-KPK-019</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Odemčení období</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 xml:space="preserve">Systém umožní uživateli přes grafické rozhraní nastavení povolení úpravy pohledávek v časovém období karty kontroly s VN </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F-VP-KPL-KPK-020</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Zrušení VN</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zrušení VN z důvodu změny pohledávek</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F-VP-KPL-KPK-021</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Vystavení nového VN</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vystavení nového VN se změněnou hodnotou dluhu po změně pohledávek</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F-VP-KPL-KPK-022</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 xml:space="preserve">Zrušení karty nezkontrolovaného období </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zrušení karty nezkontrolovaného období v případě, že kartě předchází karta s VN, který bude zrušen</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F-VP-KPL-KPK-023</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Znovuotevření KK s VN</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nastavení kontroly s VN jako Karty nezkontrolovaného období po zrušení následující karty nezkontrolovaného období, zrušení VN</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F-VP-KPL-KPK-024</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Uzavření kontroly</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nastavení stavu vyřešeno na kartě kontroly s VN</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F-VP-KPL-KPK-025</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Vrácení přeplatku</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přes grafické rozhraní tvorbu vratky přeplatku pojistného nebo penále, zaúčtování, proplacení dle stanovených kritérií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PR</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 xml:space="preserve">Řešení procesu kontrol v období prekluze </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požadavky - VP-KPL-PR</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F-VP-KPL-PR-001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nedovolí změny v zaevidování platební povinnosti</w:t>
            </w:r>
            <w:r w:rsidR="00331E9E">
              <w:rPr>
                <w:rFonts w:cs="Arial"/>
                <w:sz w:val="16"/>
                <w:szCs w:val="16"/>
              </w:rPr>
              <w:t>,</w:t>
            </w:r>
            <w:r w:rsidRPr="00330F6D">
              <w:rPr>
                <w:rFonts w:cs="Arial"/>
                <w:sz w:val="16"/>
                <w:szCs w:val="16"/>
              </w:rPr>
              <w:t xml:space="preserve"> pokud by pohledávka spadla do prekluze … (nedovolí změnit pohledávku před definovaným datem)  - zajištěno ve spolupráci s registry.</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BE</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Bezdlužnost</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procesy - VP-KPL-BEZ, požadavky - VP-KPL-BE</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F-VP-KPL-BEZ-001</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Zaevidování žádosti</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uživateli přes grafické rozhraní vytvoření karty žádosti o vydání potvrzení o bezdlužnosti</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F-VP-KPL-BEZ-002</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Výpočet a kontrola</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zjištění plnění zákonných povinností (podání PPPZ nebo přehledu OSVČ, souladu počtu zaměstnanců a výpočet salda předpisů a úhrad subjektu.</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F-VP-KPL-BEZ-003</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Informace OK</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potvrzení o bezdlužnosti</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F-VP-KPL-BEZ-004</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Informace dluh</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informace o tom, že subjekt je dlužníkem</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F-VP-KPL-BEZ-005</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Informace nesplněné povinnosti</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informace o nesplněné zákonné povinnosti podat PPPZ nebo přehled OSVČ</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lastRenderedPageBreak/>
              <w:t>F-VP-KPL-BEZ-006</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Informace nesoulad počtu zaměstnanců</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informace o nesouladu počtu zaměstnanců evidovaných v ICIS a uváděných zaměstnavatelem na PPPZ nebo HOZ</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F-VP-KPL-BEZ-007</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 xml:space="preserve">Systém umožní automatické zaevidování žádosti o bezdlužnost přijaté z Portálu ZP nebo Portálu OZP </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F-VP-KPL-BEZ-008</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zpracování žádosti navedené z portálu ZP nebo OZP</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F-VP-KPL-BEZ-009</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odeslání odpovědi ohledně bezdlužnosti zpět na portál ZP nebo OZP</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VR</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Vratky a přeplatky</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požadavky - VP-KPL-VR</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F-VP-KPL-VR-001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uživateli přes grafické rozhraní vytvoření předpisu na vrácení přeplatku a jeho odeslání subjektu</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F-VP-KPL-VR-002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uživateli přes grafické rozhraní přeúčtování z jednoho typu úhrady na jiný</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F-VP-KPL-VR-003</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přeúčtování nepřiřazených nebo špatně přiřazených plateb správnému subjektu</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OD</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Správa a evidence odpisů včetně storna odpisů</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požadavky - VP-KPL-OD</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F-VP-KPL-OD-001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uživateli přes grafické rozhraní tvorbu nezaúčtovaného předpisu na odpis pojistného, penále, pokuty nebo nákladů řízení nebo nákladů na hrazené služby</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F-VP-KPL-OD-002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zaúčtování nezaúčtovaných předpisů odpisů, evidence odpisu na kartu kontroly, kartu pokuty, kartu regresu, a přepočítat zůstatek</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F-VP-KPL-OD-003</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Systém umožní uživateli přes grafické rozhraní vytvořit inverzní předpis k zaúčtovanému předpisu na odpis, evidence na kartu kontroly, kartu pokuty, kartu regresu a přepočítat zůstatek</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UM</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 xml:space="preserve">Kontrola k datu úmrtí </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požadavky - VP-KPL-UM</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F-VP-KPL-UM-001</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ukončení Karty nezkontrolovaného období k datu úmrtí</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F-VP-KPL-UM-002</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otevření nové Karty nezkontrolovaného období, na které se nepřepočítává penále</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OP</w:t>
            </w:r>
          </w:p>
        </w:tc>
        <w:tc>
          <w:tcPr>
            <w:tcW w:w="2452"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 xml:space="preserve">Správa opravných prostředků - Podpora pro Rozhodčí orgán a Komisi </w:t>
            </w:r>
          </w:p>
        </w:tc>
        <w:tc>
          <w:tcPr>
            <w:tcW w:w="5173" w:type="dxa"/>
            <w:vAlign w:val="top"/>
          </w:tcPr>
          <w:p w:rsidR="00330F6D" w:rsidRPr="002D69A1" w:rsidRDefault="00330F6D" w:rsidP="002D69A1">
            <w:pPr>
              <w:spacing w:before="0"/>
              <w:jc w:val="right"/>
              <w:rPr>
                <w:rFonts w:cs="Arial"/>
                <w:b/>
                <w:i/>
                <w:sz w:val="16"/>
                <w:szCs w:val="16"/>
              </w:rPr>
            </w:pPr>
            <w:r w:rsidRPr="002D69A1">
              <w:rPr>
                <w:rFonts w:cs="Arial"/>
                <w:b/>
                <w:i/>
                <w:sz w:val="16"/>
                <w:szCs w:val="16"/>
              </w:rPr>
              <w:t>procesy - VP-KPL-OTZ, požadavky - VP-KPL-OP</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F-VP-KPL-OTZ-001</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Zaevidování žádosti</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uživateli přes grafické rozhraní zaevidování žádosti o OTZ na příslušnou kartu kontroly</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F-VP-KPL-OTZ-002</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Zamítnutí žádosti</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informace o zamítnutí žádosti</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F-VP-KPL-OTZ-003</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Upozornění</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informace s upozorněním a lhůtou pro odstranění nedostatků</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F-VP-KPL-OTZ-004</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Účetní předpis</w:t>
            </w: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 xml:space="preserve">Systém umožní uživateli přes grafické rozhraní vytvoření účetního předpisu </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F-VP-KPL-OTZ-005</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1E9E">
            <w:pPr>
              <w:spacing w:before="0"/>
              <w:jc w:val="left"/>
              <w:rPr>
                <w:rFonts w:cs="Arial"/>
                <w:sz w:val="16"/>
                <w:szCs w:val="16"/>
              </w:rPr>
            </w:pPr>
            <w:r w:rsidRPr="00330F6D">
              <w:rPr>
                <w:rFonts w:cs="Arial"/>
                <w:sz w:val="16"/>
                <w:szCs w:val="16"/>
              </w:rPr>
              <w:t xml:space="preserve">Systém umožní uživateli přes grafické rozhraní zaúčtování předpisu na OTZ </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F-VP-KPL-OTZ-006</w:t>
            </w:r>
          </w:p>
        </w:tc>
        <w:tc>
          <w:tcPr>
            <w:tcW w:w="2452" w:type="dxa"/>
            <w:vAlign w:val="top"/>
          </w:tcPr>
          <w:p w:rsidR="00330F6D" w:rsidRPr="00330F6D" w:rsidRDefault="00330F6D" w:rsidP="00330F6D">
            <w:pPr>
              <w:spacing w:before="0"/>
              <w:jc w:val="left"/>
              <w:rPr>
                <w:rFonts w:cs="Arial"/>
                <w:sz w:val="16"/>
                <w:szCs w:val="16"/>
              </w:rPr>
            </w:pP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 xml:space="preserve">Systém provede automatické zaevidování OTZ na kartu kontroly a její přepočet </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F-VP-KPL-OTZ-007</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Určení výše OTZ</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dle definovaných kritérii v případě souhlasu s OTZ určí automaticky výši OTZ</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F-VP-KPL-OTZ-008</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Informace o výši OTZ</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umožní tisk informace klientovi o výši OTZ</w:t>
            </w:r>
          </w:p>
        </w:tc>
      </w:tr>
      <w:tr w:rsidR="00330F6D" w:rsidRPr="00247618" w:rsidTr="00330F6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t>F-VP-KPL-OTZ-009</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Zaevidování na KK</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automatické zaevidování výsledku žádosti - vyhověno, částečně vyhověno, zamítnuto na kartu kontroly</w:t>
            </w:r>
          </w:p>
        </w:tc>
      </w:tr>
      <w:tr w:rsidR="00330F6D" w:rsidRPr="00247618" w:rsidTr="00330F6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330F6D" w:rsidRPr="00330F6D" w:rsidRDefault="00330F6D" w:rsidP="00330F6D">
            <w:pPr>
              <w:spacing w:before="0"/>
              <w:jc w:val="left"/>
              <w:rPr>
                <w:rFonts w:cs="Arial"/>
                <w:sz w:val="16"/>
                <w:szCs w:val="16"/>
              </w:rPr>
            </w:pPr>
            <w:r w:rsidRPr="00330F6D">
              <w:rPr>
                <w:rFonts w:cs="Arial"/>
                <w:sz w:val="16"/>
                <w:szCs w:val="16"/>
              </w:rPr>
              <w:lastRenderedPageBreak/>
              <w:t>F-VP-KPL-OTZ-010</w:t>
            </w:r>
          </w:p>
        </w:tc>
        <w:tc>
          <w:tcPr>
            <w:tcW w:w="2452" w:type="dxa"/>
            <w:vAlign w:val="top"/>
          </w:tcPr>
          <w:p w:rsidR="00330F6D" w:rsidRPr="00330F6D" w:rsidRDefault="00330F6D" w:rsidP="00330F6D">
            <w:pPr>
              <w:spacing w:before="0"/>
              <w:jc w:val="left"/>
              <w:rPr>
                <w:rFonts w:cs="Arial"/>
                <w:sz w:val="16"/>
                <w:szCs w:val="16"/>
              </w:rPr>
            </w:pPr>
            <w:r w:rsidRPr="00330F6D">
              <w:rPr>
                <w:rFonts w:cs="Arial"/>
                <w:sz w:val="16"/>
                <w:szCs w:val="16"/>
              </w:rPr>
              <w:t>Zápis podpory</w:t>
            </w:r>
          </w:p>
        </w:tc>
        <w:tc>
          <w:tcPr>
            <w:tcW w:w="5173" w:type="dxa"/>
            <w:vAlign w:val="top"/>
          </w:tcPr>
          <w:p w:rsidR="00330F6D" w:rsidRPr="00330F6D" w:rsidRDefault="00330F6D" w:rsidP="00330F6D">
            <w:pPr>
              <w:spacing w:before="0"/>
              <w:jc w:val="left"/>
              <w:rPr>
                <w:rFonts w:cs="Arial"/>
                <w:sz w:val="16"/>
                <w:szCs w:val="16"/>
              </w:rPr>
            </w:pPr>
            <w:r w:rsidRPr="00330F6D">
              <w:rPr>
                <w:rFonts w:cs="Arial"/>
                <w:sz w:val="16"/>
                <w:szCs w:val="16"/>
              </w:rPr>
              <w:t>Systém provede automatický zápis podpory do rejstříku poskytnutých OTZ</w:t>
            </w:r>
          </w:p>
        </w:tc>
      </w:tr>
    </w:tbl>
    <w:p w:rsidR="008329A8" w:rsidRPr="008329A8" w:rsidRDefault="008329A8" w:rsidP="008329A8"/>
    <w:p w:rsidR="008329A8" w:rsidRDefault="008329A8" w:rsidP="008329A8">
      <w:pPr>
        <w:pStyle w:val="Nadpis1"/>
      </w:pPr>
      <w:bookmarkStart w:id="4" w:name="_Toc374344323"/>
      <w:r>
        <w:lastRenderedPageBreak/>
        <w:t>Insolvenční řízení, likvidace, úmrtí (ISL)</w:t>
      </w:r>
      <w:bookmarkEnd w:id="4"/>
    </w:p>
    <w:tbl>
      <w:tblPr>
        <w:tblStyle w:val="Mkatabulky"/>
        <w:tblpPr w:leftFromText="141" w:rightFromText="141" w:vertAnchor="text" w:horzAnchor="margin" w:tblpX="113" w:tblpY="181"/>
        <w:tblW w:w="5000" w:type="pct"/>
        <w:tblLook w:val="04A0" w:firstRow="1" w:lastRow="0" w:firstColumn="1" w:lastColumn="0" w:noHBand="0" w:noVBand="1"/>
      </w:tblPr>
      <w:tblGrid>
        <w:gridCol w:w="1673"/>
        <w:gridCol w:w="2452"/>
        <w:gridCol w:w="5173"/>
      </w:tblGrid>
      <w:tr w:rsidR="008329A8" w:rsidRPr="00247618" w:rsidTr="00330F6D">
        <w:trPr>
          <w:cnfStyle w:val="100000000000" w:firstRow="1" w:lastRow="0" w:firstColumn="0" w:lastColumn="0" w:oddVBand="0" w:evenVBand="0" w:oddHBand="0" w:evenHBand="0" w:firstRowFirstColumn="0" w:firstRowLastColumn="0" w:lastRowFirstColumn="0" w:lastRowLastColumn="0"/>
          <w:trHeight w:val="345"/>
          <w:tblHeader/>
        </w:trPr>
        <w:tc>
          <w:tcPr>
            <w:tcW w:w="1673" w:type="dxa"/>
          </w:tcPr>
          <w:p w:rsidR="008329A8" w:rsidRPr="00247618" w:rsidRDefault="008329A8" w:rsidP="00330F6D">
            <w:pPr>
              <w:spacing w:before="0"/>
              <w:jc w:val="left"/>
              <w:rPr>
                <w:sz w:val="16"/>
                <w:szCs w:val="16"/>
              </w:rPr>
            </w:pPr>
            <w:r w:rsidRPr="00247618">
              <w:rPr>
                <w:sz w:val="16"/>
                <w:szCs w:val="16"/>
              </w:rPr>
              <w:t>Kód</w:t>
            </w:r>
            <w:r>
              <w:rPr>
                <w:sz w:val="16"/>
                <w:szCs w:val="16"/>
              </w:rPr>
              <w:t xml:space="preserve"> oblasti / procesu / funkce</w:t>
            </w:r>
          </w:p>
        </w:tc>
        <w:tc>
          <w:tcPr>
            <w:tcW w:w="2452" w:type="dxa"/>
          </w:tcPr>
          <w:p w:rsidR="008329A8" w:rsidRDefault="008329A8" w:rsidP="00330F6D">
            <w:pPr>
              <w:spacing w:before="0"/>
              <w:jc w:val="left"/>
              <w:rPr>
                <w:sz w:val="16"/>
                <w:szCs w:val="16"/>
              </w:rPr>
            </w:pPr>
            <w:r>
              <w:rPr>
                <w:sz w:val="16"/>
                <w:szCs w:val="16"/>
              </w:rPr>
              <w:t xml:space="preserve">Související proces / </w:t>
            </w:r>
          </w:p>
          <w:p w:rsidR="008329A8" w:rsidRPr="00247618" w:rsidRDefault="008329A8" w:rsidP="00330F6D">
            <w:pPr>
              <w:spacing w:before="0"/>
              <w:jc w:val="left"/>
              <w:rPr>
                <w:sz w:val="16"/>
                <w:szCs w:val="16"/>
              </w:rPr>
            </w:pPr>
            <w:r>
              <w:rPr>
                <w:sz w:val="16"/>
                <w:szCs w:val="16"/>
              </w:rPr>
              <w:t>oblast / aktivita</w:t>
            </w:r>
          </w:p>
        </w:tc>
        <w:tc>
          <w:tcPr>
            <w:tcW w:w="5173" w:type="dxa"/>
          </w:tcPr>
          <w:p w:rsidR="008329A8" w:rsidRPr="00247618" w:rsidRDefault="008329A8" w:rsidP="00330F6D">
            <w:pPr>
              <w:spacing w:before="0"/>
              <w:jc w:val="left"/>
              <w:rPr>
                <w:sz w:val="16"/>
                <w:szCs w:val="16"/>
              </w:rPr>
            </w:pPr>
            <w:r>
              <w:rPr>
                <w:sz w:val="16"/>
                <w:szCs w:val="16"/>
              </w:rPr>
              <w:t>Popis</w:t>
            </w:r>
          </w:p>
        </w:tc>
      </w:tr>
      <w:tr w:rsidR="001572CD" w:rsidRPr="00247618" w:rsidTr="001572C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1572CD" w:rsidRPr="001572CD" w:rsidRDefault="001572CD" w:rsidP="001572CD">
            <w:pPr>
              <w:spacing w:before="0"/>
              <w:jc w:val="right"/>
              <w:rPr>
                <w:b/>
                <w:i/>
                <w:sz w:val="16"/>
                <w:szCs w:val="16"/>
              </w:rPr>
            </w:pPr>
          </w:p>
        </w:tc>
        <w:tc>
          <w:tcPr>
            <w:tcW w:w="2452" w:type="dxa"/>
            <w:vAlign w:val="top"/>
          </w:tcPr>
          <w:p w:rsidR="001572CD" w:rsidRPr="001572CD" w:rsidRDefault="001572CD" w:rsidP="001572CD">
            <w:pPr>
              <w:spacing w:before="0"/>
              <w:jc w:val="right"/>
              <w:rPr>
                <w:b/>
                <w:i/>
                <w:sz w:val="16"/>
                <w:szCs w:val="16"/>
              </w:rPr>
            </w:pPr>
          </w:p>
        </w:tc>
        <w:tc>
          <w:tcPr>
            <w:tcW w:w="5173" w:type="dxa"/>
            <w:vAlign w:val="top"/>
          </w:tcPr>
          <w:p w:rsidR="001572CD" w:rsidRPr="001572CD" w:rsidRDefault="001572CD" w:rsidP="001572CD">
            <w:pPr>
              <w:spacing w:before="0"/>
              <w:jc w:val="right"/>
              <w:rPr>
                <w:b/>
                <w:i/>
                <w:sz w:val="16"/>
                <w:szCs w:val="16"/>
              </w:rPr>
            </w:pPr>
            <w:r w:rsidRPr="001572CD">
              <w:rPr>
                <w:b/>
                <w:i/>
                <w:sz w:val="16"/>
                <w:szCs w:val="16"/>
              </w:rPr>
              <w:t>procesy - VP-ISL, požadavky - VP-ISL</w:t>
            </w:r>
          </w:p>
        </w:tc>
      </w:tr>
      <w:tr w:rsidR="001572CD" w:rsidRPr="00247618" w:rsidTr="001572C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F-VP-ISL-001</w:t>
            </w:r>
          </w:p>
        </w:tc>
        <w:tc>
          <w:tcPr>
            <w:tcW w:w="2452" w:type="dxa"/>
            <w:vAlign w:val="top"/>
          </w:tcPr>
          <w:p w:rsidR="001572CD" w:rsidRPr="001572CD" w:rsidRDefault="001572CD" w:rsidP="001572CD">
            <w:pPr>
              <w:spacing w:before="0"/>
              <w:jc w:val="left"/>
              <w:rPr>
                <w:sz w:val="16"/>
                <w:szCs w:val="16"/>
              </w:rPr>
            </w:pPr>
            <w:r w:rsidRPr="001572CD">
              <w:rPr>
                <w:sz w:val="16"/>
                <w:szCs w:val="16"/>
              </w:rPr>
              <w:t>Ukončení otevřené karty kontroly Insolvenční řízení</w:t>
            </w:r>
          </w:p>
        </w:tc>
        <w:tc>
          <w:tcPr>
            <w:tcW w:w="5173" w:type="dxa"/>
            <w:vAlign w:val="top"/>
          </w:tcPr>
          <w:p w:rsidR="001572CD" w:rsidRPr="001572CD" w:rsidRDefault="001572CD" w:rsidP="001572CD">
            <w:pPr>
              <w:spacing w:before="0"/>
              <w:jc w:val="left"/>
              <w:rPr>
                <w:sz w:val="16"/>
                <w:szCs w:val="16"/>
              </w:rPr>
            </w:pPr>
            <w:r w:rsidRPr="001572CD">
              <w:rPr>
                <w:sz w:val="16"/>
                <w:szCs w:val="16"/>
              </w:rPr>
              <w:t>Systém provede automatické ukončení Karty evidence nezkontrolovaného období k datu úpadku - 1 den</w:t>
            </w:r>
          </w:p>
        </w:tc>
      </w:tr>
      <w:tr w:rsidR="001572CD" w:rsidRPr="00247618" w:rsidTr="001572C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F-VP-ISL-002</w:t>
            </w:r>
          </w:p>
        </w:tc>
        <w:tc>
          <w:tcPr>
            <w:tcW w:w="2452" w:type="dxa"/>
            <w:vAlign w:val="top"/>
          </w:tcPr>
          <w:p w:rsidR="001572CD" w:rsidRPr="001572CD" w:rsidRDefault="001572CD" w:rsidP="001572CD">
            <w:pPr>
              <w:spacing w:before="0"/>
              <w:jc w:val="left"/>
              <w:rPr>
                <w:sz w:val="16"/>
                <w:szCs w:val="16"/>
              </w:rPr>
            </w:pPr>
          </w:p>
        </w:tc>
        <w:tc>
          <w:tcPr>
            <w:tcW w:w="5173" w:type="dxa"/>
            <w:vAlign w:val="top"/>
          </w:tcPr>
          <w:p w:rsidR="001572CD" w:rsidRPr="001572CD" w:rsidRDefault="001572CD" w:rsidP="00331E9E">
            <w:pPr>
              <w:spacing w:before="0"/>
              <w:jc w:val="left"/>
              <w:rPr>
                <w:sz w:val="16"/>
                <w:szCs w:val="16"/>
              </w:rPr>
            </w:pPr>
            <w:r w:rsidRPr="001572CD">
              <w:rPr>
                <w:sz w:val="16"/>
                <w:szCs w:val="16"/>
              </w:rPr>
              <w:t>Systém provede automatické založení karty Nezkontrolovaného období bez přepočtu penále</w:t>
            </w:r>
          </w:p>
        </w:tc>
      </w:tr>
      <w:tr w:rsidR="001572CD" w:rsidRPr="00247618" w:rsidTr="001572C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F-VP-ISL-003</w:t>
            </w:r>
          </w:p>
        </w:tc>
        <w:tc>
          <w:tcPr>
            <w:tcW w:w="2452" w:type="dxa"/>
            <w:vAlign w:val="top"/>
          </w:tcPr>
          <w:p w:rsidR="001572CD" w:rsidRPr="001572CD" w:rsidRDefault="001572CD" w:rsidP="001572CD">
            <w:pPr>
              <w:spacing w:before="0"/>
              <w:jc w:val="left"/>
              <w:rPr>
                <w:sz w:val="16"/>
                <w:szCs w:val="16"/>
              </w:rPr>
            </w:pPr>
          </w:p>
        </w:tc>
        <w:tc>
          <w:tcPr>
            <w:tcW w:w="5173" w:type="dxa"/>
            <w:vAlign w:val="top"/>
          </w:tcPr>
          <w:p w:rsidR="001572CD" w:rsidRPr="001572CD" w:rsidRDefault="001572CD" w:rsidP="001572CD">
            <w:pPr>
              <w:spacing w:before="0"/>
              <w:jc w:val="left"/>
              <w:rPr>
                <w:sz w:val="16"/>
                <w:szCs w:val="16"/>
              </w:rPr>
            </w:pPr>
            <w:r w:rsidRPr="001572CD">
              <w:rPr>
                <w:sz w:val="16"/>
                <w:szCs w:val="16"/>
              </w:rPr>
              <w:t>Systém provede automatické založení karty insolvenčního řízení včetně výpočtu v danou chvíli známe výše pohledávek za role subjektu Pojištěnec, Zaměstnavatel (plátce), Poskytovatel zdravotní péče</w:t>
            </w:r>
          </w:p>
        </w:tc>
      </w:tr>
      <w:tr w:rsidR="001572CD" w:rsidRPr="00247618" w:rsidTr="001572C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F-VP-ISL-004</w:t>
            </w:r>
          </w:p>
        </w:tc>
        <w:tc>
          <w:tcPr>
            <w:tcW w:w="2452" w:type="dxa"/>
            <w:vAlign w:val="top"/>
          </w:tcPr>
          <w:p w:rsidR="001572CD" w:rsidRPr="001572CD" w:rsidRDefault="001572CD" w:rsidP="001572CD">
            <w:pPr>
              <w:spacing w:before="0"/>
              <w:jc w:val="left"/>
              <w:rPr>
                <w:sz w:val="16"/>
                <w:szCs w:val="16"/>
              </w:rPr>
            </w:pPr>
            <w:r w:rsidRPr="001572CD">
              <w:rPr>
                <w:sz w:val="16"/>
                <w:szCs w:val="16"/>
              </w:rPr>
              <w:t>Ukončení otevřené karty kontroly Úmrtí</w:t>
            </w:r>
          </w:p>
        </w:tc>
        <w:tc>
          <w:tcPr>
            <w:tcW w:w="5173" w:type="dxa"/>
            <w:vAlign w:val="top"/>
          </w:tcPr>
          <w:p w:rsidR="001572CD" w:rsidRPr="001572CD" w:rsidRDefault="001572CD" w:rsidP="001572CD">
            <w:pPr>
              <w:spacing w:before="0"/>
              <w:jc w:val="left"/>
              <w:rPr>
                <w:sz w:val="16"/>
                <w:szCs w:val="16"/>
              </w:rPr>
            </w:pPr>
            <w:r w:rsidRPr="001572CD">
              <w:rPr>
                <w:sz w:val="16"/>
                <w:szCs w:val="16"/>
              </w:rPr>
              <w:t>Systém provede automatické ukončení Karty evidence nezkontrolovaného období k datu úmrtí - 1 den</w:t>
            </w:r>
          </w:p>
        </w:tc>
      </w:tr>
      <w:tr w:rsidR="001572CD" w:rsidRPr="00247618" w:rsidTr="001572C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F-VP-ISL-005</w:t>
            </w:r>
          </w:p>
        </w:tc>
        <w:tc>
          <w:tcPr>
            <w:tcW w:w="2452" w:type="dxa"/>
            <w:vAlign w:val="top"/>
          </w:tcPr>
          <w:p w:rsidR="001572CD" w:rsidRPr="001572CD" w:rsidRDefault="001572CD" w:rsidP="001572CD">
            <w:pPr>
              <w:spacing w:before="0"/>
              <w:jc w:val="left"/>
              <w:rPr>
                <w:sz w:val="16"/>
                <w:szCs w:val="16"/>
              </w:rPr>
            </w:pPr>
          </w:p>
        </w:tc>
        <w:tc>
          <w:tcPr>
            <w:tcW w:w="5173" w:type="dxa"/>
            <w:vAlign w:val="top"/>
          </w:tcPr>
          <w:p w:rsidR="001572CD" w:rsidRPr="001572CD" w:rsidRDefault="001572CD" w:rsidP="00331E9E">
            <w:pPr>
              <w:spacing w:before="0"/>
              <w:jc w:val="left"/>
              <w:rPr>
                <w:sz w:val="16"/>
                <w:szCs w:val="16"/>
              </w:rPr>
            </w:pPr>
            <w:r w:rsidRPr="001572CD">
              <w:rPr>
                <w:sz w:val="16"/>
                <w:szCs w:val="16"/>
              </w:rPr>
              <w:t>Systém provede automatické založení karty Nezkontrolovaného období bez přepočtu penále</w:t>
            </w:r>
          </w:p>
        </w:tc>
      </w:tr>
      <w:tr w:rsidR="001572CD" w:rsidRPr="00247618" w:rsidTr="001572C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F-VP-ISL-006</w:t>
            </w:r>
          </w:p>
        </w:tc>
        <w:tc>
          <w:tcPr>
            <w:tcW w:w="2452" w:type="dxa"/>
            <w:vAlign w:val="top"/>
          </w:tcPr>
          <w:p w:rsidR="001572CD" w:rsidRPr="001572CD" w:rsidRDefault="001572CD" w:rsidP="001572CD">
            <w:pPr>
              <w:spacing w:before="0"/>
              <w:jc w:val="left"/>
              <w:rPr>
                <w:sz w:val="16"/>
                <w:szCs w:val="16"/>
              </w:rPr>
            </w:pPr>
          </w:p>
        </w:tc>
        <w:tc>
          <w:tcPr>
            <w:tcW w:w="5173" w:type="dxa"/>
            <w:vAlign w:val="top"/>
          </w:tcPr>
          <w:p w:rsidR="001572CD" w:rsidRPr="001572CD" w:rsidRDefault="001572CD" w:rsidP="00331E9E">
            <w:pPr>
              <w:spacing w:before="0"/>
              <w:jc w:val="left"/>
              <w:rPr>
                <w:sz w:val="16"/>
                <w:szCs w:val="16"/>
              </w:rPr>
            </w:pPr>
            <w:r w:rsidRPr="001572CD">
              <w:rPr>
                <w:sz w:val="16"/>
                <w:szCs w:val="16"/>
              </w:rPr>
              <w:t>Systém provede automatické založení karty Dědického řízení včetně výpočtu v danou chvíli znám</w:t>
            </w:r>
            <w:r w:rsidR="00331E9E">
              <w:rPr>
                <w:sz w:val="16"/>
                <w:szCs w:val="16"/>
              </w:rPr>
              <w:t>é</w:t>
            </w:r>
            <w:r w:rsidRPr="001572CD">
              <w:rPr>
                <w:sz w:val="16"/>
                <w:szCs w:val="16"/>
              </w:rPr>
              <w:t xml:space="preserve"> výše pohledávek za role subjektu Pojištěnec, Zaměstnavatel (plátce), Poskytovatel zdravotní péče</w:t>
            </w:r>
          </w:p>
        </w:tc>
      </w:tr>
      <w:tr w:rsidR="001572CD" w:rsidRPr="00247618" w:rsidTr="001572C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F-VP-ISL-007</w:t>
            </w:r>
          </w:p>
        </w:tc>
        <w:tc>
          <w:tcPr>
            <w:tcW w:w="2452" w:type="dxa"/>
            <w:vAlign w:val="top"/>
          </w:tcPr>
          <w:p w:rsidR="001572CD" w:rsidRPr="001572CD" w:rsidRDefault="001572CD" w:rsidP="001572CD">
            <w:pPr>
              <w:spacing w:before="0"/>
              <w:jc w:val="left"/>
              <w:rPr>
                <w:sz w:val="16"/>
                <w:szCs w:val="16"/>
              </w:rPr>
            </w:pPr>
          </w:p>
        </w:tc>
        <w:tc>
          <w:tcPr>
            <w:tcW w:w="5173" w:type="dxa"/>
            <w:vAlign w:val="top"/>
          </w:tcPr>
          <w:p w:rsidR="001572CD" w:rsidRPr="001572CD" w:rsidRDefault="001572CD" w:rsidP="001572CD">
            <w:pPr>
              <w:spacing w:before="0"/>
              <w:jc w:val="left"/>
              <w:rPr>
                <w:sz w:val="16"/>
                <w:szCs w:val="16"/>
              </w:rPr>
            </w:pPr>
            <w:r w:rsidRPr="001572CD">
              <w:rPr>
                <w:sz w:val="16"/>
                <w:szCs w:val="16"/>
              </w:rPr>
              <w:t xml:space="preserve">Systém v případě chybějícího přehledu OSVČ provede automaticky výpočet minima dlužné částky za pojistné a z toho vyplývající penále pro přihlášení k dědickému řízení. </w:t>
            </w:r>
          </w:p>
        </w:tc>
      </w:tr>
      <w:tr w:rsidR="001572CD" w:rsidRPr="00247618" w:rsidTr="001572C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F-VP-ISL-008</w:t>
            </w:r>
          </w:p>
        </w:tc>
        <w:tc>
          <w:tcPr>
            <w:tcW w:w="2452" w:type="dxa"/>
            <w:vAlign w:val="top"/>
          </w:tcPr>
          <w:p w:rsidR="001572CD" w:rsidRPr="001572CD" w:rsidRDefault="001572CD" w:rsidP="001572CD">
            <w:pPr>
              <w:spacing w:before="0"/>
              <w:jc w:val="left"/>
              <w:rPr>
                <w:sz w:val="16"/>
                <w:szCs w:val="16"/>
              </w:rPr>
            </w:pPr>
            <w:r w:rsidRPr="001572CD">
              <w:rPr>
                <w:sz w:val="16"/>
                <w:szCs w:val="16"/>
              </w:rPr>
              <w:t>Dokument Propočet</w:t>
            </w:r>
          </w:p>
        </w:tc>
        <w:tc>
          <w:tcPr>
            <w:tcW w:w="5173" w:type="dxa"/>
            <w:vAlign w:val="top"/>
          </w:tcPr>
          <w:p w:rsidR="001572CD" w:rsidRPr="001572CD" w:rsidRDefault="001572CD" w:rsidP="001572CD">
            <w:pPr>
              <w:spacing w:before="0"/>
              <w:jc w:val="left"/>
              <w:rPr>
                <w:sz w:val="16"/>
                <w:szCs w:val="16"/>
              </w:rPr>
            </w:pPr>
            <w:r w:rsidRPr="001572CD">
              <w:rPr>
                <w:sz w:val="16"/>
                <w:szCs w:val="16"/>
              </w:rPr>
              <w:t>Systém umožní automatické generování dokumentu propočet při přijetí informace o likvidaci</w:t>
            </w:r>
          </w:p>
        </w:tc>
      </w:tr>
      <w:tr w:rsidR="001572CD" w:rsidRPr="00247618" w:rsidTr="001572CD">
        <w:trPr>
          <w:cnfStyle w:val="000000010000" w:firstRow="0" w:lastRow="0" w:firstColumn="0" w:lastColumn="0" w:oddVBand="0" w:evenVBand="0" w:oddHBand="0" w:evenHBand="1"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F-VP-ISL-009</w:t>
            </w:r>
          </w:p>
        </w:tc>
        <w:tc>
          <w:tcPr>
            <w:tcW w:w="2452" w:type="dxa"/>
            <w:vAlign w:val="top"/>
          </w:tcPr>
          <w:p w:rsidR="001572CD" w:rsidRPr="001572CD" w:rsidRDefault="001572CD" w:rsidP="001572CD">
            <w:pPr>
              <w:spacing w:before="0"/>
              <w:jc w:val="left"/>
              <w:rPr>
                <w:sz w:val="16"/>
                <w:szCs w:val="16"/>
              </w:rPr>
            </w:pPr>
            <w:r w:rsidRPr="001572CD">
              <w:rPr>
                <w:sz w:val="16"/>
                <w:szCs w:val="16"/>
              </w:rPr>
              <w:t>Předání na právní oddělení</w:t>
            </w:r>
          </w:p>
        </w:tc>
        <w:tc>
          <w:tcPr>
            <w:tcW w:w="5173" w:type="dxa"/>
            <w:vAlign w:val="top"/>
          </w:tcPr>
          <w:p w:rsidR="001572CD" w:rsidRPr="001572CD" w:rsidRDefault="001572CD" w:rsidP="001572CD">
            <w:pPr>
              <w:spacing w:before="0"/>
              <w:jc w:val="left"/>
              <w:rPr>
                <w:sz w:val="16"/>
                <w:szCs w:val="16"/>
              </w:rPr>
            </w:pPr>
            <w:r w:rsidRPr="001572CD">
              <w:rPr>
                <w:sz w:val="16"/>
                <w:szCs w:val="16"/>
              </w:rPr>
              <w:t>Systém provede automatické předání Karty kontroly nezkontrolovaného období k řešení případu na právním oddělení dle definovaných pravidel</w:t>
            </w:r>
          </w:p>
        </w:tc>
      </w:tr>
      <w:tr w:rsidR="001572CD" w:rsidRPr="00247618" w:rsidTr="001572CD">
        <w:trPr>
          <w:cnfStyle w:val="000000100000" w:firstRow="0" w:lastRow="0" w:firstColumn="0" w:lastColumn="0" w:oddVBand="0" w:evenVBand="0" w:oddHBand="1" w:evenHBand="0" w:firstRowFirstColumn="0" w:firstRowLastColumn="0" w:lastRowFirstColumn="0" w:lastRowLastColumn="0"/>
          <w:trHeight w:val="113"/>
        </w:trPr>
        <w:tc>
          <w:tcPr>
            <w:tcW w:w="1673" w:type="dxa"/>
            <w:vAlign w:val="top"/>
          </w:tcPr>
          <w:p w:rsidR="001572CD" w:rsidRPr="001572CD" w:rsidRDefault="001572CD" w:rsidP="001572CD">
            <w:pPr>
              <w:spacing w:before="0"/>
              <w:jc w:val="left"/>
              <w:rPr>
                <w:sz w:val="16"/>
                <w:szCs w:val="16"/>
              </w:rPr>
            </w:pPr>
            <w:r w:rsidRPr="001572CD">
              <w:rPr>
                <w:sz w:val="16"/>
                <w:szCs w:val="16"/>
              </w:rPr>
              <w:t>F-VP-ISL-010</w:t>
            </w:r>
          </w:p>
        </w:tc>
        <w:tc>
          <w:tcPr>
            <w:tcW w:w="2452" w:type="dxa"/>
            <w:vAlign w:val="top"/>
          </w:tcPr>
          <w:p w:rsidR="001572CD" w:rsidRPr="001572CD" w:rsidRDefault="001572CD" w:rsidP="001572CD">
            <w:pPr>
              <w:spacing w:before="0"/>
              <w:jc w:val="left"/>
              <w:rPr>
                <w:sz w:val="16"/>
                <w:szCs w:val="16"/>
              </w:rPr>
            </w:pPr>
          </w:p>
        </w:tc>
        <w:tc>
          <w:tcPr>
            <w:tcW w:w="5173" w:type="dxa"/>
            <w:vAlign w:val="top"/>
          </w:tcPr>
          <w:p w:rsidR="001572CD" w:rsidRPr="001572CD" w:rsidRDefault="001572CD" w:rsidP="001572CD">
            <w:pPr>
              <w:spacing w:before="0"/>
              <w:jc w:val="left"/>
              <w:rPr>
                <w:sz w:val="16"/>
                <w:szCs w:val="16"/>
              </w:rPr>
            </w:pPr>
            <w:r w:rsidRPr="001572CD">
              <w:rPr>
                <w:sz w:val="16"/>
                <w:szCs w:val="16"/>
              </w:rPr>
              <w:t>Systém provede automatické založení karty likvidace</w:t>
            </w:r>
          </w:p>
        </w:tc>
      </w:tr>
    </w:tbl>
    <w:p w:rsidR="008329A8" w:rsidRPr="008329A8" w:rsidRDefault="008329A8" w:rsidP="008329A8"/>
    <w:p w:rsidR="008329A8" w:rsidRDefault="008329A8" w:rsidP="008329A8">
      <w:pPr>
        <w:pStyle w:val="Nadpis1"/>
      </w:pPr>
      <w:bookmarkStart w:id="5" w:name="_Toc374344324"/>
      <w:r>
        <w:lastRenderedPageBreak/>
        <w:t>Právní vymáhání pohledávek (PRA)</w:t>
      </w:r>
      <w:bookmarkEnd w:id="5"/>
    </w:p>
    <w:tbl>
      <w:tblPr>
        <w:tblStyle w:val="Mkatabulky"/>
        <w:tblpPr w:leftFromText="141" w:rightFromText="141" w:vertAnchor="text" w:horzAnchor="margin" w:tblpX="113" w:tblpY="181"/>
        <w:tblW w:w="5000" w:type="pct"/>
        <w:tblLook w:val="04A0" w:firstRow="1" w:lastRow="0" w:firstColumn="1" w:lastColumn="0" w:noHBand="0" w:noVBand="1"/>
      </w:tblPr>
      <w:tblGrid>
        <w:gridCol w:w="2098"/>
        <w:gridCol w:w="2027"/>
        <w:gridCol w:w="5173"/>
      </w:tblGrid>
      <w:tr w:rsidR="008329A8" w:rsidRPr="00247618" w:rsidTr="00B07F79">
        <w:trPr>
          <w:cnfStyle w:val="100000000000" w:firstRow="1" w:lastRow="0" w:firstColumn="0" w:lastColumn="0" w:oddVBand="0" w:evenVBand="0" w:oddHBand="0" w:evenHBand="0" w:firstRowFirstColumn="0" w:firstRowLastColumn="0" w:lastRowFirstColumn="0" w:lastRowLastColumn="0"/>
          <w:trHeight w:val="345"/>
          <w:tblHeader/>
        </w:trPr>
        <w:tc>
          <w:tcPr>
            <w:tcW w:w="2098" w:type="dxa"/>
          </w:tcPr>
          <w:p w:rsidR="008329A8" w:rsidRPr="00247618" w:rsidRDefault="008329A8" w:rsidP="00330F6D">
            <w:pPr>
              <w:spacing w:before="0"/>
              <w:jc w:val="left"/>
              <w:rPr>
                <w:sz w:val="16"/>
                <w:szCs w:val="16"/>
              </w:rPr>
            </w:pPr>
            <w:r w:rsidRPr="00247618">
              <w:rPr>
                <w:sz w:val="16"/>
                <w:szCs w:val="16"/>
              </w:rPr>
              <w:t>Kód</w:t>
            </w:r>
            <w:r>
              <w:rPr>
                <w:sz w:val="16"/>
                <w:szCs w:val="16"/>
              </w:rPr>
              <w:t xml:space="preserve"> oblasti / procesu / funkce</w:t>
            </w:r>
          </w:p>
        </w:tc>
        <w:tc>
          <w:tcPr>
            <w:tcW w:w="2027" w:type="dxa"/>
          </w:tcPr>
          <w:p w:rsidR="008329A8" w:rsidRDefault="008329A8" w:rsidP="00330F6D">
            <w:pPr>
              <w:spacing w:before="0"/>
              <w:jc w:val="left"/>
              <w:rPr>
                <w:sz w:val="16"/>
                <w:szCs w:val="16"/>
              </w:rPr>
            </w:pPr>
            <w:r>
              <w:rPr>
                <w:sz w:val="16"/>
                <w:szCs w:val="16"/>
              </w:rPr>
              <w:t xml:space="preserve">Související proces / </w:t>
            </w:r>
          </w:p>
          <w:p w:rsidR="008329A8" w:rsidRPr="00247618" w:rsidRDefault="008329A8" w:rsidP="00330F6D">
            <w:pPr>
              <w:spacing w:before="0"/>
              <w:jc w:val="left"/>
              <w:rPr>
                <w:sz w:val="16"/>
                <w:szCs w:val="16"/>
              </w:rPr>
            </w:pPr>
            <w:r>
              <w:rPr>
                <w:sz w:val="16"/>
                <w:szCs w:val="16"/>
              </w:rPr>
              <w:t>oblast / aktivita</w:t>
            </w:r>
          </w:p>
        </w:tc>
        <w:tc>
          <w:tcPr>
            <w:tcW w:w="5173" w:type="dxa"/>
          </w:tcPr>
          <w:p w:rsidR="008329A8" w:rsidRPr="00247618" w:rsidRDefault="008329A8" w:rsidP="00330F6D">
            <w:pPr>
              <w:spacing w:before="0"/>
              <w:jc w:val="left"/>
              <w:rPr>
                <w:sz w:val="16"/>
                <w:szCs w:val="16"/>
              </w:rPr>
            </w:pPr>
            <w:r>
              <w:rPr>
                <w:sz w:val="16"/>
                <w:szCs w:val="16"/>
              </w:rPr>
              <w:t>Popis</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 xml:space="preserve">VY </w:t>
            </w:r>
          </w:p>
        </w:tc>
        <w:tc>
          <w:tcPr>
            <w:tcW w:w="2027"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Vymáhání pohledávek</w:t>
            </w:r>
          </w:p>
        </w:tc>
        <w:tc>
          <w:tcPr>
            <w:tcW w:w="5173"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procesy - VP-PRA-VYM, požadavky - VP-PRA-VY</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F-VP-PRA-VYM-001</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Přidělení případu</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provede automatické přidělení případu vymáhání osobě právního oddělení dle definovaných pravidel</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F-VP-PRA-VYM-002</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změnit přidělenou osobu právního oddělení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F-VP-PRA-VYM-003</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vytvoření případu vymáhání z karty kontroly (nebo více karet kontrol) předaných na právní oddělení</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F-VP-PRA-VYM-004</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přidání karty kontroly předané na právní oddělení do již vytvořeného případu vymáhání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F-VP-PRA-VYM-005</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Rozhodnutí o způsobu vymáhání</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přípravu podkladů pro rozhodnutí o způsobu vymáhání (Daňová exekuce, externí exekutor) - zobrazení definovaných skutečností v grafickém rozhraní</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F-VP-PRA-VYM-006</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bude umožňovat uživateli přes grafické rozhraní nastavit stav Daňová exekuce nebo Externí exekutor na posuzovaný případ</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F-VP-PRA-VYM-007</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bude obsahovat funkce pro přechod mezi stavy - automaticky po uplynutí časové lhůty nebo uživatelsky přes grafické rozhraní</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F-VP-PRA-VYM-008</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bude umožňovat komunikaci se spisovou službou  - odesílání dokumentů do spisové služby, přijímání dokumentů ze spisové služby a jejich zařazení k případu vymáhání a kartě kontroly - automaticky dle definovaných kritérií nebo uživatelsky v grafickém rozhraní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VD</w:t>
            </w:r>
          </w:p>
        </w:tc>
        <w:tc>
          <w:tcPr>
            <w:tcW w:w="2027"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 xml:space="preserve"> Vymáhání pohledávek - daňová exekuce</w:t>
            </w:r>
          </w:p>
        </w:tc>
        <w:tc>
          <w:tcPr>
            <w:tcW w:w="5173"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procesy - VP-PRA-VYM-VY1, požadavky - VP-PRA-VY-VD</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F-VP-PRA-VYM-VY1-001</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Podklady</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tisk podkladů pro daňovou exekuci </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F-VP-PRA-VYM-VY1-002</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výpočet nákladů řízení a jejich přiřazení k částce exekuce</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F-VP-PRA-VYM-VY1-003</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Dokumenty</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tvorbu dokumentů a jejich evidenci </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F-VP-PRA-VYM-VY1-004</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Přesun k externímu vymahateli</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bude obsahovat uživatelské funkce pro změnu stavu - předání případu do skupiny případů k vymáhání u externích vymahatelů - </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F-VP-PRA-VYM-VY1-005</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Odpis pohledávky </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tvorbu nezaúčtovaného předpisu na odpis pojistného, penále, pokuty nebo nákladů řízení nebo nákladů na hrazené služby</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F-VP-PRA-VYM-VY1-006</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zaúčtování nezaúčtovaných předpisů odpisů, evidence odpisu na kartu kontroly, kartu pokuty, kartu regresu, a přepočítat zůstatek</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F-VP-PRA-VYM-VY1-007</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vytvořit inverzní předpis k zaúčtovanému předpisu na odpis, evidence na kartu kontroly, kartu pokuty, kartu regresu a přepočítat zůstatek</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VE</w:t>
            </w:r>
          </w:p>
        </w:tc>
        <w:tc>
          <w:tcPr>
            <w:tcW w:w="2027"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Vymáhání pohledávek - exekutoři</w:t>
            </w:r>
          </w:p>
        </w:tc>
        <w:tc>
          <w:tcPr>
            <w:tcW w:w="5173"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procesy - VP-PRA-VYM-VY2, požadavky - VP-PRA-VY-VE</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F-VP-PRA-VYM-VY2-001</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Podklady</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přípravu podkladů pro rozhodnutí o vymáhání pomocí externího exekutora - zobrazení definovaných skutečností v grafickém rozhraní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F-VP-PRA-VYM-VY2-002</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tisk podkladů pro předání externímu exekutorovi</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F-VP-PRA-VYM-VY2-003</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Předání podkladů exekutorovi</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předání podkladů exekutorovi elektronicky</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lastRenderedPageBreak/>
              <w:t>F-VP-PRA-VYM-VY2-004</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tvorbu, tisk a odeslání dokumentů a jejich evidenci </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F-VP-PRA-VYM-VY2-005</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přesun stavů pro sledování průběhu exekučního řízení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F-VP-PRA-VYM-VY2-006</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w:t>
            </w:r>
            <w:r w:rsidR="00331E9E">
              <w:rPr>
                <w:rFonts w:cs="Arial"/>
                <w:sz w:val="16"/>
                <w:szCs w:val="16"/>
              </w:rPr>
              <w:t>s</w:t>
            </w:r>
            <w:r w:rsidRPr="00B07F79">
              <w:rPr>
                <w:rFonts w:cs="Arial"/>
                <w:sz w:val="16"/>
                <w:szCs w:val="16"/>
              </w:rPr>
              <w:t xml:space="preserve">tém umožní automatické zpracování přiřazení úhrad </w:t>
            </w:r>
            <w:r w:rsidR="00331E9E">
              <w:rPr>
                <w:rFonts w:cs="Arial"/>
                <w:sz w:val="16"/>
                <w:szCs w:val="16"/>
              </w:rPr>
              <w:t xml:space="preserve">ke </w:t>
            </w:r>
            <w:r w:rsidRPr="00B07F79">
              <w:rPr>
                <w:rFonts w:cs="Arial"/>
                <w:sz w:val="16"/>
                <w:szCs w:val="16"/>
              </w:rPr>
              <w:t>kartám kontroly dle evidence předané exekutorem v elektronické podobě - včetně zpracování data úhrady - přípis na účet exekutora</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F-VP-PRA-VYM-VY2-007</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změnu data úhrady pro úhrady přijaté od exekutorů na datum připsání na účet exekutora při předávání údajů od exekutora v papírové podobě</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VI</w:t>
            </w:r>
          </w:p>
        </w:tc>
        <w:tc>
          <w:tcPr>
            <w:tcW w:w="2027"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 xml:space="preserve"> Vymáhání pohledávek plátců v insolvenčním řízení</w:t>
            </w:r>
          </w:p>
        </w:tc>
        <w:tc>
          <w:tcPr>
            <w:tcW w:w="5173"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procesy - VP-PRA-ISI, požadavky - VP-PRA-VI</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F-VP-PRA-ISI-001</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Založení karty Insolvenčního řízení</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provede automatické založení karty insolvenčního řízení včetně výpočtu v danou chvíli známe výše pohledávek za role subjektu Pojištěnec, Zaměstnavatel (plátce), Poskytovatel zdravotní péče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F-VP-PRA-ISI-002</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Zjištění stavu pohledávek</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bude umožňovat automatický výpočet výše pohledávek za subjektem ve všech jeho rolích - pojištěnec, zaměstnavatel (plátce), poskytovatel zdravotní péče</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F-VP-PRA-ISI-003</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Dokumenty</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tvorbu a tisk dokumentů potřebných k přihlášení do insolvenčního řízení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F-VP-PRA-ISI-004</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Zpracování informací ISIR</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automatické zpracování definovaných informací z insolvenčního rejstříku a obchodního věstníku - sledované události</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F-VP-PRA-ISI-005</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Pohledávky za podstatou</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bude umožňovat automatický výpočet výše pohledávek za podstatou za subjektem ve všech jeho rolích - pojištěnec, zaměstnavatel (plátce), poskytovatel zdravotní péče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F-VP-PRA-ISI-006</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Přihlášení pohledávek za podstatou</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tvorbu dokumentů potřebných k přihlášení pohledávek za podstatou do insolvenčního řízení</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F-VP-PRA-ISI-007</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automatický přesun stavů dle definovaných pravidel</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F-VP-PRA-ISI-008</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přesun stavů pro sledování průběhu insolvenčního řízení</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F-VP-PRA-ISI-009</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Odpis pohledávek</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uživateli přes grafické rozhraní tvorbu nezaúčtovaného předpisu na odpis </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F-VP-PRA-ISI-010</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zaúčtování nezaúčtovaných předpisů odpisů</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F-VP-PRA-ISI-011</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vytvořit inverzní předpis k zaúčtovanému předpisu na odpis</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F-VP-PRA-ISI-012</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zaevidování a aktualizaci údajů třetích osob - insolvenčních správců</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F-VP-PRA-ISI-013</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tisky a odeslání dokumentů jak na příslušného partnera tak na evidované třetí osoby - insolvenční správce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LI</w:t>
            </w:r>
          </w:p>
        </w:tc>
        <w:tc>
          <w:tcPr>
            <w:tcW w:w="2027"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Vymáhání pohledávek plátců v likvidaci</w:t>
            </w:r>
          </w:p>
        </w:tc>
        <w:tc>
          <w:tcPr>
            <w:tcW w:w="5173"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procesy - VP-PRA-LIK, požadavky - VP-PRA-LI</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F-VP-PRA-LIK-001</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Založení karty likvidace</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provede automatické založení karty likvidace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F-VP-PRA-LIK-002</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Zjištění stavu pohledávek</w:t>
            </w: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automatický výpočet výše pohledávek za subjektem ve všech jeho rolích - pojištěnec, zaměstnavatel (plátce), poskytovatel zdravotní péče</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F-VP-PRA-LIK-003</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tvorbu a tisk dokumentů potřebných k přihlášení do likvidace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F-VP-PRA-LIK-004</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automatické nahrávání dat z Obchodního  věstníku  - sledované události</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F-VP-PRA-LIK-005</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automatické zpracování dat z Obchodního věstníku včetně posunu stavů, a zasílání informací o událostech na </w:t>
            </w:r>
            <w:r w:rsidRPr="00B07F79">
              <w:rPr>
                <w:rFonts w:cs="Arial"/>
                <w:sz w:val="16"/>
                <w:szCs w:val="16"/>
              </w:rPr>
              <w:lastRenderedPageBreak/>
              <w:t>odpovědné osoby</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lastRenderedPageBreak/>
              <w:t>F-VP-PRA-LIK-006</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změnu likvidace v insolvenci - na kartě kontroly změnu stavu z likvidace na stav Insolvence</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F-VP-PRA-LIK-007</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přesun stavů pro sledování průběhu likvidačního řízení</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DR</w:t>
            </w:r>
          </w:p>
        </w:tc>
        <w:tc>
          <w:tcPr>
            <w:tcW w:w="2027"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Dědické řízeni</w:t>
            </w:r>
          </w:p>
        </w:tc>
        <w:tc>
          <w:tcPr>
            <w:tcW w:w="5173" w:type="dxa"/>
            <w:vAlign w:val="top"/>
          </w:tcPr>
          <w:p w:rsidR="00B07F79" w:rsidRPr="00B07F79" w:rsidRDefault="00B07F79" w:rsidP="00B07F79">
            <w:pPr>
              <w:spacing w:before="0"/>
              <w:jc w:val="right"/>
              <w:rPr>
                <w:rFonts w:cs="Arial"/>
                <w:b/>
                <w:i/>
                <w:sz w:val="16"/>
                <w:szCs w:val="16"/>
              </w:rPr>
            </w:pPr>
            <w:r w:rsidRPr="00B07F79">
              <w:rPr>
                <w:rFonts w:cs="Arial"/>
                <w:b/>
                <w:i/>
                <w:sz w:val="16"/>
                <w:szCs w:val="16"/>
              </w:rPr>
              <w:t>procesy - VP-PRA-DRI, požadavky - VP-PRA-DR</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F-VP-PRA-DRI-001</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Založení karty dědického řízení</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provede automatické založení karty Dědického řízení včetně výpočtu v danou chvíli znám</w:t>
            </w:r>
            <w:r>
              <w:rPr>
                <w:rFonts w:cs="Arial"/>
                <w:sz w:val="16"/>
                <w:szCs w:val="16"/>
              </w:rPr>
              <w:t>é</w:t>
            </w:r>
            <w:r w:rsidRPr="00B07F79">
              <w:rPr>
                <w:rFonts w:cs="Arial"/>
                <w:sz w:val="16"/>
                <w:szCs w:val="16"/>
              </w:rPr>
              <w:t xml:space="preserve"> výše pohledávek za role subjektu Pojištěnec, Zaměstnavatel (plátce), Poskytovatel zdravotní péče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F-VP-PRA-DRI-002</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Zjištění stavu pohledávek a závazků</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automatický výpočet výše pohledávek za subjektem ve všech jeho rolích - pojištěnec, zaměstnavatel (plátce), poskytovatel zdravotní péče</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F-VP-PRA-DRI-003</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Dokumenty</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tvorbu a tisk dokumentů potřebných k přihlášení k dědickému řízení </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F-VP-PRA-DRI-004</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zaevidování a aktualizaci údajů třetích osob - dědiců</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F-VP-PRA-DRI-005</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tisky a odeslání dokumentů na evidované třetí osoby - dědice</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F-VP-PRA-DRI-006</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Úhrada závazků</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přípravu účetních předpisů pro úhradu závazků za zemřelým</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F-VP-PRA-DRI-007</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Vymáhání pohledávek</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přípravu tiskových výstupů pro vymáhání pohledávek za dědici</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F-VP-PRA-DRI-008</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přesun stavů pro sledování průběhu vymáhání pohledávek za dědici</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F-VP-PRA-DRI-009</w:t>
            </w:r>
          </w:p>
        </w:tc>
        <w:tc>
          <w:tcPr>
            <w:tcW w:w="2027" w:type="dxa"/>
            <w:vAlign w:val="top"/>
          </w:tcPr>
          <w:p w:rsidR="00B07F79" w:rsidRPr="00B07F79" w:rsidRDefault="00B07F79" w:rsidP="00B07F79">
            <w:pPr>
              <w:spacing w:before="0"/>
              <w:jc w:val="left"/>
              <w:rPr>
                <w:rFonts w:cs="Arial"/>
                <w:sz w:val="16"/>
                <w:szCs w:val="16"/>
              </w:rPr>
            </w:pPr>
            <w:r w:rsidRPr="00B07F79">
              <w:rPr>
                <w:rFonts w:cs="Arial"/>
                <w:sz w:val="16"/>
                <w:szCs w:val="16"/>
              </w:rPr>
              <w:t>Odpis pohledávek</w:t>
            </w: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 xml:space="preserve">Systém umožní uživateli přes grafické rozhraní tvorbu nezaúčtovaného předpisu na odpis </w:t>
            </w:r>
          </w:p>
        </w:tc>
      </w:tr>
      <w:tr w:rsidR="00B07F79" w:rsidRPr="00247618" w:rsidTr="00B07F79">
        <w:trPr>
          <w:cnfStyle w:val="000000010000" w:firstRow="0" w:lastRow="0" w:firstColumn="0" w:lastColumn="0" w:oddVBand="0" w:evenVBand="0" w:oddHBand="0" w:evenHBand="1"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F-VP-PRA-DRI-010</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B07F79">
            <w:pPr>
              <w:spacing w:before="0"/>
              <w:jc w:val="left"/>
              <w:rPr>
                <w:rFonts w:cs="Arial"/>
                <w:sz w:val="16"/>
                <w:szCs w:val="16"/>
              </w:rPr>
            </w:pPr>
            <w:r w:rsidRPr="00B07F79">
              <w:rPr>
                <w:rFonts w:cs="Arial"/>
                <w:sz w:val="16"/>
                <w:szCs w:val="16"/>
              </w:rPr>
              <w:t>Systém umožní uživateli přes grafické rozhraní zaúčtování nezaúčtovaných předpisů odpisů</w:t>
            </w:r>
          </w:p>
        </w:tc>
      </w:tr>
      <w:tr w:rsidR="00B07F79" w:rsidRPr="00247618" w:rsidTr="00B07F79">
        <w:trPr>
          <w:cnfStyle w:val="000000100000" w:firstRow="0" w:lastRow="0" w:firstColumn="0" w:lastColumn="0" w:oddVBand="0" w:evenVBand="0" w:oddHBand="1" w:evenHBand="0" w:firstRowFirstColumn="0" w:firstRowLastColumn="0" w:lastRowFirstColumn="0" w:lastRowLastColumn="0"/>
          <w:trHeight w:val="113"/>
        </w:trPr>
        <w:tc>
          <w:tcPr>
            <w:tcW w:w="2098" w:type="dxa"/>
            <w:vAlign w:val="top"/>
          </w:tcPr>
          <w:p w:rsidR="00B07F79" w:rsidRPr="00B07F79" w:rsidRDefault="00B07F79" w:rsidP="00B07F79">
            <w:pPr>
              <w:spacing w:before="0"/>
              <w:jc w:val="left"/>
              <w:rPr>
                <w:rFonts w:cs="Arial"/>
                <w:sz w:val="16"/>
                <w:szCs w:val="16"/>
              </w:rPr>
            </w:pPr>
            <w:r w:rsidRPr="00B07F79">
              <w:rPr>
                <w:rFonts w:cs="Arial"/>
                <w:sz w:val="16"/>
                <w:szCs w:val="16"/>
              </w:rPr>
              <w:t>F-VP-PRA-DRI-011</w:t>
            </w:r>
          </w:p>
        </w:tc>
        <w:tc>
          <w:tcPr>
            <w:tcW w:w="2027" w:type="dxa"/>
            <w:vAlign w:val="top"/>
          </w:tcPr>
          <w:p w:rsidR="00B07F79" w:rsidRPr="00B07F79" w:rsidRDefault="00B07F79" w:rsidP="00B07F79">
            <w:pPr>
              <w:spacing w:before="0"/>
              <w:jc w:val="left"/>
              <w:rPr>
                <w:rFonts w:cs="Arial"/>
                <w:sz w:val="16"/>
                <w:szCs w:val="16"/>
              </w:rPr>
            </w:pPr>
          </w:p>
        </w:tc>
        <w:tc>
          <w:tcPr>
            <w:tcW w:w="5173" w:type="dxa"/>
            <w:vAlign w:val="top"/>
          </w:tcPr>
          <w:p w:rsidR="00B07F79" w:rsidRPr="00B07F79" w:rsidRDefault="00B07F79" w:rsidP="00331E9E">
            <w:pPr>
              <w:spacing w:before="0"/>
              <w:jc w:val="left"/>
              <w:rPr>
                <w:rFonts w:cs="Arial"/>
                <w:sz w:val="16"/>
                <w:szCs w:val="16"/>
              </w:rPr>
            </w:pPr>
            <w:r w:rsidRPr="00B07F79">
              <w:rPr>
                <w:rFonts w:cs="Arial"/>
                <w:sz w:val="16"/>
                <w:szCs w:val="16"/>
              </w:rPr>
              <w:t>Systém umožní uživateli přes grafické rozhraní vytvořit inverzní předpis k zaúčtovanému předpisu na odpis</w:t>
            </w:r>
          </w:p>
        </w:tc>
      </w:tr>
    </w:tbl>
    <w:p w:rsidR="008329A8" w:rsidRPr="008329A8" w:rsidRDefault="008329A8" w:rsidP="008329A8"/>
    <w:p w:rsidR="000013A9" w:rsidRDefault="008329A8" w:rsidP="008329A8">
      <w:pPr>
        <w:pStyle w:val="Nadpis1"/>
      </w:pPr>
      <w:bookmarkStart w:id="6" w:name="_Toc374344325"/>
      <w:r>
        <w:lastRenderedPageBreak/>
        <w:t xml:space="preserve">Regresy - Náhrady nákladů na hrazené služby </w:t>
      </w:r>
      <w:r w:rsidR="006151CB">
        <w:t>(</w:t>
      </w:r>
      <w:r>
        <w:t>REG</w:t>
      </w:r>
      <w:r w:rsidR="006151CB">
        <w:t>)</w:t>
      </w:r>
      <w:bookmarkEnd w:id="6"/>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5499"/>
      </w:tblGrid>
      <w:tr w:rsidR="00917244" w:rsidRPr="00247618" w:rsidTr="000F08A9">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917244" w:rsidRPr="00247618" w:rsidRDefault="00917244" w:rsidP="00444D59">
            <w:pPr>
              <w:spacing w:before="0"/>
              <w:jc w:val="left"/>
              <w:rPr>
                <w:sz w:val="16"/>
                <w:szCs w:val="16"/>
              </w:rPr>
            </w:pPr>
            <w:r w:rsidRPr="00247618">
              <w:rPr>
                <w:sz w:val="16"/>
                <w:szCs w:val="16"/>
              </w:rPr>
              <w:t>Kód</w:t>
            </w:r>
            <w:r>
              <w:rPr>
                <w:sz w:val="16"/>
                <w:szCs w:val="16"/>
              </w:rPr>
              <w:t xml:space="preserve"> oblasti / procesu / funkce</w:t>
            </w:r>
          </w:p>
        </w:tc>
        <w:tc>
          <w:tcPr>
            <w:tcW w:w="1985" w:type="dxa"/>
          </w:tcPr>
          <w:p w:rsidR="00917244" w:rsidRDefault="00917244" w:rsidP="00444D59">
            <w:pPr>
              <w:spacing w:before="0"/>
              <w:jc w:val="left"/>
              <w:rPr>
                <w:sz w:val="16"/>
                <w:szCs w:val="16"/>
              </w:rPr>
            </w:pPr>
            <w:r>
              <w:rPr>
                <w:sz w:val="16"/>
                <w:szCs w:val="16"/>
              </w:rPr>
              <w:t xml:space="preserve">Související proces / </w:t>
            </w:r>
          </w:p>
          <w:p w:rsidR="00917244" w:rsidRPr="00247618" w:rsidRDefault="00917244" w:rsidP="00444D59">
            <w:pPr>
              <w:spacing w:before="0"/>
              <w:jc w:val="left"/>
              <w:rPr>
                <w:sz w:val="16"/>
                <w:szCs w:val="16"/>
              </w:rPr>
            </w:pPr>
            <w:r>
              <w:rPr>
                <w:sz w:val="16"/>
                <w:szCs w:val="16"/>
              </w:rPr>
              <w:t>oblast / aktivita</w:t>
            </w:r>
          </w:p>
        </w:tc>
        <w:tc>
          <w:tcPr>
            <w:tcW w:w="5499" w:type="dxa"/>
          </w:tcPr>
          <w:p w:rsidR="00917244" w:rsidRPr="00247618" w:rsidRDefault="00917244" w:rsidP="00444D59">
            <w:pPr>
              <w:spacing w:before="0"/>
              <w:jc w:val="left"/>
              <w:rPr>
                <w:sz w:val="16"/>
                <w:szCs w:val="16"/>
              </w:rPr>
            </w:pPr>
            <w:r>
              <w:rPr>
                <w:sz w:val="16"/>
                <w:szCs w:val="16"/>
              </w:rPr>
              <w:t>Popis</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HS</w:t>
            </w:r>
          </w:p>
        </w:tc>
        <w:tc>
          <w:tcPr>
            <w:tcW w:w="1985" w:type="dxa"/>
            <w:vAlign w:val="top"/>
          </w:tcPr>
          <w:p w:rsidR="000F08A9" w:rsidRDefault="000F08A9" w:rsidP="000F08A9">
            <w:pPr>
              <w:spacing w:before="0"/>
              <w:jc w:val="right"/>
              <w:rPr>
                <w:rFonts w:cs="Arial"/>
                <w:b/>
                <w:i/>
                <w:sz w:val="16"/>
                <w:szCs w:val="16"/>
              </w:rPr>
            </w:pPr>
            <w:r w:rsidRPr="000F08A9">
              <w:rPr>
                <w:rFonts w:cs="Arial"/>
                <w:b/>
                <w:i/>
                <w:sz w:val="16"/>
                <w:szCs w:val="16"/>
              </w:rPr>
              <w:t xml:space="preserve">Náhrady nákladů </w:t>
            </w:r>
          </w:p>
          <w:p w:rsidR="000F08A9" w:rsidRPr="000F08A9" w:rsidRDefault="000F08A9" w:rsidP="000F08A9">
            <w:pPr>
              <w:spacing w:before="0"/>
              <w:jc w:val="right"/>
              <w:rPr>
                <w:rFonts w:cs="Arial"/>
                <w:b/>
                <w:i/>
                <w:sz w:val="16"/>
                <w:szCs w:val="16"/>
              </w:rPr>
            </w:pPr>
            <w:r w:rsidRPr="000F08A9">
              <w:rPr>
                <w:rFonts w:cs="Arial"/>
                <w:b/>
                <w:i/>
                <w:sz w:val="16"/>
                <w:szCs w:val="16"/>
              </w:rPr>
              <w:t>na hrazené služby</w:t>
            </w:r>
          </w:p>
        </w:tc>
        <w:tc>
          <w:tcPr>
            <w:tcW w:w="5499"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procesy - VP-RE, požadavky - VP-RE-HS</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F-VP-RE-001</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Navedení případu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zaevidovat případ</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F-VP-RE-002</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zobrazí uživateli podklady vyčíslení odhadu</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F-VP-RE-003</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zobrazí uživateli podklady pro posouzení případu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F-VP-RE-004</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Zaevidování viníka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zaevidování viníka případu</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F-VP-RE-005</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uživateli přes grafické rozhraní změny údajů o viníkovi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F-VP-RE-006</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Obeslání viníka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tisk dokumentů souvisejících s případem, jejich odeslání a sledování doručení dokumentů</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F-VP-RE-007</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zaevidování doručení dokumentů</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F-VP-RE-008</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Předpis částky</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vytvoření účetního předpisu na výši Náhrady nákladů na hrazené služby</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F-VP-RE-009</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Inverzní předpis</w:t>
            </w:r>
          </w:p>
        </w:tc>
        <w:tc>
          <w:tcPr>
            <w:tcW w:w="5499" w:type="dxa"/>
            <w:vAlign w:val="top"/>
          </w:tcPr>
          <w:p w:rsidR="000F08A9" w:rsidRPr="000F08A9" w:rsidRDefault="000F08A9" w:rsidP="000F08A9">
            <w:pPr>
              <w:spacing w:before="0"/>
              <w:jc w:val="left"/>
              <w:rPr>
                <w:rFonts w:cs="Arial"/>
                <w:sz w:val="16"/>
                <w:szCs w:val="16"/>
              </w:rPr>
            </w:pPr>
            <w:r>
              <w:rPr>
                <w:rFonts w:cs="Arial"/>
                <w:sz w:val="16"/>
                <w:szCs w:val="16"/>
              </w:rPr>
              <w:t xml:space="preserve">Systém </w:t>
            </w:r>
            <w:r w:rsidRPr="000F08A9">
              <w:rPr>
                <w:rFonts w:cs="Arial"/>
                <w:sz w:val="16"/>
                <w:szCs w:val="16"/>
              </w:rPr>
              <w:t>umožní uživateli přes grafické rozhraní vytvoření inverzního účetního předpisu na částku Náhrady nákladů na hrazené služby</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F-VP-RE-010</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Vymáhání pohledávek</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přípravu tiskových výstupů pro vymáhání pohledávek za viníkem</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F-VP-RE-011</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přesun stavů pro sledování průběhu vymáhání pohledávek za viníkem</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F-VP-RE-012</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Odpis pohledávek</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uživateli přes grafické rozhraní tvorbu nezaúčtovaného předpisu na odpis </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F-VP-RE-013</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zaúčtování nezaúčtovaných předpisů odpisů</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F-VP-RE-014</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vytvořit inverzní předpis k zaúčtovanému předpisu na odpis</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F-VP-RE-015</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automatické napojení na Portál ve vztahu k hlášením poskytovatelů zdravotních služeb a zaměstnavatelů</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F-VP-RE-016</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automatický výpočet data promlčení dle data doručení</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F-VP-RE-017</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Náklady soudního řízení</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automatický nebo uživateli přes grafické rozhraní výpočet a evidenci nákladů soudního řízení.</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F-VP-RE-018</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Splátkový kalendář</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zaevidování splátkového kalendáře.</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F-VP-RE-019</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sledování plnění splátkového kalendáře.</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F-VP-RE-020</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vyčíslení a evidenci úroků z prodlení</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F-VP-RE-021</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automatické napojení na systém evidence dopravních nehod</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F-VP-RE-022</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zaevidování registrační značky pro vozidla viníků</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F-VP-RE-023</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svázání více případů poškozených k jednomu viníkovi</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lastRenderedPageBreak/>
              <w:t>F-VP-RE-024</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automatickou evidenci historie výkonů zařazených do případu (archivní škodu) pro pozdější revizi na vyžádání třetích stran. </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F-VP-RE-025</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přes grafické rozhraní výpočet spoluviny pojištěnce</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VŠ</w:t>
            </w:r>
          </w:p>
        </w:tc>
        <w:tc>
          <w:tcPr>
            <w:tcW w:w="1985"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Vyčíslení škody</w:t>
            </w:r>
          </w:p>
        </w:tc>
        <w:tc>
          <w:tcPr>
            <w:tcW w:w="5499" w:type="dxa"/>
            <w:vAlign w:val="top"/>
          </w:tcPr>
          <w:p w:rsidR="000F08A9" w:rsidRPr="000F08A9" w:rsidRDefault="000F08A9" w:rsidP="000F08A9">
            <w:pPr>
              <w:spacing w:before="0"/>
              <w:jc w:val="right"/>
              <w:rPr>
                <w:rFonts w:cs="Arial"/>
                <w:b/>
                <w:i/>
                <w:sz w:val="16"/>
                <w:szCs w:val="16"/>
              </w:rPr>
            </w:pP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F-VP-RE-VŠ-001</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Uživatelsky přívětivé grafické rozhraní pro revizního lékaře</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reviznímu lékaři práci s vykázanou péč</w:t>
            </w:r>
            <w:r>
              <w:rPr>
                <w:rFonts w:cs="Arial"/>
                <w:sz w:val="16"/>
                <w:szCs w:val="16"/>
              </w:rPr>
              <w:t>í</w:t>
            </w:r>
            <w:r w:rsidRPr="000F08A9">
              <w:rPr>
                <w:rFonts w:cs="Arial"/>
                <w:sz w:val="16"/>
                <w:szCs w:val="16"/>
              </w:rPr>
              <w:t xml:space="preserve"> (zařazování, vyřazování, vyhledávání) pomocí uživatelsky přívětivého a přehledného grafického rozhraní.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VP</w:t>
            </w:r>
          </w:p>
        </w:tc>
        <w:tc>
          <w:tcPr>
            <w:tcW w:w="1985"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Výběr vykázané péče v souvislosti s regresním případem</w:t>
            </w:r>
          </w:p>
        </w:tc>
        <w:tc>
          <w:tcPr>
            <w:tcW w:w="5499" w:type="dxa"/>
            <w:vAlign w:val="top"/>
          </w:tcPr>
          <w:p w:rsidR="000F08A9" w:rsidRDefault="000F08A9" w:rsidP="000F08A9">
            <w:pPr>
              <w:spacing w:before="0"/>
              <w:jc w:val="right"/>
              <w:rPr>
                <w:rFonts w:cs="Arial"/>
                <w:b/>
                <w:i/>
                <w:sz w:val="16"/>
                <w:szCs w:val="16"/>
              </w:rPr>
            </w:pPr>
            <w:r w:rsidRPr="000F08A9">
              <w:rPr>
                <w:rFonts w:cs="Arial"/>
                <w:b/>
                <w:i/>
                <w:sz w:val="16"/>
                <w:szCs w:val="16"/>
              </w:rPr>
              <w:t xml:space="preserve">procesy popsány v VP-RE-VNP-VVP, </w:t>
            </w:r>
          </w:p>
          <w:p w:rsidR="000F08A9" w:rsidRPr="000F08A9" w:rsidRDefault="000F08A9" w:rsidP="000F08A9">
            <w:pPr>
              <w:spacing w:before="0"/>
              <w:jc w:val="right"/>
              <w:rPr>
                <w:rFonts w:cs="Arial"/>
                <w:b/>
                <w:i/>
                <w:sz w:val="16"/>
                <w:szCs w:val="16"/>
              </w:rPr>
            </w:pPr>
            <w:r w:rsidRPr="000F08A9">
              <w:rPr>
                <w:rFonts w:cs="Arial"/>
                <w:b/>
                <w:i/>
                <w:sz w:val="16"/>
                <w:szCs w:val="16"/>
              </w:rPr>
              <w:t>požadavky popsány v  VP-RE-VŠ-VP</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F-VP-RE-VŠ-VP-001</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Zasílání upozornění RL na požadavek na vyčíslení škody</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zasílání alertů oprávněným uživatelům v případě, kdy pracovník Oddělení právních agend plateb pojistného potvrdí, že je potřeba provést vyčíslení škody daného regresního spisu.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F-VP-RE-VŠ-VP-002</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Zobrazení aktuální škody pro výběr</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zobrazí uživateli přehled veškeré možné vykázané "péče pro regres", kterou je možné v rámci daného kola do regresu zařadit.</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F-VP-RE-VŠ-VP-003</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Pravidla pro výběr péče pro regresní kolo - "péče pro regres"</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automaticky vybere v rámci kola pro zařazení pouze tu péči, která byla vykázaná od data úrazu do data „Uznaná péče do“ pro aktuální datum, která zatím nebyla zahrnuta do žádných předchozích kol a která nebyla stornována v rámci zpracování zakázek či odmítnuta v rámci revizí.</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F-VP-RE-VŠ-VP-004</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Filtrování vykázané péče ke kolu spisu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uživateli pomocí grafického rozhraní filtrovat přehled vykázané péče jen na relevantní řádky a to pomocí definování pozitivní filtrace: zobrazit péči daného typu diagnózy, daného zařízení, odbornost apod.  </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F-VP-RE-VŠ-VP-005</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pomocí grafického rozhraní filtrovat přehled vykázané péče jen na relevantní řádky a to pomocí definování negativní filtrace: nezobrazovat stomatologii, lázně apod.</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F-VP-RE-VŠ-VP-006</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Zařazování vykázané péče ke kolu spisu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reviznímu lékaři pomocí grafického rozhraní hromadné zařazování "péče pro regres" pro daný spis. Uživatel vybere požadovanou péči v seznamu a potvrzením tohoto výběru ji zařadí do daného kola spisu.</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F-VP-RE-VŠ-VP-007</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Vyřazování vykázané péče z kola spisu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reviznímu lékaři pomocí grafického rozhraní hromadné vyřazování již zařazené péče pro daný spis. Uživatel vybere již zařazenou požadovanou péči v seznamu a potvrzením tohoto výběru ji vyřadí z daného kola spisu.</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F-VP-RE-VŠ-VP-008</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Archivování původního seznamu vyznačených výkonů před vyčíslením</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provádět při každém uzavření kola uživatelem automatickou archivaci původního seznamu vykázané péče, který je pak dále RL kdykoli k dispozici. V tomto archívu se neprojevují žádné změny prováděné v rámci následných korekcí.</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F-VP-RE-VŠ-VP-009</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Vyčíslení dle zvoleného algoritmu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zvolit algoritmus pro korekční přepočet škodné částky regresního spisu v závislosti na způsobu úhrady danému poskytovateli nebo dle jiných parametrů (ne jen pouze výkonově). Pro vyrovnaná období bude možné použít jak smluvní hodnotu bodu (současný stav), tak reálnou hodnotu bodu (dnes IHB – individuální hodnotu bodu). Pro péči aktuálního roku lze použít pouze smluvní hodnotu bodu.</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F-VP-RE-VŠ-VP-010</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Generování podkladů pro vymáhání – škoda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generovat sestavu výkonů zařazených k regresnímu spisu dělenou do kategorií dle PZS, období, dávek pro potřeby vymáhání. Sestavu bude možné generovat do PDF či xls.</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F-VP-RE-VŠ-VP-011</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Předání podkladů RL zpět pro vymáhání - škoda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zasílání alertů oprávněným uživatelům v případě, kdy RL potvrdí dokončení vyčíslování škody.</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F-VP-RE-VŠ-VP-012</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Konfigurace pro sledování nové péče</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pomocí grafického rozhraní v rámci konfigurace nastavit výši škody v Kč, od které má zaslat IS uživateli notifikaci v případě, kdy na poškozeného byla vykázaná nová "péče pro regres" a spis má nastaven příznak „Sledovat péči“.</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lastRenderedPageBreak/>
              <w:t>F-VP-RE-VŠ-VP-013</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Zasílání upozornění na novou péči spisu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zasílání alertů oprávněným uživatelům v případě, kdy byla překročena výše nové škody dle konfigurace.</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F-VP-RE-VŠ-VP-014</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Podpora pro evidenci jednoho viníka vs. X poškozených</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podporu pro situaci, kdy je jeden viník a x poškozených – speciální spis s jedním viníkem a X poškozených vs. podpora pro hromadné přiřazování dané péče do více spisů současně apod.</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F-VP-RE-VŠ-VP-015</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Podpůrné funkce</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zobrazení alertů pro daného uživatele na úvodní stránce IS po jeho přihlášení a bude z něj možné </w:t>
            </w:r>
            <w:r>
              <w:rPr>
                <w:rFonts w:cs="Arial"/>
                <w:sz w:val="16"/>
                <w:szCs w:val="16"/>
              </w:rPr>
              <w:t>odkazem</w:t>
            </w:r>
            <w:r w:rsidRPr="000F08A9">
              <w:rPr>
                <w:rFonts w:cs="Arial"/>
                <w:sz w:val="16"/>
                <w:szCs w:val="16"/>
              </w:rPr>
              <w:t xml:space="preserve"> přejít na daný spis / kolo / případ.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F-VP-RE-VŠ-VP-016</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obecně umožní řazení, filtrování dle zobrazených položek a export přehledů (csv, xls) zobrazených v IS.  </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F-VP-RE-VŠ-VP-017</w:t>
            </w:r>
          </w:p>
        </w:tc>
        <w:tc>
          <w:tcPr>
            <w:tcW w:w="1985" w:type="dxa"/>
            <w:vAlign w:val="top"/>
          </w:tcPr>
          <w:p w:rsidR="000F08A9" w:rsidRPr="000F08A9" w:rsidRDefault="000F08A9" w:rsidP="000F08A9">
            <w:pPr>
              <w:spacing w:before="0"/>
              <w:jc w:val="left"/>
              <w:rPr>
                <w:rFonts w:cs="Arial"/>
                <w:sz w:val="16"/>
                <w:szCs w:val="16"/>
              </w:rPr>
            </w:pP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bude automaticky zaokrouhlovat vypočtené škodné částky, které budou zasílány viníkům a do účetnictví na celé koruny a to matematicky.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KP</w:t>
            </w:r>
          </w:p>
        </w:tc>
        <w:tc>
          <w:tcPr>
            <w:tcW w:w="1985" w:type="dxa"/>
            <w:vAlign w:val="top"/>
          </w:tcPr>
          <w:p w:rsidR="000F08A9" w:rsidRPr="000F08A9" w:rsidRDefault="000F08A9" w:rsidP="000F08A9">
            <w:pPr>
              <w:spacing w:before="0"/>
              <w:jc w:val="right"/>
              <w:rPr>
                <w:rFonts w:cs="Arial"/>
                <w:b/>
                <w:i/>
                <w:sz w:val="16"/>
                <w:szCs w:val="16"/>
              </w:rPr>
            </w:pPr>
            <w:r w:rsidRPr="000F08A9">
              <w:rPr>
                <w:rFonts w:cs="Arial"/>
                <w:b/>
                <w:i/>
                <w:sz w:val="16"/>
                <w:szCs w:val="16"/>
              </w:rPr>
              <w:t>Korekce při rozporu vykázané péče</w:t>
            </w:r>
          </w:p>
        </w:tc>
        <w:tc>
          <w:tcPr>
            <w:tcW w:w="5499" w:type="dxa"/>
            <w:vAlign w:val="top"/>
          </w:tcPr>
          <w:p w:rsidR="000F08A9" w:rsidRDefault="000F08A9" w:rsidP="000F08A9">
            <w:pPr>
              <w:spacing w:before="0"/>
              <w:jc w:val="right"/>
              <w:rPr>
                <w:rFonts w:cs="Arial"/>
                <w:b/>
                <w:i/>
                <w:sz w:val="16"/>
                <w:szCs w:val="16"/>
              </w:rPr>
            </w:pPr>
            <w:r w:rsidRPr="000F08A9">
              <w:rPr>
                <w:rFonts w:cs="Arial"/>
                <w:b/>
                <w:i/>
                <w:sz w:val="16"/>
                <w:szCs w:val="16"/>
              </w:rPr>
              <w:t xml:space="preserve">procesy popsány v VP-RE-VNP-KVP, </w:t>
            </w:r>
          </w:p>
          <w:p w:rsidR="000F08A9" w:rsidRPr="000F08A9" w:rsidRDefault="000F08A9" w:rsidP="000F08A9">
            <w:pPr>
              <w:spacing w:before="0"/>
              <w:jc w:val="right"/>
              <w:rPr>
                <w:rFonts w:cs="Arial"/>
                <w:b/>
                <w:i/>
                <w:sz w:val="16"/>
                <w:szCs w:val="16"/>
              </w:rPr>
            </w:pPr>
            <w:r w:rsidRPr="000F08A9">
              <w:rPr>
                <w:rFonts w:cs="Arial"/>
                <w:b/>
                <w:i/>
                <w:sz w:val="16"/>
                <w:szCs w:val="16"/>
              </w:rPr>
              <w:t>požadavky popsány v  VP-RE-VŠ-KP</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F-VP-RE-VŠ-KP-001</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Zasílání upozornění RL na požadavek na korekci vyčíslené škody</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zasílání alertů oprávněným uživatelům v případě, kdy pracovník Oddělení právních agend plateb pojistného potvrdí, že je potřeba provést korekci vyčíslené škody daného regresního spisu.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F-VP-RE-VŠ-KP-002</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Zobrazení aktuální škody kola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zobrazení aktuálního přehledu vykázané péče, která je v rámci daného kola aktuálně vymáhaná.</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F-VP-RE-VŠ-KP-003</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Vytvoření kopie původního seznamu vyznačených výkonů</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vytvoření "otevřené" kopie seznamu zařazené péče dle aktuálního posledního archivovaného seznamu daného kola po jeho vyčíslení.</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F-VP-RE-VŠ-KP-004</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Úprava / aktualizace původního seznamu související péče - korekce částky</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uživateli pomocí grafického rozhraní provádět jen lokální snižování původní částky škody bez ohledu na změny v reálných datech výdajové části tím, že RL lokálně vyřadí původně zařazené výkony či původní částku v rámci kola plošně poníží. </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F-VP-RE-VŠ-KP-005</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Zobrazení rozdílů dle živých dat v seznamu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automaticky zobrazí rozdíly v aktuálním "otevřeném" seznamu vykázané péče daného kola, které vznikly při post revizích zakázek (stornované, zpětně odmítnuté apod.). Při vytváření nového seznamu v rámci korekcí, budou tyto výkony, po potvrzení uživatelem, odstraněny z "otevřeného" seznamu.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F-VP-RE-VŠ-KP-006</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Zasílání notifikací uživateli o stornu či odmítnutí výkonu, který je evidován v seznamu související péče</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zasílání notifikací oprávněnému uživateli v případě, kdy je péče, která je zahrnuta do seznamu související péče nějakého kola, následně stornována v rámci storna zakázky nebo zrušena na základě cílených revizí.</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F-VP-RE-VŠ-KP-007</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Korigování již vyznačených výkonů </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 xml:space="preserve">Systém umožní reviznímu lékaři pomocí grafického rozhraní korigovat původní seznam vykázané péče (zařazení, vyřazení - stejně jak při vyčíslování škody nové) a to v případě, kdy je seznam "otevřen" v rámci korekcí, pro úpravy. Takto vyčíslená škoda se po potvrzení uživatelem stane novou aktuální škodou kola. </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F-VP-RE-VŠ-KP-008</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Vyčíslení dle zvoleného algoritmu</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uživateli zvolit algoritmus pro korekční přepočet škodné částky regresního spisu v závislosti na způsobu úhrady danému poskytovateli nebo dle jiných parametrů (ne jen pouze výkonově). Pro vyrovnaná období bude možné použít jak smluvní hodnotu bodu (současný stav), tak reálnou hodnotu bodu (dnes IHB – individuální hodnotu bodu). Pro péči aktuálního roku lze použít pouze smluvní hodnotu bodu.</w:t>
            </w:r>
          </w:p>
        </w:tc>
      </w:tr>
      <w:tr w:rsidR="000F08A9" w:rsidRPr="00247618" w:rsidTr="000F08A9">
        <w:trPr>
          <w:cnfStyle w:val="000000010000" w:firstRow="0" w:lastRow="0" w:firstColumn="0" w:lastColumn="0" w:oddVBand="0" w:evenVBand="0" w:oddHBand="0" w:evenHBand="1"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F-VP-RE-VŠ-KP-009</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Generování podkladů pro vymáhání – škoda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generovat sestavu výkonů zařazených k regresnímu spisu dělenou do kategorií dle PZS období dávek pro potřeby vymáhání. Sestavu je možné generovat do PDF či xls.</w:t>
            </w:r>
          </w:p>
        </w:tc>
      </w:tr>
      <w:tr w:rsidR="000F08A9" w:rsidRPr="00247618" w:rsidTr="000F08A9">
        <w:trPr>
          <w:cnfStyle w:val="000000100000" w:firstRow="0" w:lastRow="0" w:firstColumn="0" w:lastColumn="0" w:oddVBand="0" w:evenVBand="0" w:oddHBand="1" w:evenHBand="0" w:firstRowFirstColumn="0" w:firstRowLastColumn="0" w:lastRowFirstColumn="0" w:lastRowLastColumn="0"/>
          <w:trHeight w:val="113"/>
        </w:trPr>
        <w:tc>
          <w:tcPr>
            <w:tcW w:w="1814" w:type="dxa"/>
            <w:vAlign w:val="top"/>
          </w:tcPr>
          <w:p w:rsidR="000F08A9" w:rsidRPr="000F08A9" w:rsidRDefault="000F08A9" w:rsidP="000F08A9">
            <w:pPr>
              <w:spacing w:before="0"/>
              <w:jc w:val="left"/>
              <w:rPr>
                <w:rFonts w:cs="Arial"/>
                <w:sz w:val="16"/>
                <w:szCs w:val="16"/>
              </w:rPr>
            </w:pPr>
            <w:r w:rsidRPr="000F08A9">
              <w:rPr>
                <w:rFonts w:cs="Arial"/>
                <w:sz w:val="16"/>
                <w:szCs w:val="16"/>
              </w:rPr>
              <w:t>F-VP-RE-VŠ-KP-010</w:t>
            </w:r>
          </w:p>
        </w:tc>
        <w:tc>
          <w:tcPr>
            <w:tcW w:w="1985" w:type="dxa"/>
            <w:vAlign w:val="top"/>
          </w:tcPr>
          <w:p w:rsidR="000F08A9" w:rsidRPr="000F08A9" w:rsidRDefault="000F08A9" w:rsidP="000F08A9">
            <w:pPr>
              <w:spacing w:before="0"/>
              <w:jc w:val="left"/>
              <w:rPr>
                <w:rFonts w:cs="Arial"/>
                <w:sz w:val="16"/>
                <w:szCs w:val="16"/>
              </w:rPr>
            </w:pPr>
            <w:r w:rsidRPr="000F08A9">
              <w:rPr>
                <w:rFonts w:cs="Arial"/>
                <w:sz w:val="16"/>
                <w:szCs w:val="16"/>
              </w:rPr>
              <w:t>Předání podkladů RL zpět pro vymáhání - škoda</w:t>
            </w:r>
          </w:p>
        </w:tc>
        <w:tc>
          <w:tcPr>
            <w:tcW w:w="5499" w:type="dxa"/>
            <w:vAlign w:val="top"/>
          </w:tcPr>
          <w:p w:rsidR="000F08A9" w:rsidRPr="000F08A9" w:rsidRDefault="000F08A9" w:rsidP="000F08A9">
            <w:pPr>
              <w:spacing w:before="0"/>
              <w:jc w:val="left"/>
              <w:rPr>
                <w:rFonts w:cs="Arial"/>
                <w:sz w:val="16"/>
                <w:szCs w:val="16"/>
              </w:rPr>
            </w:pPr>
            <w:r w:rsidRPr="000F08A9">
              <w:rPr>
                <w:rFonts w:cs="Arial"/>
                <w:sz w:val="16"/>
                <w:szCs w:val="16"/>
              </w:rPr>
              <w:t>Systém umožní zasílání alertů oprávněným uživatelům v případě, kdy RL potvrdí dokončení korekce škody.</w:t>
            </w:r>
          </w:p>
        </w:tc>
      </w:tr>
    </w:tbl>
    <w:p w:rsidR="00247618" w:rsidRDefault="00247618" w:rsidP="000013A9"/>
    <w:p w:rsidR="00247618" w:rsidRDefault="00247618">
      <w:pPr>
        <w:spacing w:before="0" w:after="200" w:line="276" w:lineRule="auto"/>
        <w:jc w:val="left"/>
      </w:pPr>
    </w:p>
    <w:sectPr w:rsidR="00247618" w:rsidSect="000013A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21" w:rsidRDefault="00457721" w:rsidP="000013A9">
      <w:pPr>
        <w:spacing w:before="0"/>
      </w:pPr>
      <w:r>
        <w:separator/>
      </w:r>
    </w:p>
  </w:endnote>
  <w:endnote w:type="continuationSeparator" w:id="0">
    <w:p w:rsidR="00457721" w:rsidRDefault="00457721" w:rsidP="000013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2A" w:rsidRDefault="008716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F6D" w:rsidRDefault="00330F6D" w:rsidP="000013A9">
    <w:pPr>
      <w:pStyle w:val="Zpat"/>
      <w:tabs>
        <w:tab w:val="clear" w:pos="4536"/>
        <w:tab w:val="clear" w:pos="9072"/>
        <w:tab w:val="left" w:pos="7513"/>
        <w:tab w:val="right" w:pos="9423"/>
      </w:tabs>
      <w:jc w:val="center"/>
      <w:rPr>
        <w:rFonts w:cs="Arial"/>
        <w:sz w:val="18"/>
        <w:szCs w:val="18"/>
      </w:rPr>
    </w:pPr>
  </w:p>
  <w:p w:rsidR="00330F6D" w:rsidRDefault="00330F6D" w:rsidP="000013A9">
    <w:pPr>
      <w:pStyle w:val="Zpat"/>
      <w:tabs>
        <w:tab w:val="clear" w:pos="4536"/>
        <w:tab w:val="clear" w:pos="9072"/>
        <w:tab w:val="center" w:pos="4253"/>
        <w:tab w:val="right" w:pos="8505"/>
      </w:tabs>
      <w:jc w:val="center"/>
      <w:rPr>
        <w:rFonts w:cs="Arial"/>
        <w:b/>
        <w:color w:val="E60019"/>
        <w:sz w:val="18"/>
        <w:szCs w:val="18"/>
      </w:rPr>
    </w:pPr>
    <w:r>
      <w:rPr>
        <w:rFonts w:cs="Arial"/>
        <w:b/>
        <w:color w:val="E60019"/>
        <w:sz w:val="18"/>
        <w:szCs w:val="18"/>
      </w:rPr>
      <w:tab/>
    </w:r>
    <w:r>
      <w:rPr>
        <w:rFonts w:cs="Arial"/>
        <w:b/>
        <w:color w:val="E60019"/>
        <w:sz w:val="18"/>
        <w:szCs w:val="18"/>
      </w:rPr>
      <w:tab/>
    </w:r>
    <w:r w:rsidRPr="00914AE2">
      <w:rPr>
        <w:rFonts w:cs="Arial"/>
        <w:sz w:val="18"/>
        <w:szCs w:val="18"/>
      </w:rPr>
      <w:fldChar w:fldCharType="begin"/>
    </w:r>
    <w:r w:rsidRPr="00914AE2">
      <w:rPr>
        <w:rFonts w:cs="Arial"/>
        <w:sz w:val="18"/>
        <w:szCs w:val="18"/>
      </w:rPr>
      <w:instrText xml:space="preserve"> PAGE  \* Arabic  \* MERGEFORMAT </w:instrText>
    </w:r>
    <w:r w:rsidRPr="00914AE2">
      <w:rPr>
        <w:rFonts w:cs="Arial"/>
        <w:sz w:val="18"/>
        <w:szCs w:val="18"/>
      </w:rPr>
      <w:fldChar w:fldCharType="separate"/>
    </w:r>
    <w:proofErr w:type="gramStart"/>
    <w:r w:rsidR="0087162A">
      <w:rPr>
        <w:rFonts w:cs="Arial"/>
        <w:noProof/>
        <w:sz w:val="18"/>
        <w:szCs w:val="18"/>
      </w:rPr>
      <w:t>4</w:t>
    </w:r>
    <w:r w:rsidRPr="00914AE2">
      <w:rPr>
        <w:rFonts w:cs="Arial"/>
        <w:sz w:val="18"/>
        <w:szCs w:val="18"/>
      </w:rPr>
      <w:fldChar w:fldCharType="end"/>
    </w:r>
    <w:r>
      <w:rPr>
        <w:rFonts w:cs="Arial"/>
        <w:sz w:val="18"/>
        <w:szCs w:val="18"/>
      </w:rPr>
      <w:t xml:space="preserve"> z </w:t>
    </w:r>
    <w:r w:rsidR="00CA4496">
      <w:fldChar w:fldCharType="begin"/>
    </w:r>
    <w:r w:rsidR="00CA4496">
      <w:instrText xml:space="preserve"> NUMPAGES  \* Arabic  \* MERGEFORMAT </w:instrText>
    </w:r>
    <w:r w:rsidR="00CA4496">
      <w:fldChar w:fldCharType="separate"/>
    </w:r>
    <w:r w:rsidR="0087162A" w:rsidRPr="0087162A">
      <w:rPr>
        <w:rFonts w:cs="Arial"/>
        <w:noProof/>
        <w:sz w:val="18"/>
        <w:szCs w:val="18"/>
      </w:rPr>
      <w:t>17</w:t>
    </w:r>
    <w:proofErr w:type="gramEnd"/>
    <w:r w:rsidR="00CA4496">
      <w:rPr>
        <w:rFonts w:cs="Arial"/>
        <w:noProof/>
        <w:sz w:val="18"/>
        <w:szCs w:val="18"/>
      </w:rPr>
      <w:fldChar w:fldCharType="end"/>
    </w:r>
  </w:p>
  <w:p w:rsidR="00330F6D" w:rsidRDefault="00330F6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2A" w:rsidRDefault="008716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21" w:rsidRDefault="00457721" w:rsidP="000013A9">
      <w:pPr>
        <w:spacing w:before="0"/>
      </w:pPr>
      <w:r>
        <w:separator/>
      </w:r>
    </w:p>
  </w:footnote>
  <w:footnote w:type="continuationSeparator" w:id="0">
    <w:p w:rsidR="00457721" w:rsidRDefault="00457721" w:rsidP="000013A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2A" w:rsidRDefault="008716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459" w:type="dxa"/>
      <w:tblLook w:val="04A0" w:firstRow="1" w:lastRow="0" w:firstColumn="1" w:lastColumn="0" w:noHBand="0" w:noVBand="1"/>
    </w:tblPr>
    <w:tblGrid>
      <w:gridCol w:w="1686"/>
      <w:gridCol w:w="8379"/>
    </w:tblGrid>
    <w:tr w:rsidR="00330F6D" w:rsidTr="00AB746C">
      <w:trPr>
        <w:trHeight w:val="454"/>
      </w:trPr>
      <w:tc>
        <w:tcPr>
          <w:tcW w:w="1686" w:type="dxa"/>
          <w:vMerge w:val="restart"/>
        </w:tcPr>
        <w:p w:rsidR="00330F6D" w:rsidRDefault="00330F6D" w:rsidP="00103791"/>
      </w:tc>
      <w:tc>
        <w:tcPr>
          <w:tcW w:w="8379" w:type="dxa"/>
          <w:tcBorders>
            <w:bottom w:val="single" w:sz="12" w:space="0" w:color="E20025"/>
          </w:tcBorders>
          <w:vAlign w:val="bottom"/>
        </w:tcPr>
        <w:p w:rsidR="00330F6D" w:rsidRPr="00302A9A" w:rsidRDefault="00330F6D" w:rsidP="00103791">
          <w:pPr>
            <w:pStyle w:val="Zhlav"/>
            <w:spacing w:after="60"/>
            <w:jc w:val="right"/>
            <w:rPr>
              <w:sz w:val="16"/>
              <w:szCs w:val="16"/>
            </w:rPr>
          </w:pPr>
        </w:p>
      </w:tc>
    </w:tr>
    <w:tr w:rsidR="00330F6D" w:rsidTr="00AB746C">
      <w:trPr>
        <w:trHeight w:val="780"/>
      </w:trPr>
      <w:tc>
        <w:tcPr>
          <w:tcW w:w="1686" w:type="dxa"/>
          <w:vMerge/>
        </w:tcPr>
        <w:p w:rsidR="00330F6D" w:rsidRPr="007F06F7" w:rsidRDefault="00330F6D" w:rsidP="00103791">
          <w:pPr>
            <w:pStyle w:val="Zhlav"/>
          </w:pPr>
        </w:p>
      </w:tc>
      <w:tc>
        <w:tcPr>
          <w:tcW w:w="8379" w:type="dxa"/>
          <w:tcBorders>
            <w:top w:val="single" w:sz="12" w:space="0" w:color="E20025"/>
            <w:bottom w:val="single" w:sz="12" w:space="0" w:color="E20025"/>
          </w:tcBorders>
          <w:vAlign w:val="center"/>
        </w:tcPr>
        <w:p w:rsidR="00330F6D" w:rsidRPr="00302A9A" w:rsidRDefault="00330F6D" w:rsidP="00103791">
          <w:pPr>
            <w:pStyle w:val="Zhlav"/>
            <w:jc w:val="right"/>
            <w:rPr>
              <w:sz w:val="36"/>
              <w:szCs w:val="36"/>
            </w:rPr>
          </w:pPr>
          <w:r w:rsidRPr="00302A9A">
            <w:rPr>
              <w:sz w:val="36"/>
              <w:szCs w:val="36"/>
            </w:rPr>
            <w:t>Studie proveditelnosti ICIS</w:t>
          </w:r>
        </w:p>
      </w:tc>
    </w:tr>
    <w:tr w:rsidR="00330F6D" w:rsidTr="00AB746C">
      <w:trPr>
        <w:trHeight w:val="431"/>
      </w:trPr>
      <w:tc>
        <w:tcPr>
          <w:tcW w:w="1686" w:type="dxa"/>
          <w:vMerge/>
        </w:tcPr>
        <w:p w:rsidR="00330F6D" w:rsidRPr="007F06F7" w:rsidRDefault="00330F6D" w:rsidP="00103791">
          <w:pPr>
            <w:pStyle w:val="Zhlav"/>
          </w:pPr>
        </w:p>
      </w:tc>
      <w:tc>
        <w:tcPr>
          <w:tcW w:w="8379" w:type="dxa"/>
          <w:tcBorders>
            <w:top w:val="single" w:sz="12" w:space="0" w:color="E20025"/>
          </w:tcBorders>
        </w:tcPr>
        <w:p w:rsidR="00330F6D" w:rsidRPr="007F06F7" w:rsidRDefault="00330F6D" w:rsidP="00103791">
          <w:pPr>
            <w:pStyle w:val="Zhlav"/>
          </w:pPr>
        </w:p>
      </w:tc>
    </w:tr>
  </w:tbl>
  <w:p w:rsidR="00330F6D" w:rsidRDefault="00330F6D">
    <w:pPr>
      <w:pStyle w:val="Zhlav"/>
    </w:pPr>
    <w:bookmarkStart w:id="7" w:name="_GoBack"/>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2A" w:rsidRDefault="0087162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3DBA"/>
    <w:multiLevelType w:val="multilevel"/>
    <w:tmpl w:val="016E105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EC"/>
    <w:rsid w:val="000013A9"/>
    <w:rsid w:val="000F08A9"/>
    <w:rsid w:val="00103791"/>
    <w:rsid w:val="00130DD1"/>
    <w:rsid w:val="001572CD"/>
    <w:rsid w:val="00181B67"/>
    <w:rsid w:val="00183368"/>
    <w:rsid w:val="001C5FB1"/>
    <w:rsid w:val="002023BB"/>
    <w:rsid w:val="00247618"/>
    <w:rsid w:val="002479AF"/>
    <w:rsid w:val="00286E13"/>
    <w:rsid w:val="002A762E"/>
    <w:rsid w:val="002D69A1"/>
    <w:rsid w:val="002E403A"/>
    <w:rsid w:val="0032585E"/>
    <w:rsid w:val="00330F6D"/>
    <w:rsid w:val="00331E9E"/>
    <w:rsid w:val="00361069"/>
    <w:rsid w:val="003E7B06"/>
    <w:rsid w:val="00406178"/>
    <w:rsid w:val="004118F0"/>
    <w:rsid w:val="0042290E"/>
    <w:rsid w:val="00444D59"/>
    <w:rsid w:val="00455836"/>
    <w:rsid w:val="00457721"/>
    <w:rsid w:val="00482389"/>
    <w:rsid w:val="00496ABD"/>
    <w:rsid w:val="004B17EC"/>
    <w:rsid w:val="00517B2A"/>
    <w:rsid w:val="005513A0"/>
    <w:rsid w:val="00560E90"/>
    <w:rsid w:val="005763E2"/>
    <w:rsid w:val="00585409"/>
    <w:rsid w:val="005B6711"/>
    <w:rsid w:val="005C267A"/>
    <w:rsid w:val="005D4F16"/>
    <w:rsid w:val="005E292F"/>
    <w:rsid w:val="005F3A32"/>
    <w:rsid w:val="006151CB"/>
    <w:rsid w:val="00632FA5"/>
    <w:rsid w:val="00677F5A"/>
    <w:rsid w:val="006A0BE0"/>
    <w:rsid w:val="006F3B34"/>
    <w:rsid w:val="00751F91"/>
    <w:rsid w:val="00767E86"/>
    <w:rsid w:val="007B1C04"/>
    <w:rsid w:val="007C3FE6"/>
    <w:rsid w:val="007F4C3F"/>
    <w:rsid w:val="00813F95"/>
    <w:rsid w:val="00823A3D"/>
    <w:rsid w:val="008303F0"/>
    <w:rsid w:val="008329A8"/>
    <w:rsid w:val="0083467B"/>
    <w:rsid w:val="00852EEC"/>
    <w:rsid w:val="0085424E"/>
    <w:rsid w:val="0087162A"/>
    <w:rsid w:val="00881AEC"/>
    <w:rsid w:val="00896F3B"/>
    <w:rsid w:val="008E7E4E"/>
    <w:rsid w:val="00917244"/>
    <w:rsid w:val="0096077C"/>
    <w:rsid w:val="00964573"/>
    <w:rsid w:val="009842ED"/>
    <w:rsid w:val="009A0D1C"/>
    <w:rsid w:val="009D509D"/>
    <w:rsid w:val="00A15628"/>
    <w:rsid w:val="00A4651D"/>
    <w:rsid w:val="00A519F2"/>
    <w:rsid w:val="00A85AB4"/>
    <w:rsid w:val="00AB746C"/>
    <w:rsid w:val="00B07F79"/>
    <w:rsid w:val="00B25330"/>
    <w:rsid w:val="00B31C44"/>
    <w:rsid w:val="00B833DB"/>
    <w:rsid w:val="00BA41F4"/>
    <w:rsid w:val="00BC74C0"/>
    <w:rsid w:val="00BE2E3B"/>
    <w:rsid w:val="00BF7938"/>
    <w:rsid w:val="00C705AC"/>
    <w:rsid w:val="00C80090"/>
    <w:rsid w:val="00C87B89"/>
    <w:rsid w:val="00CA4496"/>
    <w:rsid w:val="00CB5AC2"/>
    <w:rsid w:val="00CE471D"/>
    <w:rsid w:val="00D46745"/>
    <w:rsid w:val="00D6349A"/>
    <w:rsid w:val="00DD3126"/>
    <w:rsid w:val="00DE380B"/>
    <w:rsid w:val="00E3368C"/>
    <w:rsid w:val="00E37908"/>
    <w:rsid w:val="00EA7FF1"/>
    <w:rsid w:val="00F657E9"/>
    <w:rsid w:val="00FB16F2"/>
    <w:rsid w:val="00FE413E"/>
    <w:rsid w:val="00FE6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13A9"/>
    <w:pPr>
      <w:spacing w:before="120" w:after="0" w:line="240" w:lineRule="auto"/>
      <w:jc w:val="both"/>
    </w:pPr>
    <w:rPr>
      <w:rFonts w:ascii="Arial" w:eastAsia="Calibri" w:hAnsi="Arial" w:cs="Times New Roman"/>
      <w:sz w:val="20"/>
    </w:rPr>
  </w:style>
  <w:style w:type="paragraph" w:styleId="Nadpis1">
    <w:name w:val="heading 1"/>
    <w:basedOn w:val="Normln"/>
    <w:next w:val="Normln"/>
    <w:link w:val="Nadpis1Char"/>
    <w:uiPriority w:val="99"/>
    <w:qFormat/>
    <w:rsid w:val="000013A9"/>
    <w:pPr>
      <w:keepNext/>
      <w:pageBreakBefore/>
      <w:numPr>
        <w:numId w:val="1"/>
      </w:numPr>
      <w:spacing w:after="120"/>
      <w:jc w:val="left"/>
      <w:outlineLvl w:val="0"/>
    </w:pPr>
    <w:rPr>
      <w:rFonts w:eastAsia="Times New Roman"/>
      <w:b/>
      <w:bCs/>
      <w:kern w:val="32"/>
      <w:sz w:val="36"/>
      <w:szCs w:val="32"/>
    </w:rPr>
  </w:style>
  <w:style w:type="paragraph" w:styleId="Nadpis2">
    <w:name w:val="heading 2"/>
    <w:basedOn w:val="Normln"/>
    <w:next w:val="Normln"/>
    <w:link w:val="Nadpis2Char"/>
    <w:uiPriority w:val="99"/>
    <w:unhideWhenUsed/>
    <w:qFormat/>
    <w:rsid w:val="000013A9"/>
    <w:pPr>
      <w:keepNext/>
      <w:numPr>
        <w:ilvl w:val="1"/>
        <w:numId w:val="1"/>
      </w:numPr>
      <w:spacing w:before="240" w:after="120"/>
      <w:jc w:val="left"/>
      <w:outlineLvl w:val="1"/>
    </w:pPr>
    <w:rPr>
      <w:rFonts w:eastAsia="Times New Roman"/>
      <w:b/>
      <w:bCs/>
      <w:iCs/>
      <w:sz w:val="32"/>
      <w:szCs w:val="28"/>
    </w:rPr>
  </w:style>
  <w:style w:type="paragraph" w:styleId="Nadpis3">
    <w:name w:val="heading 3"/>
    <w:basedOn w:val="Normln"/>
    <w:next w:val="Normln"/>
    <w:link w:val="Nadpis3Char"/>
    <w:uiPriority w:val="99"/>
    <w:unhideWhenUsed/>
    <w:qFormat/>
    <w:rsid w:val="000013A9"/>
    <w:pPr>
      <w:keepNext/>
      <w:numPr>
        <w:ilvl w:val="2"/>
        <w:numId w:val="1"/>
      </w:numPr>
      <w:spacing w:before="80" w:after="120"/>
      <w:jc w:val="left"/>
      <w:outlineLvl w:val="2"/>
    </w:pPr>
    <w:rPr>
      <w:rFonts w:eastAsia="Times New Roman"/>
      <w:b/>
      <w:bCs/>
      <w:sz w:val="28"/>
      <w:szCs w:val="26"/>
    </w:rPr>
  </w:style>
  <w:style w:type="paragraph" w:styleId="Nadpis4">
    <w:name w:val="heading 4"/>
    <w:basedOn w:val="Normln"/>
    <w:next w:val="Normln"/>
    <w:link w:val="Nadpis4Char"/>
    <w:uiPriority w:val="99"/>
    <w:unhideWhenUsed/>
    <w:qFormat/>
    <w:rsid w:val="000013A9"/>
    <w:pPr>
      <w:keepNext/>
      <w:numPr>
        <w:ilvl w:val="3"/>
        <w:numId w:val="1"/>
      </w:numPr>
      <w:spacing w:before="60" w:after="60"/>
      <w:jc w:val="left"/>
      <w:outlineLvl w:val="3"/>
    </w:pPr>
    <w:rPr>
      <w:rFonts w:eastAsia="Times New Roman"/>
      <w:b/>
      <w:bCs/>
      <w:sz w:val="24"/>
      <w:szCs w:val="28"/>
    </w:rPr>
  </w:style>
  <w:style w:type="paragraph" w:styleId="Nadpis5">
    <w:name w:val="heading 5"/>
    <w:basedOn w:val="Normln"/>
    <w:next w:val="Normln"/>
    <w:link w:val="Nadpis5Char"/>
    <w:uiPriority w:val="99"/>
    <w:unhideWhenUsed/>
    <w:qFormat/>
    <w:rsid w:val="000013A9"/>
    <w:pPr>
      <w:numPr>
        <w:ilvl w:val="4"/>
        <w:numId w:val="1"/>
      </w:numPr>
      <w:spacing w:before="60" w:after="60"/>
      <w:jc w:val="left"/>
      <w:outlineLvl w:val="4"/>
    </w:pPr>
    <w:rPr>
      <w:rFonts w:eastAsia="Times New Roman"/>
      <w:bCs/>
      <w:iCs/>
      <w:sz w:val="24"/>
      <w:szCs w:val="26"/>
    </w:rPr>
  </w:style>
  <w:style w:type="paragraph" w:styleId="Nadpis6">
    <w:name w:val="heading 6"/>
    <w:basedOn w:val="Normln"/>
    <w:next w:val="Normln"/>
    <w:link w:val="Nadpis6Char"/>
    <w:uiPriority w:val="99"/>
    <w:unhideWhenUsed/>
    <w:qFormat/>
    <w:rsid w:val="000013A9"/>
    <w:pPr>
      <w:numPr>
        <w:ilvl w:val="5"/>
        <w:numId w:val="1"/>
      </w:numPr>
      <w:spacing w:before="60" w:after="60"/>
      <w:jc w:val="left"/>
      <w:outlineLvl w:val="5"/>
    </w:pPr>
    <w:rPr>
      <w:rFonts w:eastAsia="Times New Roman"/>
      <w:bCs/>
      <w:sz w:val="24"/>
    </w:rPr>
  </w:style>
  <w:style w:type="paragraph" w:styleId="Nadpis7">
    <w:name w:val="heading 7"/>
    <w:basedOn w:val="Normln"/>
    <w:next w:val="Normln"/>
    <w:link w:val="Nadpis7Char"/>
    <w:uiPriority w:val="99"/>
    <w:unhideWhenUsed/>
    <w:qFormat/>
    <w:rsid w:val="000013A9"/>
    <w:pPr>
      <w:numPr>
        <w:ilvl w:val="6"/>
        <w:numId w:val="1"/>
      </w:numPr>
      <w:spacing w:before="60" w:after="60"/>
      <w:jc w:val="left"/>
      <w:outlineLvl w:val="6"/>
    </w:pPr>
    <w:rPr>
      <w:rFonts w:eastAsia="Times New Roman"/>
      <w:sz w:val="24"/>
      <w:szCs w:val="24"/>
    </w:rPr>
  </w:style>
  <w:style w:type="paragraph" w:styleId="Nadpis8">
    <w:name w:val="heading 8"/>
    <w:basedOn w:val="Normln"/>
    <w:next w:val="Normln"/>
    <w:link w:val="Nadpis8Char"/>
    <w:uiPriority w:val="99"/>
    <w:unhideWhenUsed/>
    <w:qFormat/>
    <w:rsid w:val="000013A9"/>
    <w:pPr>
      <w:numPr>
        <w:ilvl w:val="7"/>
        <w:numId w:val="1"/>
      </w:numPr>
      <w:spacing w:before="60" w:after="60"/>
      <w:jc w:val="left"/>
      <w:outlineLvl w:val="7"/>
    </w:pPr>
    <w:rPr>
      <w:rFonts w:eastAsia="Times New Roman"/>
      <w:iCs/>
      <w:sz w:val="24"/>
      <w:szCs w:val="24"/>
    </w:rPr>
  </w:style>
  <w:style w:type="paragraph" w:styleId="Nadpis9">
    <w:name w:val="heading 9"/>
    <w:basedOn w:val="Normln"/>
    <w:next w:val="Normln"/>
    <w:link w:val="Nadpis9Char"/>
    <w:uiPriority w:val="99"/>
    <w:unhideWhenUsed/>
    <w:qFormat/>
    <w:rsid w:val="000013A9"/>
    <w:pPr>
      <w:numPr>
        <w:ilvl w:val="8"/>
        <w:numId w:val="1"/>
      </w:numPr>
      <w:spacing w:before="60" w:after="60"/>
      <w:jc w:val="left"/>
      <w:outlineLvl w:val="8"/>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rsid w:val="005513A0"/>
    <w:pPr>
      <w:tabs>
        <w:tab w:val="left" w:pos="440"/>
        <w:tab w:val="right" w:leader="dot" w:pos="9072"/>
      </w:tabs>
    </w:pPr>
  </w:style>
  <w:style w:type="paragraph" w:styleId="Obsah2">
    <w:name w:val="toc 2"/>
    <w:basedOn w:val="Normln"/>
    <w:next w:val="Normln"/>
    <w:autoRedefine/>
    <w:uiPriority w:val="39"/>
    <w:unhideWhenUsed/>
    <w:rsid w:val="000013A9"/>
    <w:pPr>
      <w:ind w:left="200"/>
    </w:pPr>
  </w:style>
  <w:style w:type="character" w:styleId="Hypertextovodkaz">
    <w:name w:val="Hyperlink"/>
    <w:uiPriority w:val="99"/>
    <w:unhideWhenUsed/>
    <w:rsid w:val="000013A9"/>
    <w:rPr>
      <w:color w:val="0000FF"/>
      <w:u w:val="single"/>
    </w:rPr>
  </w:style>
  <w:style w:type="paragraph" w:customStyle="1" w:styleId="Titulnstrana">
    <w:name w:val="Titulní strana"/>
    <w:basedOn w:val="Normln"/>
    <w:rsid w:val="000013A9"/>
    <w:pPr>
      <w:jc w:val="center"/>
    </w:pPr>
  </w:style>
  <w:style w:type="paragraph" w:styleId="Obsah3">
    <w:name w:val="toc 3"/>
    <w:basedOn w:val="Normln"/>
    <w:next w:val="Normln"/>
    <w:uiPriority w:val="39"/>
    <w:rsid w:val="000013A9"/>
    <w:pPr>
      <w:widowControl w:val="0"/>
      <w:autoSpaceDE w:val="0"/>
      <w:autoSpaceDN w:val="0"/>
      <w:adjustRightInd w:val="0"/>
      <w:spacing w:before="0"/>
      <w:ind w:left="360"/>
      <w:jc w:val="left"/>
    </w:pPr>
    <w:rPr>
      <w:rFonts w:ascii="Times New Roman" w:eastAsia="Times New Roman" w:hAnsi="Times New Roman"/>
      <w:color w:val="000000"/>
      <w:sz w:val="24"/>
      <w:szCs w:val="24"/>
      <w:shd w:val="clear" w:color="auto" w:fill="FFFFFF"/>
      <w:lang w:val="en-AU" w:eastAsia="cs-CZ"/>
    </w:rPr>
  </w:style>
  <w:style w:type="paragraph" w:styleId="Textbubliny">
    <w:name w:val="Balloon Text"/>
    <w:basedOn w:val="Normln"/>
    <w:link w:val="TextbublinyChar"/>
    <w:uiPriority w:val="99"/>
    <w:semiHidden/>
    <w:unhideWhenUsed/>
    <w:rsid w:val="000013A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13A9"/>
    <w:rPr>
      <w:rFonts w:ascii="Tahoma" w:eastAsia="Calibri" w:hAnsi="Tahoma" w:cs="Tahoma"/>
      <w:sz w:val="16"/>
      <w:szCs w:val="16"/>
    </w:rPr>
  </w:style>
  <w:style w:type="character" w:customStyle="1" w:styleId="Nadpis1Char">
    <w:name w:val="Nadpis 1 Char"/>
    <w:basedOn w:val="Standardnpsmoodstavce"/>
    <w:link w:val="Nadpis1"/>
    <w:uiPriority w:val="9"/>
    <w:rsid w:val="000013A9"/>
    <w:rPr>
      <w:rFonts w:ascii="Arial" w:eastAsia="Times New Roman" w:hAnsi="Arial" w:cs="Times New Roman"/>
      <w:b/>
      <w:bCs/>
      <w:kern w:val="32"/>
      <w:sz w:val="36"/>
      <w:szCs w:val="32"/>
    </w:rPr>
  </w:style>
  <w:style w:type="character" w:customStyle="1" w:styleId="Nadpis2Char">
    <w:name w:val="Nadpis 2 Char"/>
    <w:basedOn w:val="Standardnpsmoodstavce"/>
    <w:link w:val="Nadpis2"/>
    <w:uiPriority w:val="9"/>
    <w:rsid w:val="000013A9"/>
    <w:rPr>
      <w:rFonts w:ascii="Arial" w:eastAsia="Times New Roman" w:hAnsi="Arial" w:cs="Times New Roman"/>
      <w:b/>
      <w:bCs/>
      <w:iCs/>
      <w:sz w:val="32"/>
      <w:szCs w:val="28"/>
    </w:rPr>
  </w:style>
  <w:style w:type="character" w:customStyle="1" w:styleId="Nadpis3Char">
    <w:name w:val="Nadpis 3 Char"/>
    <w:basedOn w:val="Standardnpsmoodstavce"/>
    <w:link w:val="Nadpis3"/>
    <w:uiPriority w:val="9"/>
    <w:rsid w:val="000013A9"/>
    <w:rPr>
      <w:rFonts w:ascii="Arial" w:eastAsia="Times New Roman" w:hAnsi="Arial" w:cs="Times New Roman"/>
      <w:b/>
      <w:bCs/>
      <w:sz w:val="28"/>
      <w:szCs w:val="26"/>
    </w:rPr>
  </w:style>
  <w:style w:type="character" w:customStyle="1" w:styleId="Nadpis4Char">
    <w:name w:val="Nadpis 4 Char"/>
    <w:basedOn w:val="Standardnpsmoodstavce"/>
    <w:link w:val="Nadpis4"/>
    <w:uiPriority w:val="9"/>
    <w:rsid w:val="000013A9"/>
    <w:rPr>
      <w:rFonts w:ascii="Arial" w:eastAsia="Times New Roman" w:hAnsi="Arial" w:cs="Times New Roman"/>
      <w:b/>
      <w:bCs/>
      <w:sz w:val="24"/>
      <w:szCs w:val="28"/>
    </w:rPr>
  </w:style>
  <w:style w:type="character" w:customStyle="1" w:styleId="Nadpis5Char">
    <w:name w:val="Nadpis 5 Char"/>
    <w:basedOn w:val="Standardnpsmoodstavce"/>
    <w:link w:val="Nadpis5"/>
    <w:uiPriority w:val="9"/>
    <w:rsid w:val="000013A9"/>
    <w:rPr>
      <w:rFonts w:ascii="Arial" w:eastAsia="Times New Roman" w:hAnsi="Arial" w:cs="Times New Roman"/>
      <w:bCs/>
      <w:iCs/>
      <w:sz w:val="24"/>
      <w:szCs w:val="26"/>
    </w:rPr>
  </w:style>
  <w:style w:type="character" w:customStyle="1" w:styleId="Nadpis6Char">
    <w:name w:val="Nadpis 6 Char"/>
    <w:basedOn w:val="Standardnpsmoodstavce"/>
    <w:link w:val="Nadpis6"/>
    <w:uiPriority w:val="9"/>
    <w:rsid w:val="000013A9"/>
    <w:rPr>
      <w:rFonts w:ascii="Arial" w:eastAsia="Times New Roman" w:hAnsi="Arial" w:cs="Times New Roman"/>
      <w:bCs/>
      <w:sz w:val="24"/>
    </w:rPr>
  </w:style>
  <w:style w:type="character" w:customStyle="1" w:styleId="Nadpis7Char">
    <w:name w:val="Nadpis 7 Char"/>
    <w:basedOn w:val="Standardnpsmoodstavce"/>
    <w:link w:val="Nadpis7"/>
    <w:uiPriority w:val="9"/>
    <w:rsid w:val="000013A9"/>
    <w:rPr>
      <w:rFonts w:ascii="Arial" w:eastAsia="Times New Roman" w:hAnsi="Arial" w:cs="Times New Roman"/>
      <w:sz w:val="24"/>
      <w:szCs w:val="24"/>
    </w:rPr>
  </w:style>
  <w:style w:type="character" w:customStyle="1" w:styleId="Nadpis8Char">
    <w:name w:val="Nadpis 8 Char"/>
    <w:basedOn w:val="Standardnpsmoodstavce"/>
    <w:link w:val="Nadpis8"/>
    <w:uiPriority w:val="9"/>
    <w:rsid w:val="000013A9"/>
    <w:rPr>
      <w:rFonts w:ascii="Arial" w:eastAsia="Times New Roman" w:hAnsi="Arial" w:cs="Times New Roman"/>
      <w:iCs/>
      <w:sz w:val="24"/>
      <w:szCs w:val="24"/>
    </w:rPr>
  </w:style>
  <w:style w:type="character" w:customStyle="1" w:styleId="Nadpis9Char">
    <w:name w:val="Nadpis 9 Char"/>
    <w:basedOn w:val="Standardnpsmoodstavce"/>
    <w:link w:val="Nadpis9"/>
    <w:uiPriority w:val="9"/>
    <w:rsid w:val="000013A9"/>
    <w:rPr>
      <w:rFonts w:ascii="Arial" w:eastAsia="Times New Roman" w:hAnsi="Arial" w:cs="Times New Roman"/>
      <w:sz w:val="24"/>
    </w:rPr>
  </w:style>
  <w:style w:type="paragraph" w:styleId="Zhlav">
    <w:name w:val="header"/>
    <w:basedOn w:val="Normln"/>
    <w:link w:val="ZhlavChar"/>
    <w:uiPriority w:val="99"/>
    <w:unhideWhenUsed/>
    <w:rsid w:val="000013A9"/>
    <w:pPr>
      <w:tabs>
        <w:tab w:val="center" w:pos="4536"/>
        <w:tab w:val="right" w:pos="9072"/>
      </w:tabs>
      <w:spacing w:before="0"/>
    </w:pPr>
  </w:style>
  <w:style w:type="character" w:customStyle="1" w:styleId="ZhlavChar">
    <w:name w:val="Záhlaví Char"/>
    <w:basedOn w:val="Standardnpsmoodstavce"/>
    <w:link w:val="Zhlav"/>
    <w:uiPriority w:val="99"/>
    <w:rsid w:val="000013A9"/>
    <w:rPr>
      <w:rFonts w:ascii="Arial" w:eastAsia="Calibri" w:hAnsi="Arial" w:cs="Times New Roman"/>
      <w:sz w:val="20"/>
    </w:rPr>
  </w:style>
  <w:style w:type="paragraph" w:styleId="Zpat">
    <w:name w:val="footer"/>
    <w:basedOn w:val="Normln"/>
    <w:link w:val="ZpatChar"/>
    <w:uiPriority w:val="99"/>
    <w:unhideWhenUsed/>
    <w:rsid w:val="000013A9"/>
    <w:pPr>
      <w:tabs>
        <w:tab w:val="center" w:pos="4536"/>
        <w:tab w:val="right" w:pos="9072"/>
      </w:tabs>
      <w:spacing w:before="0"/>
    </w:pPr>
  </w:style>
  <w:style w:type="character" w:customStyle="1" w:styleId="ZpatChar">
    <w:name w:val="Zápatí Char"/>
    <w:basedOn w:val="Standardnpsmoodstavce"/>
    <w:link w:val="Zpat"/>
    <w:uiPriority w:val="99"/>
    <w:rsid w:val="000013A9"/>
    <w:rPr>
      <w:rFonts w:ascii="Arial" w:eastAsia="Calibri" w:hAnsi="Arial" w:cs="Times New Roman"/>
      <w:sz w:val="20"/>
    </w:rPr>
  </w:style>
  <w:style w:type="paragraph" w:styleId="Obsah4">
    <w:name w:val="toc 4"/>
    <w:basedOn w:val="Normln"/>
    <w:next w:val="Normln"/>
    <w:uiPriority w:val="99"/>
    <w:rsid w:val="00881AEC"/>
    <w:pPr>
      <w:widowControl w:val="0"/>
      <w:autoSpaceDE w:val="0"/>
      <w:autoSpaceDN w:val="0"/>
      <w:adjustRightInd w:val="0"/>
      <w:spacing w:before="0"/>
      <w:ind w:left="540"/>
      <w:jc w:val="left"/>
    </w:pPr>
    <w:rPr>
      <w:rFonts w:ascii="Times New Roman" w:eastAsiaTheme="minorEastAsia" w:hAnsi="Times New Roman"/>
      <w:color w:val="000000"/>
      <w:sz w:val="24"/>
      <w:szCs w:val="24"/>
      <w:shd w:val="clear" w:color="auto" w:fill="FFFFFF"/>
      <w:lang w:val="en-AU" w:eastAsia="cs-CZ"/>
    </w:rPr>
  </w:style>
  <w:style w:type="paragraph" w:styleId="Obsah5">
    <w:name w:val="toc 5"/>
    <w:basedOn w:val="Normln"/>
    <w:next w:val="Normln"/>
    <w:uiPriority w:val="99"/>
    <w:rsid w:val="00881AEC"/>
    <w:pPr>
      <w:widowControl w:val="0"/>
      <w:autoSpaceDE w:val="0"/>
      <w:autoSpaceDN w:val="0"/>
      <w:adjustRightInd w:val="0"/>
      <w:spacing w:before="0"/>
      <w:ind w:left="720"/>
      <w:jc w:val="left"/>
    </w:pPr>
    <w:rPr>
      <w:rFonts w:ascii="Times New Roman" w:eastAsiaTheme="minorEastAsia" w:hAnsi="Times New Roman"/>
      <w:color w:val="000000"/>
      <w:sz w:val="24"/>
      <w:szCs w:val="24"/>
      <w:shd w:val="clear" w:color="auto" w:fill="FFFFFF"/>
      <w:lang w:val="en-AU" w:eastAsia="cs-CZ"/>
    </w:rPr>
  </w:style>
  <w:style w:type="paragraph" w:styleId="Obsah6">
    <w:name w:val="toc 6"/>
    <w:basedOn w:val="Normln"/>
    <w:next w:val="Normln"/>
    <w:uiPriority w:val="99"/>
    <w:rsid w:val="00881AEC"/>
    <w:pPr>
      <w:widowControl w:val="0"/>
      <w:autoSpaceDE w:val="0"/>
      <w:autoSpaceDN w:val="0"/>
      <w:adjustRightInd w:val="0"/>
      <w:spacing w:before="0"/>
      <w:ind w:left="900"/>
      <w:jc w:val="left"/>
    </w:pPr>
    <w:rPr>
      <w:rFonts w:ascii="Times New Roman" w:eastAsiaTheme="minorEastAsia" w:hAnsi="Times New Roman"/>
      <w:color w:val="000000"/>
      <w:sz w:val="24"/>
      <w:szCs w:val="24"/>
      <w:shd w:val="clear" w:color="auto" w:fill="FFFFFF"/>
      <w:lang w:val="en-AU" w:eastAsia="cs-CZ"/>
    </w:rPr>
  </w:style>
  <w:style w:type="paragraph" w:styleId="Obsah7">
    <w:name w:val="toc 7"/>
    <w:basedOn w:val="Normln"/>
    <w:next w:val="Normln"/>
    <w:uiPriority w:val="99"/>
    <w:rsid w:val="00881AEC"/>
    <w:pPr>
      <w:widowControl w:val="0"/>
      <w:autoSpaceDE w:val="0"/>
      <w:autoSpaceDN w:val="0"/>
      <w:adjustRightInd w:val="0"/>
      <w:spacing w:before="0"/>
      <w:ind w:left="1080"/>
      <w:jc w:val="left"/>
    </w:pPr>
    <w:rPr>
      <w:rFonts w:ascii="Times New Roman" w:eastAsiaTheme="minorEastAsia" w:hAnsi="Times New Roman"/>
      <w:color w:val="000000"/>
      <w:sz w:val="24"/>
      <w:szCs w:val="24"/>
      <w:shd w:val="clear" w:color="auto" w:fill="FFFFFF"/>
      <w:lang w:val="en-AU" w:eastAsia="cs-CZ"/>
    </w:rPr>
  </w:style>
  <w:style w:type="paragraph" w:styleId="Obsah8">
    <w:name w:val="toc 8"/>
    <w:basedOn w:val="Normln"/>
    <w:next w:val="Normln"/>
    <w:uiPriority w:val="99"/>
    <w:rsid w:val="00881AEC"/>
    <w:pPr>
      <w:widowControl w:val="0"/>
      <w:autoSpaceDE w:val="0"/>
      <w:autoSpaceDN w:val="0"/>
      <w:adjustRightInd w:val="0"/>
      <w:spacing w:before="0"/>
      <w:ind w:left="1260"/>
      <w:jc w:val="left"/>
    </w:pPr>
    <w:rPr>
      <w:rFonts w:ascii="Times New Roman" w:eastAsiaTheme="minorEastAsia" w:hAnsi="Times New Roman"/>
      <w:color w:val="000000"/>
      <w:sz w:val="24"/>
      <w:szCs w:val="24"/>
      <w:shd w:val="clear" w:color="auto" w:fill="FFFFFF"/>
      <w:lang w:val="en-AU" w:eastAsia="cs-CZ"/>
    </w:rPr>
  </w:style>
  <w:style w:type="paragraph" w:styleId="Obsah9">
    <w:name w:val="toc 9"/>
    <w:basedOn w:val="Normln"/>
    <w:next w:val="Normln"/>
    <w:uiPriority w:val="99"/>
    <w:rsid w:val="00881AEC"/>
    <w:pPr>
      <w:widowControl w:val="0"/>
      <w:autoSpaceDE w:val="0"/>
      <w:autoSpaceDN w:val="0"/>
      <w:adjustRightInd w:val="0"/>
      <w:spacing w:before="0"/>
      <w:ind w:left="1440"/>
      <w:jc w:val="left"/>
    </w:pPr>
    <w:rPr>
      <w:rFonts w:ascii="Times New Roman" w:eastAsiaTheme="minorEastAsia" w:hAnsi="Times New Roman"/>
      <w:color w:val="000000"/>
      <w:sz w:val="24"/>
      <w:szCs w:val="24"/>
      <w:shd w:val="clear" w:color="auto" w:fill="FFFFFF"/>
      <w:lang w:val="en-AU" w:eastAsia="cs-CZ"/>
    </w:rPr>
  </w:style>
  <w:style w:type="paragraph" w:styleId="Nzev">
    <w:name w:val="Title"/>
    <w:basedOn w:val="Normln"/>
    <w:next w:val="Normln"/>
    <w:link w:val="NzevChar"/>
    <w:uiPriority w:val="99"/>
    <w:qFormat/>
    <w:rsid w:val="00881AEC"/>
    <w:pPr>
      <w:widowControl w:val="0"/>
      <w:autoSpaceDE w:val="0"/>
      <w:autoSpaceDN w:val="0"/>
      <w:adjustRightInd w:val="0"/>
      <w:spacing w:before="240" w:after="60"/>
      <w:jc w:val="center"/>
    </w:pPr>
    <w:rPr>
      <w:rFonts w:eastAsiaTheme="minorEastAsia" w:cs="Arial"/>
      <w:b/>
      <w:bCs/>
      <w:color w:val="000000"/>
      <w:sz w:val="32"/>
      <w:szCs w:val="32"/>
      <w:shd w:val="clear" w:color="auto" w:fill="FFFFFF"/>
      <w:lang w:val="en-AU" w:eastAsia="cs-CZ"/>
    </w:rPr>
  </w:style>
  <w:style w:type="character" w:customStyle="1" w:styleId="NzevChar">
    <w:name w:val="Název Char"/>
    <w:basedOn w:val="Standardnpsmoodstavce"/>
    <w:link w:val="Nzev"/>
    <w:uiPriority w:val="99"/>
    <w:rsid w:val="00881AEC"/>
    <w:rPr>
      <w:rFonts w:ascii="Arial" w:eastAsiaTheme="minorEastAsia" w:hAnsi="Arial" w:cs="Arial"/>
      <w:b/>
      <w:bCs/>
      <w:color w:val="000000"/>
      <w:sz w:val="32"/>
      <w:szCs w:val="32"/>
      <w:lang w:val="en-AU" w:eastAsia="cs-CZ"/>
    </w:rPr>
  </w:style>
  <w:style w:type="paragraph" w:customStyle="1" w:styleId="NumberedList">
    <w:name w:val="Number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customStyle="1" w:styleId="BulletedList">
    <w:name w:val="Bullet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styleId="Zkladntext">
    <w:name w:val="Body Text"/>
    <w:basedOn w:val="Normln"/>
    <w:next w:val="Normln"/>
    <w:link w:val="Zkladntext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val="en-AU" w:eastAsia="cs-CZ"/>
    </w:rPr>
  </w:style>
  <w:style w:type="character" w:customStyle="1" w:styleId="ZkladntextChar">
    <w:name w:val="Základní text Char"/>
    <w:basedOn w:val="Standardnpsmoodstavce"/>
    <w:link w:val="Zkladntext"/>
    <w:uiPriority w:val="99"/>
    <w:rsid w:val="00881AEC"/>
    <w:rPr>
      <w:rFonts w:ascii="Times New Roman" w:eastAsiaTheme="minorEastAsia" w:hAnsi="Times New Roman" w:cs="Times New Roman"/>
      <w:color w:val="000000"/>
      <w:sz w:val="20"/>
      <w:szCs w:val="20"/>
      <w:lang w:val="en-AU" w:eastAsia="cs-CZ"/>
    </w:rPr>
  </w:style>
  <w:style w:type="paragraph" w:styleId="Zkladntext2">
    <w:name w:val="Body Text 2"/>
    <w:basedOn w:val="Normln"/>
    <w:next w:val="Normln"/>
    <w:link w:val="Zkladntext2Char"/>
    <w:uiPriority w:val="99"/>
    <w:rsid w:val="00881AEC"/>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val="en-AU" w:eastAsia="cs-CZ"/>
    </w:rPr>
  </w:style>
  <w:style w:type="character" w:customStyle="1" w:styleId="Zkladntext2Char">
    <w:name w:val="Základní text 2 Char"/>
    <w:basedOn w:val="Standardnpsmoodstavce"/>
    <w:link w:val="Zkladntext2"/>
    <w:uiPriority w:val="99"/>
    <w:rsid w:val="00881AEC"/>
    <w:rPr>
      <w:rFonts w:ascii="Times New Roman" w:eastAsiaTheme="minorEastAsia" w:hAnsi="Times New Roman" w:cs="Times New Roman"/>
      <w:color w:val="000000"/>
      <w:sz w:val="18"/>
      <w:szCs w:val="18"/>
      <w:lang w:val="en-AU" w:eastAsia="cs-CZ"/>
    </w:rPr>
  </w:style>
  <w:style w:type="paragraph" w:styleId="Zkladntext3">
    <w:name w:val="Body Text 3"/>
    <w:basedOn w:val="Normln"/>
    <w:next w:val="Normln"/>
    <w:link w:val="Zkladntext3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val="en-AU" w:eastAsia="cs-CZ"/>
    </w:rPr>
  </w:style>
  <w:style w:type="character" w:customStyle="1" w:styleId="Zkladntext3Char">
    <w:name w:val="Základní text 3 Char"/>
    <w:basedOn w:val="Standardnpsmoodstavce"/>
    <w:link w:val="Zkladntext3"/>
    <w:uiPriority w:val="99"/>
    <w:rsid w:val="00881AEC"/>
    <w:rPr>
      <w:rFonts w:ascii="Times New Roman" w:eastAsiaTheme="minorEastAsia" w:hAnsi="Times New Roman" w:cs="Times New Roman"/>
      <w:color w:val="000000"/>
      <w:sz w:val="16"/>
      <w:szCs w:val="16"/>
      <w:lang w:val="en-AU" w:eastAsia="cs-CZ"/>
    </w:rPr>
  </w:style>
  <w:style w:type="paragraph" w:styleId="Nadpispoznmky">
    <w:name w:val="Note Heading"/>
    <w:basedOn w:val="Normln"/>
    <w:next w:val="Normln"/>
    <w:link w:val="NadpispoznmkyChar"/>
    <w:uiPriority w:val="99"/>
    <w:rsid w:val="00881AEC"/>
    <w:pPr>
      <w:widowControl w:val="0"/>
      <w:autoSpaceDE w:val="0"/>
      <w:autoSpaceDN w:val="0"/>
      <w:adjustRightInd w:val="0"/>
      <w:spacing w:before="0"/>
      <w:jc w:val="left"/>
    </w:pPr>
    <w:rPr>
      <w:rFonts w:ascii="Times New Roman" w:eastAsiaTheme="minorEastAsia" w:hAnsi="Times New Roman"/>
      <w:color w:val="000000"/>
      <w:szCs w:val="20"/>
      <w:shd w:val="clear" w:color="auto" w:fill="FFFFFF"/>
      <w:lang w:val="en-AU" w:eastAsia="cs-CZ"/>
    </w:rPr>
  </w:style>
  <w:style w:type="character" w:customStyle="1" w:styleId="NadpispoznmkyChar">
    <w:name w:val="Nadpis poznámky Char"/>
    <w:basedOn w:val="Standardnpsmoodstavce"/>
    <w:link w:val="Nadpispoznmky"/>
    <w:uiPriority w:val="99"/>
    <w:rsid w:val="00881AEC"/>
    <w:rPr>
      <w:rFonts w:ascii="Times New Roman" w:eastAsiaTheme="minorEastAsia" w:hAnsi="Times New Roman" w:cs="Times New Roman"/>
      <w:color w:val="000000"/>
      <w:sz w:val="20"/>
      <w:szCs w:val="20"/>
      <w:lang w:val="en-AU" w:eastAsia="cs-CZ"/>
    </w:rPr>
  </w:style>
  <w:style w:type="paragraph" w:styleId="Prosttext">
    <w:name w:val="Plain Text"/>
    <w:basedOn w:val="Normln"/>
    <w:next w:val="Normln"/>
    <w:link w:val="ProsttextChar"/>
    <w:uiPriority w:val="99"/>
    <w:rsid w:val="00881AEC"/>
    <w:pPr>
      <w:widowControl w:val="0"/>
      <w:autoSpaceDE w:val="0"/>
      <w:autoSpaceDN w:val="0"/>
      <w:adjustRightInd w:val="0"/>
      <w:spacing w:before="0"/>
      <w:jc w:val="left"/>
    </w:pPr>
    <w:rPr>
      <w:rFonts w:ascii="Courier New" w:eastAsiaTheme="minorEastAsia" w:hAnsi="Courier New" w:cs="Courier New"/>
      <w:color w:val="000000"/>
      <w:szCs w:val="20"/>
      <w:shd w:val="clear" w:color="auto" w:fill="FFFFFF"/>
      <w:lang w:val="en-AU" w:eastAsia="cs-CZ"/>
    </w:rPr>
  </w:style>
  <w:style w:type="character" w:customStyle="1" w:styleId="ProsttextChar">
    <w:name w:val="Prostý text Char"/>
    <w:basedOn w:val="Standardnpsmoodstavce"/>
    <w:link w:val="Prosttext"/>
    <w:uiPriority w:val="99"/>
    <w:rsid w:val="00881AEC"/>
    <w:rPr>
      <w:rFonts w:ascii="Courier New" w:eastAsiaTheme="minorEastAsia" w:hAnsi="Courier New" w:cs="Courier New"/>
      <w:color w:val="000000"/>
      <w:sz w:val="20"/>
      <w:szCs w:val="20"/>
      <w:lang w:val="en-AU" w:eastAsia="cs-CZ"/>
    </w:rPr>
  </w:style>
  <w:style w:type="character" w:styleId="Siln">
    <w:name w:val="Strong"/>
    <w:basedOn w:val="Standardnpsmoodstavce"/>
    <w:uiPriority w:val="99"/>
    <w:qFormat/>
    <w:rsid w:val="00881AEC"/>
    <w:rPr>
      <w:rFonts w:ascii="Times New Roman" w:hAnsi="Times New Roman" w:cs="Times New Roman"/>
      <w:b/>
      <w:bCs/>
      <w:color w:val="000000"/>
      <w:sz w:val="20"/>
      <w:szCs w:val="20"/>
      <w:shd w:val="clear" w:color="auto" w:fill="FFFFFF"/>
    </w:rPr>
  </w:style>
  <w:style w:type="character" w:styleId="Zvraznn">
    <w:name w:val="Emphasis"/>
    <w:basedOn w:val="Standardnpsmoodstavce"/>
    <w:uiPriority w:val="99"/>
    <w:qFormat/>
    <w:rsid w:val="00881AEC"/>
    <w:rPr>
      <w:rFonts w:ascii="Times New Roman" w:hAnsi="Times New Roman" w:cs="Times New Roman"/>
      <w:i/>
      <w:iCs/>
      <w:color w:val="000000"/>
      <w:sz w:val="20"/>
      <w:szCs w:val="20"/>
      <w:shd w:val="clear" w:color="auto" w:fill="FFFFFF"/>
    </w:rPr>
  </w:style>
  <w:style w:type="paragraph" w:customStyle="1" w:styleId="Code">
    <w:name w:val="Code"/>
    <w:next w:val="Normln"/>
    <w:uiPriority w:val="99"/>
    <w:rsid w:val="00881AEC"/>
    <w:pPr>
      <w:widowControl w:val="0"/>
      <w:autoSpaceDE w:val="0"/>
      <w:autoSpaceDN w:val="0"/>
      <w:adjustRightInd w:val="0"/>
      <w:spacing w:after="0" w:line="240" w:lineRule="auto"/>
    </w:pPr>
    <w:rPr>
      <w:rFonts w:ascii="Courier New" w:eastAsiaTheme="minorEastAsia" w:hAnsi="Courier New" w:cs="Courier New"/>
      <w:color w:val="000000"/>
      <w:sz w:val="18"/>
      <w:szCs w:val="18"/>
      <w:shd w:val="clear" w:color="auto" w:fill="FFFFFF"/>
      <w:lang w:val="en-AU" w:eastAsia="cs-CZ"/>
    </w:rPr>
  </w:style>
  <w:style w:type="character" w:customStyle="1" w:styleId="FieldLabel">
    <w:name w:val="Field Label"/>
    <w:uiPriority w:val="99"/>
    <w:rsid w:val="00881AEC"/>
    <w:rPr>
      <w:rFonts w:ascii="Times New Roman" w:hAnsi="Times New Roman" w:cs="Times New Roman"/>
      <w:i/>
      <w:iCs/>
      <w:color w:val="004080"/>
      <w:sz w:val="20"/>
      <w:szCs w:val="20"/>
      <w:shd w:val="clear" w:color="auto" w:fill="FFFFFF"/>
    </w:rPr>
  </w:style>
  <w:style w:type="character" w:customStyle="1" w:styleId="TableHeading">
    <w:name w:val="Table Heading"/>
    <w:uiPriority w:val="99"/>
    <w:rsid w:val="00881AEC"/>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881AEC"/>
    <w:rPr>
      <w:rFonts w:ascii="Lucida Sans" w:hAnsi="Lucida Sans" w:cs="Lucida Sans"/>
      <w:b/>
      <w:bCs/>
      <w:color w:val="000000"/>
      <w:sz w:val="16"/>
      <w:szCs w:val="16"/>
      <w:shd w:val="clear" w:color="auto" w:fill="FFFF80"/>
    </w:rPr>
  </w:style>
  <w:style w:type="character" w:customStyle="1" w:styleId="Objecttype">
    <w:name w:val="Object type"/>
    <w:uiPriority w:val="99"/>
    <w:rsid w:val="00881AEC"/>
    <w:rPr>
      <w:rFonts w:ascii="Times New Roman" w:hAnsi="Times New Roman" w:cs="Times New Roman"/>
      <w:b/>
      <w:bCs/>
      <w:color w:val="000000"/>
      <w:sz w:val="20"/>
      <w:szCs w:val="20"/>
      <w:u w:val="single"/>
      <w:shd w:val="clear" w:color="auto" w:fill="FFFFFF"/>
    </w:rPr>
  </w:style>
  <w:style w:type="paragraph" w:customStyle="1" w:styleId="ListHeader">
    <w:name w:val="List Header"/>
    <w:next w:val="Normln"/>
    <w:uiPriority w:val="99"/>
    <w:rsid w:val="00881AEC"/>
    <w:pPr>
      <w:widowControl w:val="0"/>
      <w:autoSpaceDE w:val="0"/>
      <w:autoSpaceDN w:val="0"/>
      <w:adjustRightInd w:val="0"/>
      <w:spacing w:after="0" w:line="240" w:lineRule="auto"/>
    </w:pPr>
    <w:rPr>
      <w:rFonts w:ascii="Times New Roman" w:eastAsiaTheme="minorEastAsia" w:hAnsi="Times New Roman" w:cs="Times New Roman"/>
      <w:b/>
      <w:bCs/>
      <w:i/>
      <w:iCs/>
      <w:color w:val="0000A0"/>
      <w:sz w:val="20"/>
      <w:szCs w:val="20"/>
      <w:shd w:val="clear" w:color="auto" w:fill="FFFFFF"/>
      <w:lang w:val="en-AU" w:eastAsia="cs-CZ"/>
    </w:rPr>
  </w:style>
  <w:style w:type="character" w:customStyle="1" w:styleId="Psmovtabulcenormln">
    <w:name w:val="Písmo v tabulce normální"/>
    <w:uiPriority w:val="99"/>
    <w:rsid w:val="00881AEC"/>
    <w:rPr>
      <w:rFonts w:ascii="Tahoma" w:hAnsi="Tahoma" w:cs="Tahoma"/>
      <w:sz w:val="20"/>
      <w:szCs w:val="20"/>
    </w:rPr>
  </w:style>
  <w:style w:type="character" w:customStyle="1" w:styleId="SSTemplateField">
    <w:name w:val="SSTemplateField"/>
    <w:uiPriority w:val="99"/>
    <w:rsid w:val="00881AEC"/>
    <w:rPr>
      <w:rFonts w:ascii="Lucida Sans" w:hAnsi="Lucida Sans" w:cs="Lucida Sans"/>
      <w:b/>
      <w:bCs/>
      <w:color w:val="FFFFFF"/>
      <w:sz w:val="16"/>
      <w:szCs w:val="16"/>
      <w:shd w:val="clear" w:color="auto" w:fill="FF0000"/>
    </w:rPr>
  </w:style>
  <w:style w:type="table" w:styleId="Mkatabulky">
    <w:name w:val="Table Grid"/>
    <w:aliases w:val="Moje tabulka"/>
    <w:basedOn w:val="Normlntabulka"/>
    <w:uiPriority w:val="59"/>
    <w:rsid w:val="00247618"/>
    <w:pPr>
      <w:spacing w:after="0" w:line="240" w:lineRule="auto"/>
    </w:pPr>
    <w:rPr>
      <w:rFonts w:ascii="Arial" w:eastAsia="Calibri" w:hAnsi="Arial" w:cs="Times New Roman"/>
      <w:sz w:val="20"/>
      <w:szCs w:val="20"/>
      <w:lang w:eastAsia="cs-CZ"/>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hemeFill="accent2" w:themeFillTint="33"/>
      <w:vAlign w:val="center"/>
    </w:tcPr>
    <w:tblStylePr w:type="firstRow">
      <w:rPr>
        <w:b/>
      </w:rPr>
      <w:tblPr/>
      <w:tcPr>
        <w:shd w:val="clear" w:color="auto" w:fill="A50021"/>
      </w:tcPr>
    </w:tblStylePr>
    <w:tblStylePr w:type="band1Horz">
      <w:tblPr/>
      <w:tcPr>
        <w:shd w:val="clear" w:color="auto" w:fill="FFFFFF" w:themeFill="background1"/>
      </w:tcPr>
    </w:tblStylePr>
    <w:tblStylePr w:type="band2Horz">
      <w:tblPr/>
      <w:tcPr>
        <w:shd w:val="clear" w:color="auto" w:fill="F2DBDB"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13A9"/>
    <w:pPr>
      <w:spacing w:before="120" w:after="0" w:line="240" w:lineRule="auto"/>
      <w:jc w:val="both"/>
    </w:pPr>
    <w:rPr>
      <w:rFonts w:ascii="Arial" w:eastAsia="Calibri" w:hAnsi="Arial" w:cs="Times New Roman"/>
      <w:sz w:val="20"/>
    </w:rPr>
  </w:style>
  <w:style w:type="paragraph" w:styleId="Nadpis1">
    <w:name w:val="heading 1"/>
    <w:basedOn w:val="Normln"/>
    <w:next w:val="Normln"/>
    <w:link w:val="Nadpis1Char"/>
    <w:uiPriority w:val="99"/>
    <w:qFormat/>
    <w:rsid w:val="000013A9"/>
    <w:pPr>
      <w:keepNext/>
      <w:pageBreakBefore/>
      <w:numPr>
        <w:numId w:val="1"/>
      </w:numPr>
      <w:spacing w:after="120"/>
      <w:jc w:val="left"/>
      <w:outlineLvl w:val="0"/>
    </w:pPr>
    <w:rPr>
      <w:rFonts w:eastAsia="Times New Roman"/>
      <w:b/>
      <w:bCs/>
      <w:kern w:val="32"/>
      <w:sz w:val="36"/>
      <w:szCs w:val="32"/>
    </w:rPr>
  </w:style>
  <w:style w:type="paragraph" w:styleId="Nadpis2">
    <w:name w:val="heading 2"/>
    <w:basedOn w:val="Normln"/>
    <w:next w:val="Normln"/>
    <w:link w:val="Nadpis2Char"/>
    <w:uiPriority w:val="99"/>
    <w:unhideWhenUsed/>
    <w:qFormat/>
    <w:rsid w:val="000013A9"/>
    <w:pPr>
      <w:keepNext/>
      <w:numPr>
        <w:ilvl w:val="1"/>
        <w:numId w:val="1"/>
      </w:numPr>
      <w:spacing w:before="240" w:after="120"/>
      <w:jc w:val="left"/>
      <w:outlineLvl w:val="1"/>
    </w:pPr>
    <w:rPr>
      <w:rFonts w:eastAsia="Times New Roman"/>
      <w:b/>
      <w:bCs/>
      <w:iCs/>
      <w:sz w:val="32"/>
      <w:szCs w:val="28"/>
    </w:rPr>
  </w:style>
  <w:style w:type="paragraph" w:styleId="Nadpis3">
    <w:name w:val="heading 3"/>
    <w:basedOn w:val="Normln"/>
    <w:next w:val="Normln"/>
    <w:link w:val="Nadpis3Char"/>
    <w:uiPriority w:val="99"/>
    <w:unhideWhenUsed/>
    <w:qFormat/>
    <w:rsid w:val="000013A9"/>
    <w:pPr>
      <w:keepNext/>
      <w:numPr>
        <w:ilvl w:val="2"/>
        <w:numId w:val="1"/>
      </w:numPr>
      <w:spacing w:before="80" w:after="120"/>
      <w:jc w:val="left"/>
      <w:outlineLvl w:val="2"/>
    </w:pPr>
    <w:rPr>
      <w:rFonts w:eastAsia="Times New Roman"/>
      <w:b/>
      <w:bCs/>
      <w:sz w:val="28"/>
      <w:szCs w:val="26"/>
    </w:rPr>
  </w:style>
  <w:style w:type="paragraph" w:styleId="Nadpis4">
    <w:name w:val="heading 4"/>
    <w:basedOn w:val="Normln"/>
    <w:next w:val="Normln"/>
    <w:link w:val="Nadpis4Char"/>
    <w:uiPriority w:val="99"/>
    <w:unhideWhenUsed/>
    <w:qFormat/>
    <w:rsid w:val="000013A9"/>
    <w:pPr>
      <w:keepNext/>
      <w:numPr>
        <w:ilvl w:val="3"/>
        <w:numId w:val="1"/>
      </w:numPr>
      <w:spacing w:before="60" w:after="60"/>
      <w:jc w:val="left"/>
      <w:outlineLvl w:val="3"/>
    </w:pPr>
    <w:rPr>
      <w:rFonts w:eastAsia="Times New Roman"/>
      <w:b/>
      <w:bCs/>
      <w:sz w:val="24"/>
      <w:szCs w:val="28"/>
    </w:rPr>
  </w:style>
  <w:style w:type="paragraph" w:styleId="Nadpis5">
    <w:name w:val="heading 5"/>
    <w:basedOn w:val="Normln"/>
    <w:next w:val="Normln"/>
    <w:link w:val="Nadpis5Char"/>
    <w:uiPriority w:val="99"/>
    <w:unhideWhenUsed/>
    <w:qFormat/>
    <w:rsid w:val="000013A9"/>
    <w:pPr>
      <w:numPr>
        <w:ilvl w:val="4"/>
        <w:numId w:val="1"/>
      </w:numPr>
      <w:spacing w:before="60" w:after="60"/>
      <w:jc w:val="left"/>
      <w:outlineLvl w:val="4"/>
    </w:pPr>
    <w:rPr>
      <w:rFonts w:eastAsia="Times New Roman"/>
      <w:bCs/>
      <w:iCs/>
      <w:sz w:val="24"/>
      <w:szCs w:val="26"/>
    </w:rPr>
  </w:style>
  <w:style w:type="paragraph" w:styleId="Nadpis6">
    <w:name w:val="heading 6"/>
    <w:basedOn w:val="Normln"/>
    <w:next w:val="Normln"/>
    <w:link w:val="Nadpis6Char"/>
    <w:uiPriority w:val="99"/>
    <w:unhideWhenUsed/>
    <w:qFormat/>
    <w:rsid w:val="000013A9"/>
    <w:pPr>
      <w:numPr>
        <w:ilvl w:val="5"/>
        <w:numId w:val="1"/>
      </w:numPr>
      <w:spacing w:before="60" w:after="60"/>
      <w:jc w:val="left"/>
      <w:outlineLvl w:val="5"/>
    </w:pPr>
    <w:rPr>
      <w:rFonts w:eastAsia="Times New Roman"/>
      <w:bCs/>
      <w:sz w:val="24"/>
    </w:rPr>
  </w:style>
  <w:style w:type="paragraph" w:styleId="Nadpis7">
    <w:name w:val="heading 7"/>
    <w:basedOn w:val="Normln"/>
    <w:next w:val="Normln"/>
    <w:link w:val="Nadpis7Char"/>
    <w:uiPriority w:val="99"/>
    <w:unhideWhenUsed/>
    <w:qFormat/>
    <w:rsid w:val="000013A9"/>
    <w:pPr>
      <w:numPr>
        <w:ilvl w:val="6"/>
        <w:numId w:val="1"/>
      </w:numPr>
      <w:spacing w:before="60" w:after="60"/>
      <w:jc w:val="left"/>
      <w:outlineLvl w:val="6"/>
    </w:pPr>
    <w:rPr>
      <w:rFonts w:eastAsia="Times New Roman"/>
      <w:sz w:val="24"/>
      <w:szCs w:val="24"/>
    </w:rPr>
  </w:style>
  <w:style w:type="paragraph" w:styleId="Nadpis8">
    <w:name w:val="heading 8"/>
    <w:basedOn w:val="Normln"/>
    <w:next w:val="Normln"/>
    <w:link w:val="Nadpis8Char"/>
    <w:uiPriority w:val="99"/>
    <w:unhideWhenUsed/>
    <w:qFormat/>
    <w:rsid w:val="000013A9"/>
    <w:pPr>
      <w:numPr>
        <w:ilvl w:val="7"/>
        <w:numId w:val="1"/>
      </w:numPr>
      <w:spacing w:before="60" w:after="60"/>
      <w:jc w:val="left"/>
      <w:outlineLvl w:val="7"/>
    </w:pPr>
    <w:rPr>
      <w:rFonts w:eastAsia="Times New Roman"/>
      <w:iCs/>
      <w:sz w:val="24"/>
      <w:szCs w:val="24"/>
    </w:rPr>
  </w:style>
  <w:style w:type="paragraph" w:styleId="Nadpis9">
    <w:name w:val="heading 9"/>
    <w:basedOn w:val="Normln"/>
    <w:next w:val="Normln"/>
    <w:link w:val="Nadpis9Char"/>
    <w:uiPriority w:val="99"/>
    <w:unhideWhenUsed/>
    <w:qFormat/>
    <w:rsid w:val="000013A9"/>
    <w:pPr>
      <w:numPr>
        <w:ilvl w:val="8"/>
        <w:numId w:val="1"/>
      </w:numPr>
      <w:spacing w:before="60" w:after="60"/>
      <w:jc w:val="left"/>
      <w:outlineLvl w:val="8"/>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rsid w:val="005513A0"/>
    <w:pPr>
      <w:tabs>
        <w:tab w:val="left" w:pos="440"/>
        <w:tab w:val="right" w:leader="dot" w:pos="9072"/>
      </w:tabs>
    </w:pPr>
  </w:style>
  <w:style w:type="paragraph" w:styleId="Obsah2">
    <w:name w:val="toc 2"/>
    <w:basedOn w:val="Normln"/>
    <w:next w:val="Normln"/>
    <w:autoRedefine/>
    <w:uiPriority w:val="39"/>
    <w:unhideWhenUsed/>
    <w:rsid w:val="000013A9"/>
    <w:pPr>
      <w:ind w:left="200"/>
    </w:pPr>
  </w:style>
  <w:style w:type="character" w:styleId="Hypertextovodkaz">
    <w:name w:val="Hyperlink"/>
    <w:uiPriority w:val="99"/>
    <w:unhideWhenUsed/>
    <w:rsid w:val="000013A9"/>
    <w:rPr>
      <w:color w:val="0000FF"/>
      <w:u w:val="single"/>
    </w:rPr>
  </w:style>
  <w:style w:type="paragraph" w:customStyle="1" w:styleId="Titulnstrana">
    <w:name w:val="Titulní strana"/>
    <w:basedOn w:val="Normln"/>
    <w:rsid w:val="000013A9"/>
    <w:pPr>
      <w:jc w:val="center"/>
    </w:pPr>
  </w:style>
  <w:style w:type="paragraph" w:styleId="Obsah3">
    <w:name w:val="toc 3"/>
    <w:basedOn w:val="Normln"/>
    <w:next w:val="Normln"/>
    <w:uiPriority w:val="39"/>
    <w:rsid w:val="000013A9"/>
    <w:pPr>
      <w:widowControl w:val="0"/>
      <w:autoSpaceDE w:val="0"/>
      <w:autoSpaceDN w:val="0"/>
      <w:adjustRightInd w:val="0"/>
      <w:spacing w:before="0"/>
      <w:ind w:left="360"/>
      <w:jc w:val="left"/>
    </w:pPr>
    <w:rPr>
      <w:rFonts w:ascii="Times New Roman" w:eastAsia="Times New Roman" w:hAnsi="Times New Roman"/>
      <w:color w:val="000000"/>
      <w:sz w:val="24"/>
      <w:szCs w:val="24"/>
      <w:shd w:val="clear" w:color="auto" w:fill="FFFFFF"/>
      <w:lang w:val="en-AU" w:eastAsia="cs-CZ"/>
    </w:rPr>
  </w:style>
  <w:style w:type="paragraph" w:styleId="Textbubliny">
    <w:name w:val="Balloon Text"/>
    <w:basedOn w:val="Normln"/>
    <w:link w:val="TextbublinyChar"/>
    <w:uiPriority w:val="99"/>
    <w:semiHidden/>
    <w:unhideWhenUsed/>
    <w:rsid w:val="000013A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13A9"/>
    <w:rPr>
      <w:rFonts w:ascii="Tahoma" w:eastAsia="Calibri" w:hAnsi="Tahoma" w:cs="Tahoma"/>
      <w:sz w:val="16"/>
      <w:szCs w:val="16"/>
    </w:rPr>
  </w:style>
  <w:style w:type="character" w:customStyle="1" w:styleId="Nadpis1Char">
    <w:name w:val="Nadpis 1 Char"/>
    <w:basedOn w:val="Standardnpsmoodstavce"/>
    <w:link w:val="Nadpis1"/>
    <w:uiPriority w:val="9"/>
    <w:rsid w:val="000013A9"/>
    <w:rPr>
      <w:rFonts w:ascii="Arial" w:eastAsia="Times New Roman" w:hAnsi="Arial" w:cs="Times New Roman"/>
      <w:b/>
      <w:bCs/>
      <w:kern w:val="32"/>
      <w:sz w:val="36"/>
      <w:szCs w:val="32"/>
    </w:rPr>
  </w:style>
  <w:style w:type="character" w:customStyle="1" w:styleId="Nadpis2Char">
    <w:name w:val="Nadpis 2 Char"/>
    <w:basedOn w:val="Standardnpsmoodstavce"/>
    <w:link w:val="Nadpis2"/>
    <w:uiPriority w:val="9"/>
    <w:rsid w:val="000013A9"/>
    <w:rPr>
      <w:rFonts w:ascii="Arial" w:eastAsia="Times New Roman" w:hAnsi="Arial" w:cs="Times New Roman"/>
      <w:b/>
      <w:bCs/>
      <w:iCs/>
      <w:sz w:val="32"/>
      <w:szCs w:val="28"/>
    </w:rPr>
  </w:style>
  <w:style w:type="character" w:customStyle="1" w:styleId="Nadpis3Char">
    <w:name w:val="Nadpis 3 Char"/>
    <w:basedOn w:val="Standardnpsmoodstavce"/>
    <w:link w:val="Nadpis3"/>
    <w:uiPriority w:val="9"/>
    <w:rsid w:val="000013A9"/>
    <w:rPr>
      <w:rFonts w:ascii="Arial" w:eastAsia="Times New Roman" w:hAnsi="Arial" w:cs="Times New Roman"/>
      <w:b/>
      <w:bCs/>
      <w:sz w:val="28"/>
      <w:szCs w:val="26"/>
    </w:rPr>
  </w:style>
  <w:style w:type="character" w:customStyle="1" w:styleId="Nadpis4Char">
    <w:name w:val="Nadpis 4 Char"/>
    <w:basedOn w:val="Standardnpsmoodstavce"/>
    <w:link w:val="Nadpis4"/>
    <w:uiPriority w:val="9"/>
    <w:rsid w:val="000013A9"/>
    <w:rPr>
      <w:rFonts w:ascii="Arial" w:eastAsia="Times New Roman" w:hAnsi="Arial" w:cs="Times New Roman"/>
      <w:b/>
      <w:bCs/>
      <w:sz w:val="24"/>
      <w:szCs w:val="28"/>
    </w:rPr>
  </w:style>
  <w:style w:type="character" w:customStyle="1" w:styleId="Nadpis5Char">
    <w:name w:val="Nadpis 5 Char"/>
    <w:basedOn w:val="Standardnpsmoodstavce"/>
    <w:link w:val="Nadpis5"/>
    <w:uiPriority w:val="9"/>
    <w:rsid w:val="000013A9"/>
    <w:rPr>
      <w:rFonts w:ascii="Arial" w:eastAsia="Times New Roman" w:hAnsi="Arial" w:cs="Times New Roman"/>
      <w:bCs/>
      <w:iCs/>
      <w:sz w:val="24"/>
      <w:szCs w:val="26"/>
    </w:rPr>
  </w:style>
  <w:style w:type="character" w:customStyle="1" w:styleId="Nadpis6Char">
    <w:name w:val="Nadpis 6 Char"/>
    <w:basedOn w:val="Standardnpsmoodstavce"/>
    <w:link w:val="Nadpis6"/>
    <w:uiPriority w:val="9"/>
    <w:rsid w:val="000013A9"/>
    <w:rPr>
      <w:rFonts w:ascii="Arial" w:eastAsia="Times New Roman" w:hAnsi="Arial" w:cs="Times New Roman"/>
      <w:bCs/>
      <w:sz w:val="24"/>
    </w:rPr>
  </w:style>
  <w:style w:type="character" w:customStyle="1" w:styleId="Nadpis7Char">
    <w:name w:val="Nadpis 7 Char"/>
    <w:basedOn w:val="Standardnpsmoodstavce"/>
    <w:link w:val="Nadpis7"/>
    <w:uiPriority w:val="9"/>
    <w:rsid w:val="000013A9"/>
    <w:rPr>
      <w:rFonts w:ascii="Arial" w:eastAsia="Times New Roman" w:hAnsi="Arial" w:cs="Times New Roman"/>
      <w:sz w:val="24"/>
      <w:szCs w:val="24"/>
    </w:rPr>
  </w:style>
  <w:style w:type="character" w:customStyle="1" w:styleId="Nadpis8Char">
    <w:name w:val="Nadpis 8 Char"/>
    <w:basedOn w:val="Standardnpsmoodstavce"/>
    <w:link w:val="Nadpis8"/>
    <w:uiPriority w:val="9"/>
    <w:rsid w:val="000013A9"/>
    <w:rPr>
      <w:rFonts w:ascii="Arial" w:eastAsia="Times New Roman" w:hAnsi="Arial" w:cs="Times New Roman"/>
      <w:iCs/>
      <w:sz w:val="24"/>
      <w:szCs w:val="24"/>
    </w:rPr>
  </w:style>
  <w:style w:type="character" w:customStyle="1" w:styleId="Nadpis9Char">
    <w:name w:val="Nadpis 9 Char"/>
    <w:basedOn w:val="Standardnpsmoodstavce"/>
    <w:link w:val="Nadpis9"/>
    <w:uiPriority w:val="9"/>
    <w:rsid w:val="000013A9"/>
    <w:rPr>
      <w:rFonts w:ascii="Arial" w:eastAsia="Times New Roman" w:hAnsi="Arial" w:cs="Times New Roman"/>
      <w:sz w:val="24"/>
    </w:rPr>
  </w:style>
  <w:style w:type="paragraph" w:styleId="Zhlav">
    <w:name w:val="header"/>
    <w:basedOn w:val="Normln"/>
    <w:link w:val="ZhlavChar"/>
    <w:uiPriority w:val="99"/>
    <w:unhideWhenUsed/>
    <w:rsid w:val="000013A9"/>
    <w:pPr>
      <w:tabs>
        <w:tab w:val="center" w:pos="4536"/>
        <w:tab w:val="right" w:pos="9072"/>
      </w:tabs>
      <w:spacing w:before="0"/>
    </w:pPr>
  </w:style>
  <w:style w:type="character" w:customStyle="1" w:styleId="ZhlavChar">
    <w:name w:val="Záhlaví Char"/>
    <w:basedOn w:val="Standardnpsmoodstavce"/>
    <w:link w:val="Zhlav"/>
    <w:uiPriority w:val="99"/>
    <w:rsid w:val="000013A9"/>
    <w:rPr>
      <w:rFonts w:ascii="Arial" w:eastAsia="Calibri" w:hAnsi="Arial" w:cs="Times New Roman"/>
      <w:sz w:val="20"/>
    </w:rPr>
  </w:style>
  <w:style w:type="paragraph" w:styleId="Zpat">
    <w:name w:val="footer"/>
    <w:basedOn w:val="Normln"/>
    <w:link w:val="ZpatChar"/>
    <w:uiPriority w:val="99"/>
    <w:unhideWhenUsed/>
    <w:rsid w:val="000013A9"/>
    <w:pPr>
      <w:tabs>
        <w:tab w:val="center" w:pos="4536"/>
        <w:tab w:val="right" w:pos="9072"/>
      </w:tabs>
      <w:spacing w:before="0"/>
    </w:pPr>
  </w:style>
  <w:style w:type="character" w:customStyle="1" w:styleId="ZpatChar">
    <w:name w:val="Zápatí Char"/>
    <w:basedOn w:val="Standardnpsmoodstavce"/>
    <w:link w:val="Zpat"/>
    <w:uiPriority w:val="99"/>
    <w:rsid w:val="000013A9"/>
    <w:rPr>
      <w:rFonts w:ascii="Arial" w:eastAsia="Calibri" w:hAnsi="Arial" w:cs="Times New Roman"/>
      <w:sz w:val="20"/>
    </w:rPr>
  </w:style>
  <w:style w:type="paragraph" w:styleId="Obsah4">
    <w:name w:val="toc 4"/>
    <w:basedOn w:val="Normln"/>
    <w:next w:val="Normln"/>
    <w:uiPriority w:val="99"/>
    <w:rsid w:val="00881AEC"/>
    <w:pPr>
      <w:widowControl w:val="0"/>
      <w:autoSpaceDE w:val="0"/>
      <w:autoSpaceDN w:val="0"/>
      <w:adjustRightInd w:val="0"/>
      <w:spacing w:before="0"/>
      <w:ind w:left="540"/>
      <w:jc w:val="left"/>
    </w:pPr>
    <w:rPr>
      <w:rFonts w:ascii="Times New Roman" w:eastAsiaTheme="minorEastAsia" w:hAnsi="Times New Roman"/>
      <w:color w:val="000000"/>
      <w:sz w:val="24"/>
      <w:szCs w:val="24"/>
      <w:shd w:val="clear" w:color="auto" w:fill="FFFFFF"/>
      <w:lang w:val="en-AU" w:eastAsia="cs-CZ"/>
    </w:rPr>
  </w:style>
  <w:style w:type="paragraph" w:styleId="Obsah5">
    <w:name w:val="toc 5"/>
    <w:basedOn w:val="Normln"/>
    <w:next w:val="Normln"/>
    <w:uiPriority w:val="99"/>
    <w:rsid w:val="00881AEC"/>
    <w:pPr>
      <w:widowControl w:val="0"/>
      <w:autoSpaceDE w:val="0"/>
      <w:autoSpaceDN w:val="0"/>
      <w:adjustRightInd w:val="0"/>
      <w:spacing w:before="0"/>
      <w:ind w:left="720"/>
      <w:jc w:val="left"/>
    </w:pPr>
    <w:rPr>
      <w:rFonts w:ascii="Times New Roman" w:eastAsiaTheme="minorEastAsia" w:hAnsi="Times New Roman"/>
      <w:color w:val="000000"/>
      <w:sz w:val="24"/>
      <w:szCs w:val="24"/>
      <w:shd w:val="clear" w:color="auto" w:fill="FFFFFF"/>
      <w:lang w:val="en-AU" w:eastAsia="cs-CZ"/>
    </w:rPr>
  </w:style>
  <w:style w:type="paragraph" w:styleId="Obsah6">
    <w:name w:val="toc 6"/>
    <w:basedOn w:val="Normln"/>
    <w:next w:val="Normln"/>
    <w:uiPriority w:val="99"/>
    <w:rsid w:val="00881AEC"/>
    <w:pPr>
      <w:widowControl w:val="0"/>
      <w:autoSpaceDE w:val="0"/>
      <w:autoSpaceDN w:val="0"/>
      <w:adjustRightInd w:val="0"/>
      <w:spacing w:before="0"/>
      <w:ind w:left="900"/>
      <w:jc w:val="left"/>
    </w:pPr>
    <w:rPr>
      <w:rFonts w:ascii="Times New Roman" w:eastAsiaTheme="minorEastAsia" w:hAnsi="Times New Roman"/>
      <w:color w:val="000000"/>
      <w:sz w:val="24"/>
      <w:szCs w:val="24"/>
      <w:shd w:val="clear" w:color="auto" w:fill="FFFFFF"/>
      <w:lang w:val="en-AU" w:eastAsia="cs-CZ"/>
    </w:rPr>
  </w:style>
  <w:style w:type="paragraph" w:styleId="Obsah7">
    <w:name w:val="toc 7"/>
    <w:basedOn w:val="Normln"/>
    <w:next w:val="Normln"/>
    <w:uiPriority w:val="99"/>
    <w:rsid w:val="00881AEC"/>
    <w:pPr>
      <w:widowControl w:val="0"/>
      <w:autoSpaceDE w:val="0"/>
      <w:autoSpaceDN w:val="0"/>
      <w:adjustRightInd w:val="0"/>
      <w:spacing w:before="0"/>
      <w:ind w:left="1080"/>
      <w:jc w:val="left"/>
    </w:pPr>
    <w:rPr>
      <w:rFonts w:ascii="Times New Roman" w:eastAsiaTheme="minorEastAsia" w:hAnsi="Times New Roman"/>
      <w:color w:val="000000"/>
      <w:sz w:val="24"/>
      <w:szCs w:val="24"/>
      <w:shd w:val="clear" w:color="auto" w:fill="FFFFFF"/>
      <w:lang w:val="en-AU" w:eastAsia="cs-CZ"/>
    </w:rPr>
  </w:style>
  <w:style w:type="paragraph" w:styleId="Obsah8">
    <w:name w:val="toc 8"/>
    <w:basedOn w:val="Normln"/>
    <w:next w:val="Normln"/>
    <w:uiPriority w:val="99"/>
    <w:rsid w:val="00881AEC"/>
    <w:pPr>
      <w:widowControl w:val="0"/>
      <w:autoSpaceDE w:val="0"/>
      <w:autoSpaceDN w:val="0"/>
      <w:adjustRightInd w:val="0"/>
      <w:spacing w:before="0"/>
      <w:ind w:left="1260"/>
      <w:jc w:val="left"/>
    </w:pPr>
    <w:rPr>
      <w:rFonts w:ascii="Times New Roman" w:eastAsiaTheme="minorEastAsia" w:hAnsi="Times New Roman"/>
      <w:color w:val="000000"/>
      <w:sz w:val="24"/>
      <w:szCs w:val="24"/>
      <w:shd w:val="clear" w:color="auto" w:fill="FFFFFF"/>
      <w:lang w:val="en-AU" w:eastAsia="cs-CZ"/>
    </w:rPr>
  </w:style>
  <w:style w:type="paragraph" w:styleId="Obsah9">
    <w:name w:val="toc 9"/>
    <w:basedOn w:val="Normln"/>
    <w:next w:val="Normln"/>
    <w:uiPriority w:val="99"/>
    <w:rsid w:val="00881AEC"/>
    <w:pPr>
      <w:widowControl w:val="0"/>
      <w:autoSpaceDE w:val="0"/>
      <w:autoSpaceDN w:val="0"/>
      <w:adjustRightInd w:val="0"/>
      <w:spacing w:before="0"/>
      <w:ind w:left="1440"/>
      <w:jc w:val="left"/>
    </w:pPr>
    <w:rPr>
      <w:rFonts w:ascii="Times New Roman" w:eastAsiaTheme="minorEastAsia" w:hAnsi="Times New Roman"/>
      <w:color w:val="000000"/>
      <w:sz w:val="24"/>
      <w:szCs w:val="24"/>
      <w:shd w:val="clear" w:color="auto" w:fill="FFFFFF"/>
      <w:lang w:val="en-AU" w:eastAsia="cs-CZ"/>
    </w:rPr>
  </w:style>
  <w:style w:type="paragraph" w:styleId="Nzev">
    <w:name w:val="Title"/>
    <w:basedOn w:val="Normln"/>
    <w:next w:val="Normln"/>
    <w:link w:val="NzevChar"/>
    <w:uiPriority w:val="99"/>
    <w:qFormat/>
    <w:rsid w:val="00881AEC"/>
    <w:pPr>
      <w:widowControl w:val="0"/>
      <w:autoSpaceDE w:val="0"/>
      <w:autoSpaceDN w:val="0"/>
      <w:adjustRightInd w:val="0"/>
      <w:spacing w:before="240" w:after="60"/>
      <w:jc w:val="center"/>
    </w:pPr>
    <w:rPr>
      <w:rFonts w:eastAsiaTheme="minorEastAsia" w:cs="Arial"/>
      <w:b/>
      <w:bCs/>
      <w:color w:val="000000"/>
      <w:sz w:val="32"/>
      <w:szCs w:val="32"/>
      <w:shd w:val="clear" w:color="auto" w:fill="FFFFFF"/>
      <w:lang w:val="en-AU" w:eastAsia="cs-CZ"/>
    </w:rPr>
  </w:style>
  <w:style w:type="character" w:customStyle="1" w:styleId="NzevChar">
    <w:name w:val="Název Char"/>
    <w:basedOn w:val="Standardnpsmoodstavce"/>
    <w:link w:val="Nzev"/>
    <w:uiPriority w:val="99"/>
    <w:rsid w:val="00881AEC"/>
    <w:rPr>
      <w:rFonts w:ascii="Arial" w:eastAsiaTheme="minorEastAsia" w:hAnsi="Arial" w:cs="Arial"/>
      <w:b/>
      <w:bCs/>
      <w:color w:val="000000"/>
      <w:sz w:val="32"/>
      <w:szCs w:val="32"/>
      <w:lang w:val="en-AU" w:eastAsia="cs-CZ"/>
    </w:rPr>
  </w:style>
  <w:style w:type="paragraph" w:customStyle="1" w:styleId="NumberedList">
    <w:name w:val="Number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customStyle="1" w:styleId="BulletedList">
    <w:name w:val="Bullet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styleId="Zkladntext">
    <w:name w:val="Body Text"/>
    <w:basedOn w:val="Normln"/>
    <w:next w:val="Normln"/>
    <w:link w:val="Zkladntext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val="en-AU" w:eastAsia="cs-CZ"/>
    </w:rPr>
  </w:style>
  <w:style w:type="character" w:customStyle="1" w:styleId="ZkladntextChar">
    <w:name w:val="Základní text Char"/>
    <w:basedOn w:val="Standardnpsmoodstavce"/>
    <w:link w:val="Zkladntext"/>
    <w:uiPriority w:val="99"/>
    <w:rsid w:val="00881AEC"/>
    <w:rPr>
      <w:rFonts w:ascii="Times New Roman" w:eastAsiaTheme="minorEastAsia" w:hAnsi="Times New Roman" w:cs="Times New Roman"/>
      <w:color w:val="000000"/>
      <w:sz w:val="20"/>
      <w:szCs w:val="20"/>
      <w:lang w:val="en-AU" w:eastAsia="cs-CZ"/>
    </w:rPr>
  </w:style>
  <w:style w:type="paragraph" w:styleId="Zkladntext2">
    <w:name w:val="Body Text 2"/>
    <w:basedOn w:val="Normln"/>
    <w:next w:val="Normln"/>
    <w:link w:val="Zkladntext2Char"/>
    <w:uiPriority w:val="99"/>
    <w:rsid w:val="00881AEC"/>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val="en-AU" w:eastAsia="cs-CZ"/>
    </w:rPr>
  </w:style>
  <w:style w:type="character" w:customStyle="1" w:styleId="Zkladntext2Char">
    <w:name w:val="Základní text 2 Char"/>
    <w:basedOn w:val="Standardnpsmoodstavce"/>
    <w:link w:val="Zkladntext2"/>
    <w:uiPriority w:val="99"/>
    <w:rsid w:val="00881AEC"/>
    <w:rPr>
      <w:rFonts w:ascii="Times New Roman" w:eastAsiaTheme="minorEastAsia" w:hAnsi="Times New Roman" w:cs="Times New Roman"/>
      <w:color w:val="000000"/>
      <w:sz w:val="18"/>
      <w:szCs w:val="18"/>
      <w:lang w:val="en-AU" w:eastAsia="cs-CZ"/>
    </w:rPr>
  </w:style>
  <w:style w:type="paragraph" w:styleId="Zkladntext3">
    <w:name w:val="Body Text 3"/>
    <w:basedOn w:val="Normln"/>
    <w:next w:val="Normln"/>
    <w:link w:val="Zkladntext3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val="en-AU" w:eastAsia="cs-CZ"/>
    </w:rPr>
  </w:style>
  <w:style w:type="character" w:customStyle="1" w:styleId="Zkladntext3Char">
    <w:name w:val="Základní text 3 Char"/>
    <w:basedOn w:val="Standardnpsmoodstavce"/>
    <w:link w:val="Zkladntext3"/>
    <w:uiPriority w:val="99"/>
    <w:rsid w:val="00881AEC"/>
    <w:rPr>
      <w:rFonts w:ascii="Times New Roman" w:eastAsiaTheme="minorEastAsia" w:hAnsi="Times New Roman" w:cs="Times New Roman"/>
      <w:color w:val="000000"/>
      <w:sz w:val="16"/>
      <w:szCs w:val="16"/>
      <w:lang w:val="en-AU" w:eastAsia="cs-CZ"/>
    </w:rPr>
  </w:style>
  <w:style w:type="paragraph" w:styleId="Nadpispoznmky">
    <w:name w:val="Note Heading"/>
    <w:basedOn w:val="Normln"/>
    <w:next w:val="Normln"/>
    <w:link w:val="NadpispoznmkyChar"/>
    <w:uiPriority w:val="99"/>
    <w:rsid w:val="00881AEC"/>
    <w:pPr>
      <w:widowControl w:val="0"/>
      <w:autoSpaceDE w:val="0"/>
      <w:autoSpaceDN w:val="0"/>
      <w:adjustRightInd w:val="0"/>
      <w:spacing w:before="0"/>
      <w:jc w:val="left"/>
    </w:pPr>
    <w:rPr>
      <w:rFonts w:ascii="Times New Roman" w:eastAsiaTheme="minorEastAsia" w:hAnsi="Times New Roman"/>
      <w:color w:val="000000"/>
      <w:szCs w:val="20"/>
      <w:shd w:val="clear" w:color="auto" w:fill="FFFFFF"/>
      <w:lang w:val="en-AU" w:eastAsia="cs-CZ"/>
    </w:rPr>
  </w:style>
  <w:style w:type="character" w:customStyle="1" w:styleId="NadpispoznmkyChar">
    <w:name w:val="Nadpis poznámky Char"/>
    <w:basedOn w:val="Standardnpsmoodstavce"/>
    <w:link w:val="Nadpispoznmky"/>
    <w:uiPriority w:val="99"/>
    <w:rsid w:val="00881AEC"/>
    <w:rPr>
      <w:rFonts w:ascii="Times New Roman" w:eastAsiaTheme="minorEastAsia" w:hAnsi="Times New Roman" w:cs="Times New Roman"/>
      <w:color w:val="000000"/>
      <w:sz w:val="20"/>
      <w:szCs w:val="20"/>
      <w:lang w:val="en-AU" w:eastAsia="cs-CZ"/>
    </w:rPr>
  </w:style>
  <w:style w:type="paragraph" w:styleId="Prosttext">
    <w:name w:val="Plain Text"/>
    <w:basedOn w:val="Normln"/>
    <w:next w:val="Normln"/>
    <w:link w:val="ProsttextChar"/>
    <w:uiPriority w:val="99"/>
    <w:rsid w:val="00881AEC"/>
    <w:pPr>
      <w:widowControl w:val="0"/>
      <w:autoSpaceDE w:val="0"/>
      <w:autoSpaceDN w:val="0"/>
      <w:adjustRightInd w:val="0"/>
      <w:spacing w:before="0"/>
      <w:jc w:val="left"/>
    </w:pPr>
    <w:rPr>
      <w:rFonts w:ascii="Courier New" w:eastAsiaTheme="minorEastAsia" w:hAnsi="Courier New" w:cs="Courier New"/>
      <w:color w:val="000000"/>
      <w:szCs w:val="20"/>
      <w:shd w:val="clear" w:color="auto" w:fill="FFFFFF"/>
      <w:lang w:val="en-AU" w:eastAsia="cs-CZ"/>
    </w:rPr>
  </w:style>
  <w:style w:type="character" w:customStyle="1" w:styleId="ProsttextChar">
    <w:name w:val="Prostý text Char"/>
    <w:basedOn w:val="Standardnpsmoodstavce"/>
    <w:link w:val="Prosttext"/>
    <w:uiPriority w:val="99"/>
    <w:rsid w:val="00881AEC"/>
    <w:rPr>
      <w:rFonts w:ascii="Courier New" w:eastAsiaTheme="minorEastAsia" w:hAnsi="Courier New" w:cs="Courier New"/>
      <w:color w:val="000000"/>
      <w:sz w:val="20"/>
      <w:szCs w:val="20"/>
      <w:lang w:val="en-AU" w:eastAsia="cs-CZ"/>
    </w:rPr>
  </w:style>
  <w:style w:type="character" w:styleId="Siln">
    <w:name w:val="Strong"/>
    <w:basedOn w:val="Standardnpsmoodstavce"/>
    <w:uiPriority w:val="99"/>
    <w:qFormat/>
    <w:rsid w:val="00881AEC"/>
    <w:rPr>
      <w:rFonts w:ascii="Times New Roman" w:hAnsi="Times New Roman" w:cs="Times New Roman"/>
      <w:b/>
      <w:bCs/>
      <w:color w:val="000000"/>
      <w:sz w:val="20"/>
      <w:szCs w:val="20"/>
      <w:shd w:val="clear" w:color="auto" w:fill="FFFFFF"/>
    </w:rPr>
  </w:style>
  <w:style w:type="character" w:styleId="Zvraznn">
    <w:name w:val="Emphasis"/>
    <w:basedOn w:val="Standardnpsmoodstavce"/>
    <w:uiPriority w:val="99"/>
    <w:qFormat/>
    <w:rsid w:val="00881AEC"/>
    <w:rPr>
      <w:rFonts w:ascii="Times New Roman" w:hAnsi="Times New Roman" w:cs="Times New Roman"/>
      <w:i/>
      <w:iCs/>
      <w:color w:val="000000"/>
      <w:sz w:val="20"/>
      <w:szCs w:val="20"/>
      <w:shd w:val="clear" w:color="auto" w:fill="FFFFFF"/>
    </w:rPr>
  </w:style>
  <w:style w:type="paragraph" w:customStyle="1" w:styleId="Code">
    <w:name w:val="Code"/>
    <w:next w:val="Normln"/>
    <w:uiPriority w:val="99"/>
    <w:rsid w:val="00881AEC"/>
    <w:pPr>
      <w:widowControl w:val="0"/>
      <w:autoSpaceDE w:val="0"/>
      <w:autoSpaceDN w:val="0"/>
      <w:adjustRightInd w:val="0"/>
      <w:spacing w:after="0" w:line="240" w:lineRule="auto"/>
    </w:pPr>
    <w:rPr>
      <w:rFonts w:ascii="Courier New" w:eastAsiaTheme="minorEastAsia" w:hAnsi="Courier New" w:cs="Courier New"/>
      <w:color w:val="000000"/>
      <w:sz w:val="18"/>
      <w:szCs w:val="18"/>
      <w:shd w:val="clear" w:color="auto" w:fill="FFFFFF"/>
      <w:lang w:val="en-AU" w:eastAsia="cs-CZ"/>
    </w:rPr>
  </w:style>
  <w:style w:type="character" w:customStyle="1" w:styleId="FieldLabel">
    <w:name w:val="Field Label"/>
    <w:uiPriority w:val="99"/>
    <w:rsid w:val="00881AEC"/>
    <w:rPr>
      <w:rFonts w:ascii="Times New Roman" w:hAnsi="Times New Roman" w:cs="Times New Roman"/>
      <w:i/>
      <w:iCs/>
      <w:color w:val="004080"/>
      <w:sz w:val="20"/>
      <w:szCs w:val="20"/>
      <w:shd w:val="clear" w:color="auto" w:fill="FFFFFF"/>
    </w:rPr>
  </w:style>
  <w:style w:type="character" w:customStyle="1" w:styleId="TableHeading">
    <w:name w:val="Table Heading"/>
    <w:uiPriority w:val="99"/>
    <w:rsid w:val="00881AEC"/>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881AEC"/>
    <w:rPr>
      <w:rFonts w:ascii="Lucida Sans" w:hAnsi="Lucida Sans" w:cs="Lucida Sans"/>
      <w:b/>
      <w:bCs/>
      <w:color w:val="000000"/>
      <w:sz w:val="16"/>
      <w:szCs w:val="16"/>
      <w:shd w:val="clear" w:color="auto" w:fill="FFFF80"/>
    </w:rPr>
  </w:style>
  <w:style w:type="character" w:customStyle="1" w:styleId="Objecttype">
    <w:name w:val="Object type"/>
    <w:uiPriority w:val="99"/>
    <w:rsid w:val="00881AEC"/>
    <w:rPr>
      <w:rFonts w:ascii="Times New Roman" w:hAnsi="Times New Roman" w:cs="Times New Roman"/>
      <w:b/>
      <w:bCs/>
      <w:color w:val="000000"/>
      <w:sz w:val="20"/>
      <w:szCs w:val="20"/>
      <w:u w:val="single"/>
      <w:shd w:val="clear" w:color="auto" w:fill="FFFFFF"/>
    </w:rPr>
  </w:style>
  <w:style w:type="paragraph" w:customStyle="1" w:styleId="ListHeader">
    <w:name w:val="List Header"/>
    <w:next w:val="Normln"/>
    <w:uiPriority w:val="99"/>
    <w:rsid w:val="00881AEC"/>
    <w:pPr>
      <w:widowControl w:val="0"/>
      <w:autoSpaceDE w:val="0"/>
      <w:autoSpaceDN w:val="0"/>
      <w:adjustRightInd w:val="0"/>
      <w:spacing w:after="0" w:line="240" w:lineRule="auto"/>
    </w:pPr>
    <w:rPr>
      <w:rFonts w:ascii="Times New Roman" w:eastAsiaTheme="minorEastAsia" w:hAnsi="Times New Roman" w:cs="Times New Roman"/>
      <w:b/>
      <w:bCs/>
      <w:i/>
      <w:iCs/>
      <w:color w:val="0000A0"/>
      <w:sz w:val="20"/>
      <w:szCs w:val="20"/>
      <w:shd w:val="clear" w:color="auto" w:fill="FFFFFF"/>
      <w:lang w:val="en-AU" w:eastAsia="cs-CZ"/>
    </w:rPr>
  </w:style>
  <w:style w:type="character" w:customStyle="1" w:styleId="Psmovtabulcenormln">
    <w:name w:val="Písmo v tabulce normální"/>
    <w:uiPriority w:val="99"/>
    <w:rsid w:val="00881AEC"/>
    <w:rPr>
      <w:rFonts w:ascii="Tahoma" w:hAnsi="Tahoma" w:cs="Tahoma"/>
      <w:sz w:val="20"/>
      <w:szCs w:val="20"/>
    </w:rPr>
  </w:style>
  <w:style w:type="character" w:customStyle="1" w:styleId="SSTemplateField">
    <w:name w:val="SSTemplateField"/>
    <w:uiPriority w:val="99"/>
    <w:rsid w:val="00881AEC"/>
    <w:rPr>
      <w:rFonts w:ascii="Lucida Sans" w:hAnsi="Lucida Sans" w:cs="Lucida Sans"/>
      <w:b/>
      <w:bCs/>
      <w:color w:val="FFFFFF"/>
      <w:sz w:val="16"/>
      <w:szCs w:val="16"/>
      <w:shd w:val="clear" w:color="auto" w:fill="FF0000"/>
    </w:rPr>
  </w:style>
  <w:style w:type="table" w:styleId="Mkatabulky">
    <w:name w:val="Table Grid"/>
    <w:aliases w:val="Moje tabulka"/>
    <w:basedOn w:val="Normlntabulka"/>
    <w:uiPriority w:val="59"/>
    <w:rsid w:val="00247618"/>
    <w:pPr>
      <w:spacing w:after="0" w:line="240" w:lineRule="auto"/>
    </w:pPr>
    <w:rPr>
      <w:rFonts w:ascii="Arial" w:eastAsia="Calibri" w:hAnsi="Arial" w:cs="Times New Roman"/>
      <w:sz w:val="20"/>
      <w:szCs w:val="20"/>
      <w:lang w:eastAsia="cs-CZ"/>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hemeFill="accent2" w:themeFillTint="33"/>
      <w:vAlign w:val="center"/>
    </w:tcPr>
    <w:tblStylePr w:type="firstRow">
      <w:rPr>
        <w:b/>
      </w:rPr>
      <w:tblPr/>
      <w:tcPr>
        <w:shd w:val="clear" w:color="auto" w:fill="A50021"/>
      </w:tcPr>
    </w:tblStylePr>
    <w:tblStylePr w:type="band1Horz">
      <w:tblPr/>
      <w:tcPr>
        <w:shd w:val="clear" w:color="auto" w:fill="FFFFFF" w:themeFill="background1"/>
      </w:tcPr>
    </w:tblStylePr>
    <w:tblStylePr w:type="band2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0282">
      <w:bodyDiv w:val="1"/>
      <w:marLeft w:val="0"/>
      <w:marRight w:val="0"/>
      <w:marTop w:val="0"/>
      <w:marBottom w:val="0"/>
      <w:divBdr>
        <w:top w:val="none" w:sz="0" w:space="0" w:color="auto"/>
        <w:left w:val="none" w:sz="0" w:space="0" w:color="auto"/>
        <w:bottom w:val="none" w:sz="0" w:space="0" w:color="auto"/>
        <w:right w:val="none" w:sz="0" w:space="0" w:color="auto"/>
      </w:divBdr>
    </w:div>
    <w:div w:id="1153450463">
      <w:bodyDiv w:val="1"/>
      <w:marLeft w:val="0"/>
      <w:marRight w:val="0"/>
      <w:marTop w:val="0"/>
      <w:marBottom w:val="0"/>
      <w:divBdr>
        <w:top w:val="none" w:sz="0" w:space="0" w:color="auto"/>
        <w:left w:val="none" w:sz="0" w:space="0" w:color="auto"/>
        <w:bottom w:val="none" w:sz="0" w:space="0" w:color="auto"/>
        <w:right w:val="none" w:sz="0" w:space="0" w:color="auto"/>
      </w:divBdr>
    </w:div>
    <w:div w:id="1366179832">
      <w:bodyDiv w:val="1"/>
      <w:marLeft w:val="0"/>
      <w:marRight w:val="0"/>
      <w:marTop w:val="0"/>
      <w:marBottom w:val="0"/>
      <w:divBdr>
        <w:top w:val="none" w:sz="0" w:space="0" w:color="auto"/>
        <w:left w:val="none" w:sz="0" w:space="0" w:color="auto"/>
        <w:bottom w:val="none" w:sz="0" w:space="0" w:color="auto"/>
        <w:right w:val="none" w:sz="0" w:space="0" w:color="auto"/>
      </w:divBdr>
    </w:div>
    <w:div w:id="19268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dokumenty\OZP\STUDIE_II_ETAPA\pripominky_20130926\OZP_studie_II_etapa_procesy_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ADA134FF601E4092E52961AD08E1F2" ma:contentTypeVersion="" ma:contentTypeDescription="Vytvoří nový dokument" ma:contentTypeScope="" ma:versionID="b64f73600a53c5fcdb0600085cd83189">
  <xsd:schema xmlns:xsd="http://www.w3.org/2001/XMLSchema" xmlns:xs="http://www.w3.org/2001/XMLSchema" xmlns:p="http://schemas.microsoft.com/office/2006/metadata/properties" targetNamespace="http://schemas.microsoft.com/office/2006/metadata/properties" ma:root="true" ma:fieldsID="809cb45cd4af63b81dfea945bea43c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A1D9-7E04-4B65-8BCC-1A175C0D26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E4F7A-D172-4998-AE8A-FF0288268751}">
  <ds:schemaRefs>
    <ds:schemaRef ds:uri="http://schemas.microsoft.com/sharepoint/v3/contenttype/forms"/>
  </ds:schemaRefs>
</ds:datastoreItem>
</file>

<file path=customXml/itemProps3.xml><?xml version="1.0" encoding="utf-8"?>
<ds:datastoreItem xmlns:ds="http://schemas.openxmlformats.org/officeDocument/2006/customXml" ds:itemID="{6A4624C2-A8B6-4CB7-880B-F6E67FCD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DE78B1-BEA9-4A73-AD56-4601B072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OZP_studie_II_etapa_procesy_I.dotx</Template>
  <TotalTime>27</TotalTime>
  <Pages>17</Pages>
  <Words>5682</Words>
  <Characters>33527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Winklerová</dc:creator>
  <cp:lastModifiedBy>Jindra</cp:lastModifiedBy>
  <cp:revision>18</cp:revision>
  <cp:lastPrinted>2013-12-09T08:23:00Z</cp:lastPrinted>
  <dcterms:created xsi:type="dcterms:W3CDTF">2013-12-08T23:23:00Z</dcterms:created>
  <dcterms:modified xsi:type="dcterms:W3CDTF">2014-03-13T12:48:00Z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0x01010041ADA134FF601E4092E52961AD08E1F2</vt:lpwstr>
  </property>
</Properties>
</file>