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4" w:rsidRPr="002B65FA" w:rsidRDefault="000847E4" w:rsidP="000847E4">
      <w:pPr>
        <w:jc w:val="center"/>
      </w:pPr>
      <w:bookmarkStart w:id="0" w:name="_Toc369207741"/>
      <w:r w:rsidRPr="002B65FA">
        <w:rPr>
          <w:b/>
          <w:color w:val="A50021"/>
          <w:sz w:val="48"/>
          <w:szCs w:val="48"/>
        </w:rPr>
        <w:t xml:space="preserve">Studie </w:t>
      </w:r>
      <w:r w:rsidRPr="00E53557">
        <w:rPr>
          <w:b/>
          <w:color w:val="A50021"/>
          <w:sz w:val="48"/>
          <w:szCs w:val="48"/>
        </w:rPr>
        <w:t xml:space="preserve">proveditelnosti projektu „Výstavba, implementace </w:t>
      </w:r>
      <w:r w:rsidR="00473D9F">
        <w:rPr>
          <w:b/>
          <w:color w:val="A50021"/>
          <w:sz w:val="48"/>
          <w:szCs w:val="48"/>
        </w:rPr>
        <w:br/>
      </w:r>
      <w:r w:rsidRPr="00E53557">
        <w:rPr>
          <w:b/>
          <w:color w:val="A50021"/>
          <w:sz w:val="48"/>
          <w:szCs w:val="48"/>
        </w:rPr>
        <w:t>a</w:t>
      </w:r>
      <w:r>
        <w:rPr>
          <w:b/>
          <w:color w:val="A50021"/>
          <w:sz w:val="48"/>
          <w:szCs w:val="48"/>
        </w:rPr>
        <w:t> </w:t>
      </w:r>
      <w:r w:rsidRPr="00E53557">
        <w:rPr>
          <w:b/>
          <w:color w:val="A50021"/>
          <w:sz w:val="48"/>
          <w:szCs w:val="48"/>
        </w:rPr>
        <w:t>technická podpora ICIS OZP“</w:t>
      </w:r>
      <w:bookmarkEnd w:id="0"/>
    </w:p>
    <w:p w:rsidR="000013A9" w:rsidRPr="00CF2F92" w:rsidRDefault="000013A9" w:rsidP="000013A9">
      <w:pPr>
        <w:pStyle w:val="Titulnstrana"/>
        <w:rPr>
          <w:b/>
          <w:color w:val="E60019"/>
          <w:sz w:val="44"/>
          <w:szCs w:val="44"/>
        </w:rPr>
      </w:pPr>
    </w:p>
    <w:p w:rsidR="000013A9" w:rsidRPr="00CF2F92" w:rsidRDefault="000013A9" w:rsidP="000013A9">
      <w:pPr>
        <w:pStyle w:val="Titulnstrana"/>
        <w:rPr>
          <w:b/>
          <w:color w:val="000000"/>
          <w:sz w:val="44"/>
          <w:szCs w:val="44"/>
        </w:rPr>
      </w:pPr>
      <w:r w:rsidRPr="00CF2F92">
        <w:rPr>
          <w:b/>
          <w:color w:val="000000"/>
          <w:sz w:val="44"/>
          <w:szCs w:val="44"/>
        </w:rPr>
        <w:t>Příloha P</w:t>
      </w:r>
      <w:r w:rsidR="004B4BC5">
        <w:rPr>
          <w:b/>
          <w:color w:val="000000"/>
          <w:sz w:val="44"/>
          <w:szCs w:val="44"/>
        </w:rPr>
        <w:t>13</w:t>
      </w:r>
    </w:p>
    <w:p w:rsidR="000013A9" w:rsidRPr="00CF2F92" w:rsidRDefault="00247618" w:rsidP="000013A9">
      <w:pPr>
        <w:pStyle w:val="Titulnstrana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Seznam </w:t>
      </w:r>
      <w:r w:rsidR="004B4BC5">
        <w:rPr>
          <w:b/>
          <w:color w:val="000000"/>
          <w:sz w:val="44"/>
          <w:szCs w:val="44"/>
        </w:rPr>
        <w:t>funkcí</w:t>
      </w:r>
      <w:r w:rsidR="000013A9" w:rsidRPr="00CF2F92">
        <w:rPr>
          <w:b/>
          <w:color w:val="000000"/>
          <w:sz w:val="44"/>
          <w:szCs w:val="44"/>
        </w:rPr>
        <w:t xml:space="preserve"> – </w:t>
      </w:r>
      <w:r w:rsidR="00881AEC">
        <w:rPr>
          <w:b/>
          <w:color w:val="000000"/>
          <w:sz w:val="44"/>
          <w:szCs w:val="44"/>
        </w:rPr>
        <w:t>Finance</w:t>
      </w:r>
    </w:p>
    <w:p w:rsidR="000013A9" w:rsidRPr="00CF2F92" w:rsidRDefault="000013A9" w:rsidP="000013A9">
      <w:pPr>
        <w:jc w:val="center"/>
        <w:rPr>
          <w:b/>
          <w:sz w:val="44"/>
          <w:szCs w:val="44"/>
        </w:rPr>
      </w:pPr>
    </w:p>
    <w:p w:rsidR="000013A9" w:rsidRPr="00CF2F92" w:rsidRDefault="000013A9" w:rsidP="000013A9">
      <w:pPr>
        <w:jc w:val="center"/>
        <w:rPr>
          <w:sz w:val="28"/>
        </w:rPr>
      </w:pPr>
    </w:p>
    <w:p w:rsidR="000013A9" w:rsidRDefault="000013A9" w:rsidP="000013A9">
      <w:pPr>
        <w:rPr>
          <w:b/>
          <w:color w:val="FF0000"/>
          <w:sz w:val="28"/>
        </w:rPr>
      </w:pPr>
    </w:p>
    <w:p w:rsidR="00AB746C" w:rsidRDefault="00AB746C" w:rsidP="000013A9">
      <w:pPr>
        <w:rPr>
          <w:b/>
          <w:color w:val="FF0000"/>
          <w:sz w:val="28"/>
        </w:rPr>
      </w:pPr>
    </w:p>
    <w:p w:rsidR="00AB746C" w:rsidRPr="00CF2F92" w:rsidRDefault="00AB746C" w:rsidP="000013A9">
      <w:pPr>
        <w:rPr>
          <w:b/>
          <w:color w:val="FF0000"/>
          <w:sz w:val="28"/>
        </w:rPr>
      </w:pPr>
    </w:p>
    <w:p w:rsidR="00AB746C" w:rsidRPr="002B65FA" w:rsidRDefault="00AB746C" w:rsidP="00AB746C">
      <w:r w:rsidRPr="002B65FA">
        <w:t>Datum:</w:t>
      </w:r>
      <w:r w:rsidRPr="002B65FA">
        <w:tab/>
      </w:r>
      <w:r w:rsidRPr="002B65FA">
        <w:tab/>
      </w:r>
      <w:r w:rsidRPr="002B65FA">
        <w:tab/>
        <w:t>28. 1</w:t>
      </w:r>
      <w:r>
        <w:t>1</w:t>
      </w:r>
      <w:r w:rsidRPr="002B65FA">
        <w:t>. 2013</w:t>
      </w:r>
    </w:p>
    <w:p w:rsidR="00AB746C" w:rsidRPr="002B65FA" w:rsidRDefault="00AB746C" w:rsidP="00AB746C">
      <w:pPr>
        <w:rPr>
          <w:sz w:val="16"/>
          <w:szCs w:val="16"/>
        </w:rPr>
      </w:pPr>
      <w:r>
        <w:t>Počet stran:</w:t>
      </w:r>
      <w:r>
        <w:tab/>
      </w:r>
      <w:r>
        <w:tab/>
      </w:r>
      <w:fldSimple w:instr=" NUMPAGES   \* MERGEFORMAT ">
        <w:r w:rsidR="00024A49">
          <w:rPr>
            <w:noProof/>
          </w:rPr>
          <w:t>20</w:t>
        </w:r>
      </w:fldSimple>
    </w:p>
    <w:p w:rsidR="000847E4" w:rsidRDefault="000847E4">
      <w:pPr>
        <w:spacing w:before="0" w:after="200" w:line="276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013A9" w:rsidRPr="00CF2F92" w:rsidRDefault="000013A9" w:rsidP="000013A9">
      <w:pPr>
        <w:rPr>
          <w:b/>
          <w:sz w:val="36"/>
          <w:szCs w:val="36"/>
        </w:rPr>
      </w:pPr>
      <w:r w:rsidRPr="00CF2F92">
        <w:rPr>
          <w:b/>
          <w:sz w:val="36"/>
          <w:szCs w:val="36"/>
        </w:rPr>
        <w:lastRenderedPageBreak/>
        <w:t>Obsah</w:t>
      </w:r>
    </w:p>
    <w:p w:rsidR="00CC5D02" w:rsidRDefault="000013A9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 w:rsidRPr="00CF2F92">
        <w:fldChar w:fldCharType="begin"/>
      </w:r>
      <w:r w:rsidRPr="00CF2F92">
        <w:instrText xml:space="preserve"> TOC \o "1-3" \h \z \u </w:instrText>
      </w:r>
      <w:r w:rsidRPr="00CF2F92">
        <w:fldChar w:fldCharType="separate"/>
      </w:r>
      <w:hyperlink w:anchor="_Toc374093754" w:history="1">
        <w:r w:rsidR="00CC5D02" w:rsidRPr="00DF23E9">
          <w:rPr>
            <w:rStyle w:val="Hypertextovodkaz"/>
            <w:noProof/>
          </w:rPr>
          <w:t>1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Účetnictví (UCT)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_Toc374093754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3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55" w:history="1">
        <w:r w:rsidR="00CC5D02" w:rsidRPr="00DF23E9">
          <w:rPr>
            <w:rStyle w:val="Hypertextovodkaz"/>
            <w:noProof/>
          </w:rPr>
          <w:t>2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Finanční plánování (FPL)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_Toc374093755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5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56" w:history="1">
        <w:r w:rsidR="00CC5D02" w:rsidRPr="00DF23E9">
          <w:rPr>
            <w:rStyle w:val="Hypertextovodkaz"/>
            <w:noProof/>
          </w:rPr>
          <w:t>3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Majetek (MAJ)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_Toc374093756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6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57" w:history="1">
        <w:r w:rsidR="00CC5D02" w:rsidRPr="00DF23E9">
          <w:rPr>
            <w:rStyle w:val="Hypertextovodkaz"/>
            <w:noProof/>
          </w:rPr>
          <w:t>4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Cenné papíry (CPA)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_Toc374093757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7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58" w:history="1">
        <w:r w:rsidR="00CC5D02" w:rsidRPr="00DF23E9">
          <w:rPr>
            <w:rStyle w:val="Hypertextovodkaz"/>
            <w:noProof/>
          </w:rPr>
          <w:t>5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Mzdy a personalistika (MAP)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_Toc374093758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8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59" w:history="1">
        <w:r w:rsidR="00CC5D02" w:rsidRPr="00DF23E9">
          <w:rPr>
            <w:rStyle w:val="Hypertextovodkaz"/>
            <w:noProof/>
          </w:rPr>
          <w:t>6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Banka (BAN)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_Toc374093759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9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60" w:history="1">
        <w:r w:rsidR="00CC5D02" w:rsidRPr="00DF23E9">
          <w:rPr>
            <w:rStyle w:val="Hypertextovodkaz"/>
            <w:noProof/>
          </w:rPr>
          <w:t>7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Pokladny (POK)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_Toc374093760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12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61" w:history="1">
        <w:r w:rsidR="00CC5D02" w:rsidRPr="00DF23E9">
          <w:rPr>
            <w:rStyle w:val="Hypertextovodkaz"/>
            <w:noProof/>
          </w:rPr>
          <w:t>8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Centrum mezistátních úhrad (CMU)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_Toc374093761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14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62" w:history="1">
        <w:r w:rsidR="00CC5D02" w:rsidRPr="00DF23E9">
          <w:rPr>
            <w:rStyle w:val="Hypertextovodkaz"/>
            <w:noProof/>
          </w:rPr>
          <w:t>9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Pohledávky resp. příjmy (POH)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_Toc374093762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15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63" w:history="1">
        <w:r w:rsidR="00CC5D02" w:rsidRPr="00DF23E9">
          <w:rPr>
            <w:rStyle w:val="Hypertextovodkaz"/>
            <w:noProof/>
          </w:rPr>
          <w:t>10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Závazky resp. výdaje (ZAV)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_Toc374093763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17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64" w:history="1">
        <w:r w:rsidR="00CC5D02" w:rsidRPr="00DF23E9">
          <w:rPr>
            <w:rStyle w:val="Hypertextovodkaz"/>
            <w:noProof/>
          </w:rPr>
          <w:t>11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Ostatní (OST)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_Toc374093764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19</w:t>
        </w:r>
        <w:r w:rsidR="00CC5D02">
          <w:rPr>
            <w:noProof/>
            <w:webHidden/>
          </w:rPr>
          <w:fldChar w:fldCharType="end"/>
        </w:r>
      </w:hyperlink>
    </w:p>
    <w:p w:rsidR="00CC5D02" w:rsidRDefault="00944B17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93765" w:history="1">
        <w:r w:rsidR="00CC5D02" w:rsidRPr="00DF23E9">
          <w:rPr>
            <w:rStyle w:val="Hypertextovodkaz"/>
            <w:noProof/>
          </w:rPr>
          <w:t>12</w:t>
        </w:r>
        <w:r w:rsidR="00CC5D0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CC5D02" w:rsidRPr="00DF23E9">
          <w:rPr>
            <w:rStyle w:val="Hypertextovodkaz"/>
            <w:noProof/>
          </w:rPr>
          <w:t>Číselníky (CIS)</w:t>
        </w:r>
        <w:r w:rsidR="00CC5D02">
          <w:rPr>
            <w:noProof/>
            <w:webHidden/>
          </w:rPr>
          <w:tab/>
        </w:r>
        <w:r w:rsidR="00CC5D02">
          <w:rPr>
            <w:noProof/>
            <w:webHidden/>
          </w:rPr>
          <w:fldChar w:fldCharType="begin"/>
        </w:r>
        <w:r w:rsidR="00CC5D02">
          <w:rPr>
            <w:noProof/>
            <w:webHidden/>
          </w:rPr>
          <w:instrText xml:space="preserve"> PAGEREF _Toc374093765 \h </w:instrText>
        </w:r>
        <w:r w:rsidR="00CC5D02">
          <w:rPr>
            <w:noProof/>
            <w:webHidden/>
          </w:rPr>
        </w:r>
        <w:r w:rsidR="00CC5D02">
          <w:rPr>
            <w:noProof/>
            <w:webHidden/>
          </w:rPr>
          <w:fldChar w:fldCharType="separate"/>
        </w:r>
        <w:r w:rsidR="00024A49">
          <w:rPr>
            <w:noProof/>
            <w:webHidden/>
          </w:rPr>
          <w:t>20</w:t>
        </w:r>
        <w:r w:rsidR="00CC5D02">
          <w:rPr>
            <w:noProof/>
            <w:webHidden/>
          </w:rPr>
          <w:fldChar w:fldCharType="end"/>
        </w:r>
      </w:hyperlink>
    </w:p>
    <w:p w:rsidR="000013A9" w:rsidRPr="00CF2F92" w:rsidRDefault="000013A9" w:rsidP="000013A9">
      <w:r w:rsidRPr="00CF2F92">
        <w:fldChar w:fldCharType="end"/>
      </w:r>
    </w:p>
    <w:p w:rsidR="00247618" w:rsidRDefault="00247618">
      <w:pPr>
        <w:spacing w:before="0" w:after="200" w:line="276" w:lineRule="auto"/>
        <w:jc w:val="left"/>
      </w:pPr>
      <w:r>
        <w:br w:type="page"/>
      </w:r>
    </w:p>
    <w:p w:rsidR="000013A9" w:rsidRDefault="00247618" w:rsidP="00247618">
      <w:pPr>
        <w:pStyle w:val="Nadpis1"/>
      </w:pPr>
      <w:bookmarkStart w:id="1" w:name="_Toc374093754"/>
      <w:r>
        <w:lastRenderedPageBreak/>
        <w:t>Účetnictví</w:t>
      </w:r>
      <w:r w:rsidR="00CD28FD">
        <w:t xml:space="preserve"> (UCT)</w:t>
      </w:r>
      <w:bookmarkEnd w:id="1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452"/>
        <w:gridCol w:w="5173"/>
      </w:tblGrid>
      <w:tr w:rsidR="0019518F" w:rsidRPr="00247618" w:rsidTr="00AB7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19518F" w:rsidRPr="00247618" w:rsidRDefault="0019518F" w:rsidP="00AB78E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452" w:type="dxa"/>
          </w:tcPr>
          <w:p w:rsidR="0019518F" w:rsidRDefault="0019518F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19518F" w:rsidRPr="00247618" w:rsidRDefault="0019518F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173" w:type="dxa"/>
          </w:tcPr>
          <w:p w:rsidR="0019518F" w:rsidRPr="00247618" w:rsidRDefault="0019518F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944B17" w:rsidRPr="00444D59" w:rsidTr="00ED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1673" w:type="dxa"/>
            <w:tcBorders>
              <w:bottom w:val="single" w:sz="4" w:space="0" w:color="auto"/>
            </w:tcBorders>
            <w:vAlign w:val="top"/>
          </w:tcPr>
          <w:p w:rsidR="00944B17" w:rsidRPr="0019518F" w:rsidRDefault="00944B17" w:rsidP="0019518F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V</w:t>
            </w:r>
            <w:r w:rsidRPr="0019518F">
              <w:rPr>
                <w:rFonts w:cs="Arial"/>
                <w:b/>
                <w:i/>
                <w:sz w:val="16"/>
                <w:szCs w:val="16"/>
              </w:rPr>
              <w:t>UD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Vnitřní účetní d</w:t>
            </w:r>
            <w:r w:rsidRPr="0019518F">
              <w:rPr>
                <w:rFonts w:cs="Arial"/>
                <w:b/>
                <w:i/>
                <w:sz w:val="16"/>
                <w:szCs w:val="16"/>
              </w:rPr>
              <w:t>oklady</w:t>
            </w:r>
          </w:p>
        </w:tc>
        <w:tc>
          <w:tcPr>
            <w:tcW w:w="5173" w:type="dxa"/>
            <w:tcBorders>
              <w:bottom w:val="single" w:sz="4" w:space="0" w:color="auto"/>
            </w:tcBorders>
            <w:vAlign w:val="top"/>
          </w:tcPr>
          <w:p w:rsidR="00944B17" w:rsidRPr="0019518F" w:rsidRDefault="00944B17" w:rsidP="0019518F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Procesy popsány v FI-UCT-PUD, požadavky popsány v FI-UCT</w:t>
            </w:r>
          </w:p>
        </w:tc>
      </w:tr>
      <w:tr w:rsidR="00944B17" w:rsidRPr="00444D59" w:rsidTr="00ED6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"/>
        </w:trPr>
        <w:tc>
          <w:tcPr>
            <w:tcW w:w="1673" w:type="dxa"/>
            <w:vAlign w:val="top"/>
          </w:tcPr>
          <w:p w:rsidR="00944B17" w:rsidRPr="00944B17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44B17">
              <w:rPr>
                <w:rFonts w:cs="Arial"/>
                <w:sz w:val="16"/>
                <w:szCs w:val="16"/>
              </w:rPr>
              <w:t>F-FI-UCT-VUD-001</w:t>
            </w:r>
          </w:p>
        </w:tc>
        <w:tc>
          <w:tcPr>
            <w:tcW w:w="2452" w:type="dxa"/>
            <w:vAlign w:val="top"/>
          </w:tcPr>
          <w:p w:rsidR="00944B17" w:rsidRPr="00944B17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44B17">
              <w:rPr>
                <w:rFonts w:cs="Arial"/>
                <w:sz w:val="16"/>
                <w:szCs w:val="16"/>
              </w:rPr>
              <w:t>Pořízení zápisu do deníku</w:t>
            </w:r>
          </w:p>
        </w:tc>
        <w:tc>
          <w:tcPr>
            <w:tcW w:w="5173" w:type="dxa"/>
            <w:vAlign w:val="top"/>
          </w:tcPr>
          <w:p w:rsidR="00944B17" w:rsidRPr="00944B17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44B17">
              <w:rPr>
                <w:rFonts w:cs="Arial"/>
                <w:sz w:val="16"/>
                <w:szCs w:val="16"/>
              </w:rPr>
              <w:t>Systém umožní uživateli pořízení ručních účetních zápisů v účetním deníku.</w:t>
            </w:r>
          </w:p>
        </w:tc>
      </w:tr>
      <w:tr w:rsidR="00944B17" w:rsidRPr="00444D59" w:rsidTr="007E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tcW w:w="1673" w:type="dxa"/>
            <w:tcBorders>
              <w:bottom w:val="single" w:sz="4" w:space="0" w:color="auto"/>
            </w:tcBorders>
            <w:vAlign w:val="top"/>
          </w:tcPr>
          <w:p w:rsidR="00944B17" w:rsidRPr="00FA7E18" w:rsidRDefault="00944B17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F-FI-UCT-VUD-002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top"/>
          </w:tcPr>
          <w:p w:rsidR="00944B17" w:rsidRPr="00FA7E18" w:rsidRDefault="00944B17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Kontrola a zaúčtování deníku</w:t>
            </w:r>
          </w:p>
        </w:tc>
        <w:tc>
          <w:tcPr>
            <w:tcW w:w="5173" w:type="dxa"/>
            <w:tcBorders>
              <w:bottom w:val="single" w:sz="4" w:space="0" w:color="auto"/>
            </w:tcBorders>
            <w:vAlign w:val="top"/>
          </w:tcPr>
          <w:p w:rsidR="00944B17" w:rsidRPr="00FA7E18" w:rsidRDefault="00944B17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Systém umožní uživateli kontrolu pořízených zápisů v účetním deníku.</w:t>
            </w:r>
          </w:p>
        </w:tc>
      </w:tr>
      <w:tr w:rsidR="00944B17" w:rsidRPr="00444D59" w:rsidTr="007E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"/>
        </w:trPr>
        <w:tc>
          <w:tcPr>
            <w:tcW w:w="1673" w:type="dxa"/>
            <w:vAlign w:val="top"/>
          </w:tcPr>
          <w:p w:rsidR="00944B17" w:rsidRPr="00FA7E18" w:rsidRDefault="00FA7E18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F-FI-UCT-VUD-003</w:t>
            </w:r>
          </w:p>
        </w:tc>
        <w:tc>
          <w:tcPr>
            <w:tcW w:w="2452" w:type="dxa"/>
            <w:vAlign w:val="top"/>
          </w:tcPr>
          <w:p w:rsidR="00944B17" w:rsidRPr="00FA7E18" w:rsidRDefault="00944B17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vAlign w:val="top"/>
          </w:tcPr>
          <w:p w:rsidR="00944B17" w:rsidRPr="00FA7E18" w:rsidRDefault="00FA7E18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Systém umožní uživateli zaúčtování pořízených zápisů v účetním deníku.</w:t>
            </w:r>
          </w:p>
        </w:tc>
      </w:tr>
      <w:tr w:rsidR="00944B17" w:rsidRPr="00444D59" w:rsidTr="00ED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tcW w:w="1673" w:type="dxa"/>
            <w:tcBorders>
              <w:bottom w:val="single" w:sz="4" w:space="0" w:color="auto"/>
            </w:tcBorders>
            <w:vAlign w:val="top"/>
          </w:tcPr>
          <w:p w:rsidR="00944B17" w:rsidRPr="00FA7E18" w:rsidRDefault="00FA7E18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F-FI-UCT-VUD-004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top"/>
          </w:tcPr>
          <w:p w:rsidR="00944B17" w:rsidRPr="00FA7E18" w:rsidRDefault="00FA7E18" w:rsidP="00FA7E18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Tisk vnitřních účetních dokladů</w:t>
            </w:r>
          </w:p>
        </w:tc>
        <w:tc>
          <w:tcPr>
            <w:tcW w:w="5173" w:type="dxa"/>
            <w:tcBorders>
              <w:bottom w:val="single" w:sz="4" w:space="0" w:color="auto"/>
            </w:tcBorders>
            <w:vAlign w:val="top"/>
          </w:tcPr>
          <w:p w:rsidR="00944B17" w:rsidRPr="0019518F" w:rsidRDefault="00FA7E18" w:rsidP="00FA7E18">
            <w:pPr>
              <w:spacing w:before="0"/>
              <w:jc w:val="left"/>
              <w:rPr>
                <w:rFonts w:cs="Arial"/>
                <w:b/>
                <w:i/>
                <w:sz w:val="16"/>
                <w:szCs w:val="16"/>
              </w:rPr>
            </w:pPr>
            <w:r w:rsidRPr="00FA7E18">
              <w:rPr>
                <w:rFonts w:cs="Arial"/>
                <w:sz w:val="16"/>
                <w:szCs w:val="16"/>
              </w:rPr>
              <w:t>Systém umožní uživateli vytisknutí způsobu zaúčtování pořízeného účetního zápisu.</w:t>
            </w:r>
          </w:p>
        </w:tc>
      </w:tr>
      <w:tr w:rsidR="00944B17" w:rsidRPr="00444D59" w:rsidTr="00ED6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PUD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Periodické účetní doklady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Procesy popsány v FI-UCT-PUD, požadavky popsány v FI-UCT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F-FI-UCT-PUD-001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Nastavení rozpisu pro periodické účtování do deníku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nastavení rozpisu účtování do deníku pro opakované platby.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F-FI-UCT-PUD-002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Zaúčtování periodického deníku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případné doplnění nastaveného rozpisu účtování v deníku.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F-FI-UCT-PUD-003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periodické zaúčtování nastaveného rozpisu účtování v deníku.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F-FI-UCT-PUD-004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Tisk periodických zaúčtovaných transakcí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vytisknutí způsobu zaúčtování pořízeného periodického účetního zápisu.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SSA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Správa salda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Procesy popsány v FI-UCT-SS, požadavky popsány v FI-UCT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F-FI-UCT-SSA-001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Kontrola otevřených položek salda partnerů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zobrazení otevřených položek salda partnerů.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F-FI-UCT-SSA-002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Ruční párování otevřených položek salda partnerů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ruční spárování releva</w:t>
            </w:r>
            <w:r>
              <w:rPr>
                <w:rFonts w:cs="Arial"/>
                <w:sz w:val="16"/>
                <w:szCs w:val="16"/>
              </w:rPr>
              <w:t>n</w:t>
            </w:r>
            <w:r w:rsidRPr="0019518F">
              <w:rPr>
                <w:rFonts w:cs="Arial"/>
                <w:sz w:val="16"/>
                <w:szCs w:val="16"/>
              </w:rPr>
              <w:t>tních otevřených položek salda partnerů.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F-FI-UCT-SSA-003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Tisk dokladu k párování položek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vytisknutí zaúčtování spárování položek.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UZA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Účetní závěrka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Procesy popsány v FI-UCT-UZA, požadavky popsány v FI-UCT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F-FI-UCT-UZA-001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Kontrola úplnosti zaúčtování transakce za zvolené období nebo uzavíraný rok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zobrazení všech nezaúčtovaných dokladů, pořízených v systému.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F-FI-UCT-UZA-002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zaúčtování všech nezaúčtovaných dokladů, pořízených v systému uživatelem.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F-FI-UCT-UZA-003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Otevření účetního období max. 3 měsíce / Uzamčení předchozího období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zamezí účtování do období, které je uživatelem nastaveno jako uzavřené.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F-FI-UCT-UZA-004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Převod účtů třídy 5 a 6 na hospodářský výsledek dle činností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převedení zůstatků účtů třídy 5 a 6 na hospodářský výsledek, který bude členěný dle činností.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F-FI-UCT-UZA-005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Uzavření fondových účtů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uzavření fondových účtů.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F-FI-UCT-UZA-006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Převedení rozvahových účtů na KÚR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převedení zůstatku rozvahových účtů na konečný účet rozvažný</w:t>
            </w:r>
            <w:r>
              <w:rPr>
                <w:rFonts w:cs="Arial"/>
                <w:sz w:val="16"/>
                <w:szCs w:val="16"/>
              </w:rPr>
              <w:t xml:space="preserve"> (KÚR)</w:t>
            </w:r>
            <w:r w:rsidRPr="0019518F">
              <w:rPr>
                <w:rFonts w:cs="Arial"/>
                <w:sz w:val="16"/>
                <w:szCs w:val="16"/>
              </w:rPr>
              <w:t>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F-FI-UCT-UZA-007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Uzavření podrozvahových účtů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uzavření podrozvahových účtů.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F-FI-UCT-UZA-008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Uzavření uzavíraného účetního roku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uzavření minulého účetního roku.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F-FI-UCT-UZA-009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Vytvoření požadovaných výkazů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vytvoření potřebných účetních výkazů.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lastRenderedPageBreak/>
              <w:t>F-FI-UCT-UZA-010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odeslání vytvořených účetních výkazů příslušným úřadům.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F-FI-UCT-UZA-011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Otevření nového účetního období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otevření nového účetního období.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F-FI-UCT-UZA-012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povolí uživateli účtování do uživatelem zvoleného nastaveného období.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VYK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Výkaznictví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Procesy popsány v FI-UCT-VYK, požadavky popsány v FI-UCT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F-FI-UCT-VYK-001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Nastavení vykazování v systému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nastavení subjektu ZP pro vykazování.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F-FI-UCT-VYK-002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Nastavení výkazů - Rozvaha / Výkaz zisků a ztrát / Příloha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nastavení a parametrizaci Státních výkazů - Rozvahy / Výkazu zisků a ztrát / Přílohy.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F-FI-UCT-VYK-003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Vygenerování výkazů - Rozvaha / Výkaz zisků a ztrát / Příloha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vygenerování výkazů Rozvaha / Výkaz zisků a ztrát / Příloha, dle provedeného nastavení ve stanoveném formátu.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F-FI-UCT-VYK-004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Tisk výkazů - Rozvaha / Výkaz zisků a ztrát / Příloha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vytisknutí výkazů Rozvaha / Výkaz zisků a</w:t>
            </w:r>
            <w:r>
              <w:rPr>
                <w:rFonts w:cs="Arial"/>
                <w:sz w:val="16"/>
                <w:szCs w:val="16"/>
              </w:rPr>
              <w:t> </w:t>
            </w:r>
            <w:r w:rsidRPr="0019518F">
              <w:rPr>
                <w:rFonts w:cs="Arial"/>
                <w:sz w:val="16"/>
                <w:szCs w:val="16"/>
              </w:rPr>
              <w:t>ztrát / Příloha pro jejich fyzickou archivaci.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F-FI-UCT-VYK-005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Odeslání elektronické podoby výkazů do CSÚIS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 xml:space="preserve">Systém umožní elektronické odeslání výkazů Rozvaha / Výkaz zisků a ztrát / Příloha prostřednictvím portálu Ministerstva financí do CSÚIS. 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DPH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Daň z přidané hodnoty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19518F">
              <w:rPr>
                <w:rFonts w:cs="Arial"/>
                <w:b/>
                <w:i/>
                <w:sz w:val="16"/>
                <w:szCs w:val="16"/>
              </w:rPr>
              <w:t>Procesy popsány v FI-UCT-DPH, požadavky popsány v FI-UCT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F-FI-UCT-DPH-001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Nastavení / doplnění číselníků pro evidenci DPH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nastavení číselníků DPH, potřebných pro možnost správné evidence.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F-FI-UCT-DPH-002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Nastavení výkazu DPH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nastavení a parametrizaci výkazu DPH v daném členění pro správné vykazování.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F-FI-UCT-DPH-003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Evidence závazku / pohledávky s DPH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průběžnou evidence pohledávek, závazků a</w:t>
            </w:r>
            <w:r>
              <w:rPr>
                <w:rFonts w:cs="Arial"/>
                <w:sz w:val="16"/>
                <w:szCs w:val="16"/>
              </w:rPr>
              <w:t> </w:t>
            </w:r>
            <w:r w:rsidRPr="0019518F">
              <w:rPr>
                <w:rFonts w:cs="Arial"/>
                <w:sz w:val="16"/>
                <w:szCs w:val="16"/>
              </w:rPr>
              <w:t>účetních zápisů v režimu s DPH.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F-FI-UCT-DPH-004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Zaúčtování závazku / pohledávky s DPH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zaúčtování pořízených pohledávek / závazků a účetních zápisů s DPH.</w:t>
            </w:r>
          </w:p>
        </w:tc>
      </w:tr>
      <w:tr w:rsidR="00944B17" w:rsidRPr="00444D59" w:rsidTr="00AB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F-FI-UCT-DPH-005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Zaúčtování uzávěrky DPH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uzavření DPH za předchozí vykazované období.</w:t>
            </w:r>
          </w:p>
        </w:tc>
      </w:tr>
      <w:tr w:rsidR="00944B17" w:rsidRPr="00444D59" w:rsidTr="00AB7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F-FI-UCT-DPH-006</w:t>
            </w:r>
          </w:p>
        </w:tc>
        <w:tc>
          <w:tcPr>
            <w:tcW w:w="2452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Zpracování výkazu DPH včetně záznamní povinnosti</w:t>
            </w:r>
          </w:p>
        </w:tc>
        <w:tc>
          <w:tcPr>
            <w:tcW w:w="5173" w:type="dxa"/>
            <w:vAlign w:val="top"/>
          </w:tcPr>
          <w:p w:rsidR="00944B17" w:rsidRPr="0019518F" w:rsidRDefault="00944B17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vytvoření výkazu DPH podle provedeného nastavení.</w:t>
            </w:r>
          </w:p>
        </w:tc>
      </w:tr>
      <w:tr w:rsidR="007E47CC" w:rsidRPr="00444D59" w:rsidTr="00ED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1673" w:type="dxa"/>
            <w:tcBorders>
              <w:bottom w:val="single" w:sz="4" w:space="0" w:color="auto"/>
            </w:tcBorders>
            <w:vAlign w:val="top"/>
          </w:tcPr>
          <w:p w:rsidR="007E47CC" w:rsidRPr="0019518F" w:rsidRDefault="007E47CC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F-FI-UCT-DPH-007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top"/>
          </w:tcPr>
          <w:p w:rsidR="007E47CC" w:rsidRPr="0019518F" w:rsidRDefault="007E47CC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bottom w:val="single" w:sz="4" w:space="0" w:color="auto"/>
            </w:tcBorders>
            <w:vAlign w:val="top"/>
          </w:tcPr>
          <w:p w:rsidR="007E47CC" w:rsidRPr="0019518F" w:rsidRDefault="007E47CC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19518F">
              <w:rPr>
                <w:rFonts w:cs="Arial"/>
                <w:sz w:val="16"/>
                <w:szCs w:val="16"/>
              </w:rPr>
              <w:t>Systém umožní uživateli vytisknutí záznamní povinnosti.</w:t>
            </w:r>
          </w:p>
        </w:tc>
      </w:tr>
      <w:tr w:rsidR="007E47CC" w:rsidRPr="00444D59" w:rsidTr="00ED6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"/>
        </w:trPr>
        <w:tc>
          <w:tcPr>
            <w:tcW w:w="1673" w:type="dxa"/>
            <w:vAlign w:val="top"/>
          </w:tcPr>
          <w:p w:rsidR="007E47CC" w:rsidRPr="0019518F" w:rsidRDefault="007E47CC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7E47CC">
              <w:rPr>
                <w:rFonts w:cs="Arial"/>
                <w:sz w:val="16"/>
                <w:szCs w:val="16"/>
              </w:rPr>
              <w:t>F-FI-UCT-DPH-008</w:t>
            </w:r>
          </w:p>
        </w:tc>
        <w:tc>
          <w:tcPr>
            <w:tcW w:w="2452" w:type="dxa"/>
            <w:vAlign w:val="top"/>
          </w:tcPr>
          <w:p w:rsidR="007E47CC" w:rsidRPr="0019518F" w:rsidRDefault="007E47CC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7E47CC">
              <w:rPr>
                <w:rFonts w:cs="Arial"/>
                <w:sz w:val="16"/>
                <w:szCs w:val="16"/>
              </w:rPr>
              <w:t>Vyrovnání DPH s finančním úřadem - závazek / pohledávka</w:t>
            </w:r>
          </w:p>
        </w:tc>
        <w:tc>
          <w:tcPr>
            <w:tcW w:w="5173" w:type="dxa"/>
            <w:vAlign w:val="top"/>
          </w:tcPr>
          <w:p w:rsidR="007E47CC" w:rsidRPr="0019518F" w:rsidRDefault="007E47CC" w:rsidP="00944B17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7E47CC">
              <w:rPr>
                <w:rFonts w:cs="Arial"/>
                <w:sz w:val="16"/>
                <w:szCs w:val="16"/>
              </w:rPr>
              <w:t>Systém umožní uživateli zaevidování pohledávky / závazku za Finančním úřadem, k vyrovnání DPH.</w:t>
            </w:r>
          </w:p>
        </w:tc>
      </w:tr>
    </w:tbl>
    <w:p w:rsidR="00247618" w:rsidRDefault="00247618" w:rsidP="000013A9"/>
    <w:p w:rsidR="00247618" w:rsidRDefault="00247618">
      <w:pPr>
        <w:spacing w:before="0" w:after="200" w:line="276" w:lineRule="auto"/>
        <w:jc w:val="left"/>
      </w:pPr>
      <w:r>
        <w:br w:type="page"/>
      </w:r>
      <w:bookmarkStart w:id="2" w:name="_GoBack"/>
      <w:bookmarkEnd w:id="2"/>
    </w:p>
    <w:p w:rsidR="00247618" w:rsidRDefault="00247618" w:rsidP="009A0D1C">
      <w:pPr>
        <w:pStyle w:val="Nadpis1"/>
      </w:pPr>
      <w:bookmarkStart w:id="3" w:name="_Toc374093755"/>
      <w:r>
        <w:lastRenderedPageBreak/>
        <w:t>Finanční plánování</w:t>
      </w:r>
      <w:r w:rsidR="00CD28FD">
        <w:t xml:space="preserve"> (FPL)</w:t>
      </w:r>
      <w:bookmarkEnd w:id="3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693"/>
        <w:gridCol w:w="4932"/>
      </w:tblGrid>
      <w:tr w:rsidR="005162FF" w:rsidRPr="00247618" w:rsidTr="00516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5162FF" w:rsidRPr="00247618" w:rsidRDefault="005162FF" w:rsidP="00AB78E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693" w:type="dxa"/>
          </w:tcPr>
          <w:p w:rsidR="005162FF" w:rsidRDefault="005162FF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5162FF" w:rsidRPr="00247618" w:rsidRDefault="005162FF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4932" w:type="dxa"/>
          </w:tcPr>
          <w:p w:rsidR="005162FF" w:rsidRPr="00247618" w:rsidRDefault="005162FF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5162FF" w:rsidRPr="0019518F" w:rsidTr="0051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ZPP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Zdravotně pojistný plán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Procesy popsány v FI-FPL-ZPP, požadavky popsány v FI-FPL</w:t>
            </w:r>
          </w:p>
        </w:tc>
      </w:tr>
      <w:tr w:rsidR="005162FF" w:rsidRPr="0019518F" w:rsidTr="005162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F-FI-FPL-ZPP-001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Import komplexního plánu do systému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Systém umožní uživateli import Souhrnného finančního plánu ZP do ICIS.</w:t>
            </w:r>
          </w:p>
        </w:tc>
      </w:tr>
      <w:tr w:rsidR="005162FF" w:rsidRPr="0019518F" w:rsidTr="0051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F-FI-FPL-ZPP-002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Interní schvalovací proces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 xml:space="preserve">Systém umožní uživateli v rámci interního Workflow schválení, případně úpravu Souhrnného finančního plánu ZP. </w:t>
            </w:r>
          </w:p>
        </w:tc>
      </w:tr>
      <w:tr w:rsidR="005162FF" w:rsidRPr="0019518F" w:rsidTr="005162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VZ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Výroční zpráva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Procesy popsány v FI-FPL-VZ, požadavky popsány v FI-FPL</w:t>
            </w:r>
          </w:p>
        </w:tc>
      </w:tr>
      <w:tr w:rsidR="005162FF" w:rsidRPr="0019518F" w:rsidTr="0051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F-FI-FPL-VZ-001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Získání podkladů z IS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Systém umožní uživateli získání potřebných informací z účetních dat, potřebných k vypracování Výroční zprávy ZP.</w:t>
            </w:r>
          </w:p>
        </w:tc>
      </w:tr>
      <w:tr w:rsidR="005162FF" w:rsidRPr="0019518F" w:rsidTr="005162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ZUC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Základní ukazatele o činnosti ZP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Procesy popsány v FI-FPL-ZUC, požadavky popsány v FI-FPL</w:t>
            </w:r>
          </w:p>
        </w:tc>
      </w:tr>
      <w:tr w:rsidR="005162FF" w:rsidRPr="0019518F" w:rsidTr="0051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F-FI-FPL-ZUC-001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Získání podkladů pro vypracování přehledů ze systému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Systém umožní uživateli získání potřebných informací z účetních dat, potřebných k vypracování přehledů základních ukazatelů činnosti ZP.</w:t>
            </w:r>
          </w:p>
        </w:tc>
      </w:tr>
      <w:tr w:rsidR="005162FF" w:rsidRPr="0019518F" w:rsidTr="005162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PA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Přehledy dle aktuálních požadavků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5162FF">
              <w:rPr>
                <w:b/>
                <w:i/>
                <w:sz w:val="16"/>
                <w:szCs w:val="16"/>
              </w:rPr>
              <w:t>Procesy popsány v FI-FPL-PA, požadavky popsány v FI-FPL</w:t>
            </w:r>
          </w:p>
        </w:tc>
      </w:tr>
      <w:tr w:rsidR="005162FF" w:rsidRPr="0019518F" w:rsidTr="0051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F-FI-FPL-PA-001</w:t>
            </w:r>
          </w:p>
        </w:tc>
        <w:tc>
          <w:tcPr>
            <w:tcW w:w="2693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Podklady pro vypracování rozboru / analýzy ze systému</w:t>
            </w:r>
          </w:p>
        </w:tc>
        <w:tc>
          <w:tcPr>
            <w:tcW w:w="4932" w:type="dxa"/>
            <w:vAlign w:val="top"/>
          </w:tcPr>
          <w:p w:rsidR="005162FF" w:rsidRPr="005162FF" w:rsidRDefault="005162FF" w:rsidP="005162FF">
            <w:pPr>
              <w:spacing w:before="0"/>
              <w:jc w:val="left"/>
              <w:rPr>
                <w:sz w:val="16"/>
                <w:szCs w:val="16"/>
              </w:rPr>
            </w:pPr>
            <w:r w:rsidRPr="005162FF">
              <w:rPr>
                <w:sz w:val="16"/>
                <w:szCs w:val="16"/>
              </w:rPr>
              <w:t>Systém umožní uživateli získání potřebných informací z účetních dat, potřebných k vypracování rozboru / analýzy dle zadaných požadavků.</w:t>
            </w:r>
          </w:p>
        </w:tc>
      </w:tr>
    </w:tbl>
    <w:p w:rsidR="00247618" w:rsidRDefault="00247618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247618" w:rsidRDefault="00B31C44" w:rsidP="00B31C44">
      <w:pPr>
        <w:pStyle w:val="Nadpis1"/>
      </w:pPr>
      <w:bookmarkStart w:id="4" w:name="_Toc374093756"/>
      <w:r>
        <w:lastRenderedPageBreak/>
        <w:t>Majetek</w:t>
      </w:r>
      <w:r w:rsidR="00CD28FD">
        <w:t xml:space="preserve"> (MAJ)</w:t>
      </w:r>
      <w:bookmarkEnd w:id="4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AB78E8" w:rsidRPr="00247618" w:rsidTr="00795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AB78E8" w:rsidRPr="00247618" w:rsidRDefault="00AB78E8" w:rsidP="00AB78E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AB78E8" w:rsidRDefault="00AB78E8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AB78E8" w:rsidRPr="00247618" w:rsidRDefault="00AB78E8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AB78E8" w:rsidRPr="00247618" w:rsidRDefault="00AB78E8" w:rsidP="00AB78E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ZM</w:t>
            </w:r>
          </w:p>
        </w:tc>
        <w:tc>
          <w:tcPr>
            <w:tcW w:w="2551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Zařazení majetku do užívání</w:t>
            </w:r>
          </w:p>
        </w:tc>
        <w:tc>
          <w:tcPr>
            <w:tcW w:w="5074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Procesy popsány v FI-MAJ-ZM, požadavky popsány v FI-MAJ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F-FI-MAJ-ZM-001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Zaevidování karty majetku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nastavení karty majetku v ICIS včetně všech evidenčních údajů.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F-FI-MAJ-ZM-002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Nastavení knih odpisů k majetku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doplnění knih odpisů ke kartě dlouhodobého majetku.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F-FI-MAJ-ZM-003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ke kartě dlouhodobého majetku, specifikovat typ a způsob odepisování.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F-FI-MAJ-ZM-004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Zařazení majetku do evidence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 xml:space="preserve">Systém umožní uživateli zaúčtování zařazení majetku do evidence, tzn. prvního pohybu ke kartě majetku. 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F-FI-MAJ-ZM-005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Vytištění čárového kódu a označení majetku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vytisknutí čárového kódu pro označení majetku.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F-FI-MAJ-ZM-006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označení majetku čárovým kódem.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PSM</w:t>
            </w:r>
          </w:p>
        </w:tc>
        <w:tc>
          <w:tcPr>
            <w:tcW w:w="2551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Pohyby s majetkem</w:t>
            </w:r>
          </w:p>
        </w:tc>
        <w:tc>
          <w:tcPr>
            <w:tcW w:w="5074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Procesy popsány v FI-MAJ-PSM, požadavky popsány v FI-MAJ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F-FI-MAJ-PSM-001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Zhodnocení / Znehodnocení majetku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evidenci pohybů zhodnocení a znehodnocení ke kartám majetku, pokud takový pohyb nastal.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F-FI-MAJ-PSM-002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Přeřazení majetku (středisko/ osoba/ umístění)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evidenci přeřazení majetku na jiné středisko, pokud takové přeřazení nastalo.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F-FI-MAJ-PSM-003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evidenci přeřazení majetku jiné osobě, pokud takové přeřazení nastalo.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F-FI-MAJ-PSM-004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evidenci přeřazení majetku na jiné umístění, pokud takové přeřazení nastalo.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F-FI-MAJ-PSM-005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Periodické odpisy majetku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vygenerování periodických odpisů majetku ke kartám majetku, které podléhají odpisování.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F-FI-MAJ-PSM-006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zaúčtování vygenerovaných odpisů.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F-FI-MAJ-PSM-007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Zaúčtování vyřazení majetku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zaúčtování pohybu vyřazení majetku, pokud došlo ke schválení návrhu na vyřazení daného majetku.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F-FI-MAJ-PSM-008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Protokol o vyřazení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 xml:space="preserve">Systém umožní uživateli v rámci vyřazení majetku vytisknutí Protokolu o vyřazení. 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INV</w:t>
            </w:r>
          </w:p>
        </w:tc>
        <w:tc>
          <w:tcPr>
            <w:tcW w:w="2551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Inventura majetku</w:t>
            </w:r>
          </w:p>
        </w:tc>
        <w:tc>
          <w:tcPr>
            <w:tcW w:w="5074" w:type="dxa"/>
            <w:vAlign w:val="top"/>
          </w:tcPr>
          <w:p w:rsidR="00AB78E8" w:rsidRPr="00795F16" w:rsidRDefault="00AB78E8" w:rsidP="00795F16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795F16">
              <w:rPr>
                <w:rFonts w:cs="Arial"/>
                <w:b/>
                <w:i/>
                <w:sz w:val="16"/>
                <w:szCs w:val="16"/>
              </w:rPr>
              <w:t>Procesy popsány v FI-MAJ-INV, požadavky popsány v FI-MAJ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F-FI-MAJ-INV-001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Podklady k inventuře ze systému - sestava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vytisknutí inventurního soupisu pro možnost provedení fyzické inventury.</w:t>
            </w:r>
          </w:p>
        </w:tc>
      </w:tr>
      <w:tr w:rsidR="00AB78E8" w:rsidRPr="005162FF" w:rsidTr="0079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F-FI-MAJ-INV-002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Protokol o inventarizačních rozdílech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zpracování protokolu o inventarizačních rozdílech (rozdíly mezi účetní evidencí a fyzickým stavem majetku).</w:t>
            </w:r>
          </w:p>
        </w:tc>
      </w:tr>
      <w:tr w:rsidR="00AB78E8" w:rsidRPr="005162FF" w:rsidTr="00795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F-FI-MAJ-INV-003</w:t>
            </w:r>
          </w:p>
        </w:tc>
        <w:tc>
          <w:tcPr>
            <w:tcW w:w="2551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Zaúčtování inventurních rozdílů</w:t>
            </w:r>
          </w:p>
        </w:tc>
        <w:tc>
          <w:tcPr>
            <w:tcW w:w="5074" w:type="dxa"/>
            <w:vAlign w:val="top"/>
          </w:tcPr>
          <w:p w:rsidR="00AB78E8" w:rsidRPr="00AB78E8" w:rsidRDefault="00AB78E8" w:rsidP="00795F16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AB78E8">
              <w:rPr>
                <w:rFonts w:cs="Arial"/>
                <w:sz w:val="16"/>
                <w:szCs w:val="16"/>
              </w:rPr>
              <w:t>Systém umožní uživateli zaúčtování zjištěných inventurních rozdílů.</w:t>
            </w:r>
          </w:p>
        </w:tc>
      </w:tr>
    </w:tbl>
    <w:p w:rsidR="00B31C44" w:rsidRDefault="00B31C44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B31C44" w:rsidP="00B31C44">
      <w:pPr>
        <w:pStyle w:val="Nadpis1"/>
      </w:pPr>
      <w:bookmarkStart w:id="5" w:name="_Toc374093757"/>
      <w:r>
        <w:lastRenderedPageBreak/>
        <w:t>Cenné papíry</w:t>
      </w:r>
      <w:r w:rsidR="00CD28FD">
        <w:t xml:space="preserve"> (CPA)</w:t>
      </w:r>
      <w:bookmarkEnd w:id="5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1F4B7D" w:rsidRPr="00247618" w:rsidTr="00692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1F4B7D" w:rsidRPr="00247618" w:rsidRDefault="001F4B7D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1F4B7D" w:rsidRDefault="001F4B7D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1F4B7D" w:rsidRPr="00247618" w:rsidRDefault="001F4B7D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1F4B7D" w:rsidRPr="00247618" w:rsidRDefault="001F4B7D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1F4B7D" w:rsidRPr="00795F16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1F4B7D">
              <w:rPr>
                <w:b/>
                <w:i/>
                <w:sz w:val="16"/>
                <w:szCs w:val="16"/>
              </w:rPr>
              <w:t>ECP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1F4B7D">
              <w:rPr>
                <w:b/>
                <w:i/>
                <w:sz w:val="16"/>
                <w:szCs w:val="16"/>
              </w:rPr>
              <w:t>Evidence cenných papírů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1F4B7D">
              <w:rPr>
                <w:b/>
                <w:i/>
                <w:sz w:val="16"/>
                <w:szCs w:val="16"/>
              </w:rPr>
              <w:t>Procesy popsány v FI-SCP-ECP, požadavky popsány v FI-CPA</w:t>
            </w:r>
          </w:p>
        </w:tc>
      </w:tr>
      <w:tr w:rsidR="001F4B7D" w:rsidRPr="00AB78E8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F-FI-SCP-ECP-001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Vyčlenění části finančních prostředků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Systém umožní uživateli převedení části volných finančních prostředků na účet Správce portfolia CP.</w:t>
            </w:r>
          </w:p>
        </w:tc>
      </w:tr>
      <w:tr w:rsidR="001F4B7D" w:rsidRPr="00AB78E8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F-FI-SCP-ECP-002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Zaúčtování pohybů s CP (zhodnocení / znehodnocení)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Systém umožní uživateli zaúčtování pohybů s CP - nákup / prodej / zhodnocení / znehodnocení, na základě zaslané Zprávy o stavu portfolia.</w:t>
            </w:r>
          </w:p>
        </w:tc>
      </w:tr>
      <w:tr w:rsidR="001F4B7D" w:rsidRPr="00AB78E8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F-FI-SCP-ECP-003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Zaúčtování poplatků k CP (nákup / prodej / zprostředkování)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Systém umožní uživateli zaúčtování závazků ke Správci portfolia CP, týkajících se poplatků za nákup / prodej / správu CP.</w:t>
            </w:r>
          </w:p>
        </w:tc>
      </w:tr>
      <w:tr w:rsidR="001F4B7D" w:rsidRPr="00AB78E8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1F4B7D">
              <w:rPr>
                <w:b/>
                <w:i/>
                <w:sz w:val="16"/>
                <w:szCs w:val="16"/>
              </w:rPr>
              <w:t>PCP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1F4B7D">
              <w:rPr>
                <w:b/>
                <w:i/>
                <w:sz w:val="16"/>
                <w:szCs w:val="16"/>
              </w:rPr>
              <w:t>Přecenění cenných papírů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1F4B7D">
              <w:rPr>
                <w:b/>
                <w:i/>
                <w:sz w:val="16"/>
                <w:szCs w:val="16"/>
              </w:rPr>
              <w:t>Procesy popsány v FI-SCP-PCP, požadavky popsány v FI-CPA</w:t>
            </w:r>
          </w:p>
        </w:tc>
      </w:tr>
      <w:tr w:rsidR="001F4B7D" w:rsidRPr="00AB78E8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F-FI-SCP-PCP-001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Periodické přecenění CP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Systém umožní uživateli přecenění CP na reálnou hodnotu k datu účetní závěrky, na základě podkladů od Správce portfolia.</w:t>
            </w:r>
          </w:p>
        </w:tc>
      </w:tr>
      <w:tr w:rsidR="001F4B7D" w:rsidRPr="00795F16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F-FI-SCP-PCP-002</w:t>
            </w:r>
          </w:p>
        </w:tc>
        <w:tc>
          <w:tcPr>
            <w:tcW w:w="2551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Tiskové výstupy zaúčtování pohybů s CP</w:t>
            </w:r>
          </w:p>
        </w:tc>
        <w:tc>
          <w:tcPr>
            <w:tcW w:w="5074" w:type="dxa"/>
            <w:vAlign w:val="top"/>
          </w:tcPr>
          <w:p w:rsidR="001F4B7D" w:rsidRPr="001F4B7D" w:rsidRDefault="001F4B7D" w:rsidP="001F4B7D">
            <w:pPr>
              <w:spacing w:before="0"/>
              <w:jc w:val="left"/>
              <w:rPr>
                <w:sz w:val="16"/>
                <w:szCs w:val="16"/>
              </w:rPr>
            </w:pPr>
            <w:r w:rsidRPr="001F4B7D">
              <w:rPr>
                <w:sz w:val="16"/>
                <w:szCs w:val="16"/>
              </w:rPr>
              <w:t>Systém umožní uživateli tisk zaúčtovaných operací provedených s</w:t>
            </w:r>
            <w:r>
              <w:rPr>
                <w:sz w:val="16"/>
                <w:szCs w:val="16"/>
              </w:rPr>
              <w:t> </w:t>
            </w:r>
            <w:r w:rsidRPr="001F4B7D">
              <w:rPr>
                <w:sz w:val="16"/>
                <w:szCs w:val="16"/>
              </w:rPr>
              <w:t>CP v rámci přecenění.</w:t>
            </w:r>
          </w:p>
        </w:tc>
      </w:tr>
    </w:tbl>
    <w:p w:rsidR="00B31C44" w:rsidRDefault="00B31C44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B31C44" w:rsidP="00B31C44">
      <w:pPr>
        <w:pStyle w:val="Nadpis1"/>
      </w:pPr>
      <w:bookmarkStart w:id="6" w:name="_Toc374093758"/>
      <w:r>
        <w:lastRenderedPageBreak/>
        <w:t>Mzdy a personalistika</w:t>
      </w:r>
      <w:r w:rsidR="00CD28FD">
        <w:t xml:space="preserve"> (MAP)</w:t>
      </w:r>
      <w:bookmarkEnd w:id="6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061BCC" w:rsidRPr="00247618" w:rsidTr="00692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061BCC" w:rsidRPr="00247618" w:rsidRDefault="00061BCC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061BCC" w:rsidRDefault="00061BCC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061BCC" w:rsidRPr="00247618" w:rsidRDefault="00061BCC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061BCC" w:rsidRPr="00247618" w:rsidRDefault="00061BCC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061BCC" w:rsidRPr="001F4B7D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1BCC" w:rsidRPr="00061BCC" w:rsidRDefault="00061BCC" w:rsidP="00061BCC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1BCC">
              <w:rPr>
                <w:b/>
                <w:i/>
                <w:sz w:val="16"/>
                <w:szCs w:val="16"/>
              </w:rPr>
              <w:t>MAP</w:t>
            </w:r>
          </w:p>
        </w:tc>
        <w:tc>
          <w:tcPr>
            <w:tcW w:w="2551" w:type="dxa"/>
            <w:vAlign w:val="top"/>
          </w:tcPr>
          <w:p w:rsidR="00061BCC" w:rsidRPr="00061BCC" w:rsidRDefault="00061BCC" w:rsidP="00061BCC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1BCC">
              <w:rPr>
                <w:b/>
                <w:i/>
                <w:sz w:val="16"/>
                <w:szCs w:val="16"/>
              </w:rPr>
              <w:t>M</w:t>
            </w:r>
            <w:r>
              <w:rPr>
                <w:b/>
                <w:i/>
                <w:sz w:val="16"/>
                <w:szCs w:val="16"/>
              </w:rPr>
              <w:t>zdy a personalistika</w:t>
            </w:r>
          </w:p>
        </w:tc>
        <w:tc>
          <w:tcPr>
            <w:tcW w:w="5074" w:type="dxa"/>
            <w:vAlign w:val="top"/>
          </w:tcPr>
          <w:p w:rsidR="00061BCC" w:rsidRPr="00061BCC" w:rsidRDefault="00061BCC" w:rsidP="00061BCC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1BCC">
              <w:rPr>
                <w:b/>
                <w:i/>
                <w:sz w:val="16"/>
                <w:szCs w:val="16"/>
              </w:rPr>
              <w:t>Procesy popsány v FI-MAP, požadavky popsány v FI-MAP</w:t>
            </w:r>
          </w:p>
        </w:tc>
      </w:tr>
      <w:tr w:rsidR="00061BCC" w:rsidRPr="001F4B7D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F-FI-MAP-001</w:t>
            </w:r>
          </w:p>
        </w:tc>
        <w:tc>
          <w:tcPr>
            <w:tcW w:w="2551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Tvorba dat v externím systému mezd (KS systém)</w:t>
            </w:r>
          </w:p>
        </w:tc>
        <w:tc>
          <w:tcPr>
            <w:tcW w:w="5074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V externím systému (KS systém) u</w:t>
            </w:r>
            <w:r>
              <w:rPr>
                <w:sz w:val="16"/>
                <w:szCs w:val="16"/>
              </w:rPr>
              <w:t>živatel vytvoří datový soubor s </w:t>
            </w:r>
            <w:r w:rsidRPr="00061BCC">
              <w:rPr>
                <w:sz w:val="16"/>
                <w:szCs w:val="16"/>
              </w:rPr>
              <w:t>rozpisem mezd.</w:t>
            </w:r>
          </w:p>
        </w:tc>
      </w:tr>
      <w:tr w:rsidR="00061BCC" w:rsidRPr="001F4B7D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F-FI-MAP-002</w:t>
            </w:r>
          </w:p>
        </w:tc>
        <w:tc>
          <w:tcPr>
            <w:tcW w:w="2551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Načtení souboru do účetnictví / rozpad na účty</w:t>
            </w:r>
          </w:p>
        </w:tc>
        <w:tc>
          <w:tcPr>
            <w:tcW w:w="5074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Systém umožní uživateli načtení vytvořeného datového soub</w:t>
            </w:r>
            <w:r>
              <w:rPr>
                <w:sz w:val="16"/>
                <w:szCs w:val="16"/>
              </w:rPr>
              <w:t>oru s </w:t>
            </w:r>
            <w:r w:rsidRPr="00061BCC">
              <w:rPr>
                <w:sz w:val="16"/>
                <w:szCs w:val="16"/>
              </w:rPr>
              <w:t>rozpisem mezd do evidence v ICIS.</w:t>
            </w:r>
          </w:p>
        </w:tc>
      </w:tr>
      <w:tr w:rsidR="00061BCC" w:rsidRPr="001F4B7D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F-FI-MAP-003</w:t>
            </w:r>
          </w:p>
        </w:tc>
        <w:tc>
          <w:tcPr>
            <w:tcW w:w="2551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Tisk kontrolních sestav</w:t>
            </w:r>
          </w:p>
        </w:tc>
        <w:tc>
          <w:tcPr>
            <w:tcW w:w="5074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Systém umožní uživateli tisk kontrolních sestav pro odsouhlasení mzdového a účetního systému.</w:t>
            </w:r>
          </w:p>
        </w:tc>
      </w:tr>
      <w:tr w:rsidR="00061BCC" w:rsidRPr="001F4B7D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F-FI-MAP-004</w:t>
            </w:r>
          </w:p>
        </w:tc>
        <w:tc>
          <w:tcPr>
            <w:tcW w:w="2551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Provedení korekce</w:t>
            </w:r>
          </w:p>
        </w:tc>
        <w:tc>
          <w:tcPr>
            <w:tcW w:w="5074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Systém umožní uživateli provedení korekce načtených dat v případě nalezení rozdílů.</w:t>
            </w:r>
          </w:p>
        </w:tc>
      </w:tr>
      <w:tr w:rsidR="00061BCC" w:rsidRPr="001F4B7D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F-FI-MAP-005</w:t>
            </w:r>
          </w:p>
        </w:tc>
        <w:tc>
          <w:tcPr>
            <w:tcW w:w="2551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Zaúčtování předpisů mezd</w:t>
            </w:r>
          </w:p>
        </w:tc>
        <w:tc>
          <w:tcPr>
            <w:tcW w:w="5074" w:type="dxa"/>
            <w:vAlign w:val="top"/>
          </w:tcPr>
          <w:p w:rsidR="00061BCC" w:rsidRPr="00061BCC" w:rsidRDefault="00061BCC" w:rsidP="00061BCC">
            <w:pPr>
              <w:spacing w:before="0"/>
              <w:jc w:val="left"/>
              <w:rPr>
                <w:sz w:val="16"/>
                <w:szCs w:val="16"/>
              </w:rPr>
            </w:pPr>
            <w:r w:rsidRPr="00061BCC">
              <w:rPr>
                <w:sz w:val="16"/>
                <w:szCs w:val="16"/>
              </w:rPr>
              <w:t>Systém umožní uživateli zaúčtování načteného rozpisu mezd do hlavní knihy.</w:t>
            </w:r>
          </w:p>
        </w:tc>
      </w:tr>
    </w:tbl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B31C44" w:rsidP="00B31C44">
      <w:pPr>
        <w:pStyle w:val="Nadpis1"/>
      </w:pPr>
      <w:bookmarkStart w:id="7" w:name="_Toc374093759"/>
      <w:r>
        <w:lastRenderedPageBreak/>
        <w:t>Banka</w:t>
      </w:r>
      <w:r w:rsidR="00CD28FD">
        <w:t xml:space="preserve"> (BAN)</w:t>
      </w:r>
      <w:bookmarkEnd w:id="7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8515D4" w:rsidRPr="00247618" w:rsidTr="00851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8515D4" w:rsidRPr="00247618" w:rsidRDefault="008515D4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8515D4" w:rsidRDefault="008515D4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8515D4" w:rsidRPr="00247618" w:rsidRDefault="008515D4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8515D4" w:rsidRPr="00247618" w:rsidRDefault="008515D4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BP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Tvorba bankovních příkazů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FI-BAN-BP,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Návrh úhrady závazků / tvorba bankovního příkazu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automatický návrh položek do bankovního příkazu dle zadaných kritérií.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ruční doplnění položek do bankovního příkazu.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úpravy automaticky n</w:t>
            </w:r>
            <w:r>
              <w:rPr>
                <w:rFonts w:cs="Arial"/>
                <w:sz w:val="16"/>
                <w:szCs w:val="16"/>
              </w:rPr>
              <w:t>a</w:t>
            </w:r>
            <w:r w:rsidRPr="008515D4">
              <w:rPr>
                <w:rFonts w:cs="Arial"/>
                <w:sz w:val="16"/>
                <w:szCs w:val="16"/>
              </w:rPr>
              <w:t>vržených položek v bankovním příkazu.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Odeslání platebního příkazu do banky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vytvoření datového souboru - bankovního příkazu.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F-FI-BAN-BP-005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odeslání datového souboru (bankovního příkazu) do elektronického bankovnictví.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F-FI-BAN-BP-006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Tisk protokolu k odeslanému souboru - bankovnímu příkazu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tisk protokolu o odeslání datového souboru - bankovního příkazu.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F-FI-BAN-BP-007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Tisk protokolu o přijetí příkazu v bance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tisk protokolu o přijetí zaslaného příkazu bankou.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BV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Zpracování bankovních výpisů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FI-BAN-BV,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Načtení / ruční pořízení elektron</w:t>
            </w:r>
            <w:r>
              <w:rPr>
                <w:rFonts w:cs="Arial"/>
                <w:sz w:val="16"/>
                <w:szCs w:val="16"/>
              </w:rPr>
              <w:t>ického</w:t>
            </w:r>
            <w:r w:rsidRPr="008515D4">
              <w:rPr>
                <w:rFonts w:cs="Arial"/>
                <w:sz w:val="16"/>
                <w:szCs w:val="16"/>
              </w:rPr>
              <w:t xml:space="preserve"> výpisu z banky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načtení datového souboru bankovního výpisu do ICIS.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ruční pořízení bankovního výpisu do ICIS.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Archivace bankovního výpisu 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archivaci načteného výpisu, pro možnost následného dohledání atributů platby.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Prohlížení záznamů - bankovní prohlížeč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zpětné do</w:t>
            </w:r>
            <w:r>
              <w:rPr>
                <w:rFonts w:cs="Arial"/>
                <w:sz w:val="16"/>
                <w:szCs w:val="16"/>
              </w:rPr>
              <w:t>hledání a identifikaci plateb v </w:t>
            </w:r>
            <w:r w:rsidRPr="008515D4">
              <w:rPr>
                <w:rFonts w:cs="Arial"/>
                <w:sz w:val="16"/>
                <w:szCs w:val="16"/>
              </w:rPr>
              <w:t>archivovaných bankovních výpisech.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F-FI-BAN-BV-005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Automatické párování položek bankovního výpisu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automatické párování položek výpisu dle zadaných kritérií.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F-FI-BAN-BV-006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2056B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Dohledání nespárov</w:t>
            </w:r>
            <w:r w:rsidR="002056BD">
              <w:rPr>
                <w:rFonts w:cs="Arial"/>
                <w:sz w:val="16"/>
                <w:szCs w:val="16"/>
              </w:rPr>
              <w:t>aných</w:t>
            </w:r>
            <w:r w:rsidRPr="008515D4">
              <w:rPr>
                <w:rFonts w:cs="Arial"/>
                <w:sz w:val="16"/>
                <w:szCs w:val="16"/>
              </w:rPr>
              <w:t xml:space="preserve"> položek - ruční párování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2056B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ruční </w:t>
            </w:r>
            <w:r w:rsidR="002056BD">
              <w:rPr>
                <w:rFonts w:cs="Arial"/>
                <w:sz w:val="16"/>
                <w:szCs w:val="16"/>
              </w:rPr>
              <w:t>s</w:t>
            </w:r>
            <w:r w:rsidRPr="008515D4">
              <w:rPr>
                <w:rFonts w:cs="Arial"/>
                <w:sz w:val="16"/>
                <w:szCs w:val="16"/>
              </w:rPr>
              <w:t>párování zbylých (nespárovaných) položek výpisu.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F-FI-BAN-BV-007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2056B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ruční </w:t>
            </w:r>
            <w:r w:rsidR="002056BD">
              <w:rPr>
                <w:rFonts w:cs="Arial"/>
                <w:sz w:val="16"/>
                <w:szCs w:val="16"/>
              </w:rPr>
              <w:t>sp</w:t>
            </w:r>
            <w:r w:rsidRPr="008515D4">
              <w:rPr>
                <w:rFonts w:cs="Arial"/>
                <w:sz w:val="16"/>
                <w:szCs w:val="16"/>
              </w:rPr>
              <w:t>árování zbylých (nespárovaných) položek výpisu na neznámého plátce.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F-FI-BAN-BV-008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Tisk průvodky bankovního výpisu - podle typu platby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vytisknutí průvodky bankovního výpisu s</w:t>
            </w:r>
            <w:r>
              <w:rPr>
                <w:rFonts w:cs="Arial"/>
                <w:sz w:val="16"/>
                <w:szCs w:val="16"/>
              </w:rPr>
              <w:t> </w:t>
            </w:r>
            <w:r w:rsidRPr="008515D4">
              <w:rPr>
                <w:rFonts w:cs="Arial"/>
                <w:sz w:val="16"/>
                <w:szCs w:val="16"/>
              </w:rPr>
              <w:t>členěním položek dle typu platby.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F-FI-BAN-BV-009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Zaúčtování bankovního výpisu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zaúčtování </w:t>
            </w:r>
            <w:r>
              <w:rPr>
                <w:rFonts w:cs="Arial"/>
                <w:sz w:val="16"/>
                <w:szCs w:val="16"/>
              </w:rPr>
              <w:t>s</w:t>
            </w:r>
            <w:r w:rsidRPr="008515D4">
              <w:rPr>
                <w:rFonts w:cs="Arial"/>
                <w:sz w:val="16"/>
                <w:szCs w:val="16"/>
              </w:rPr>
              <w:t>párovaných položek bankovního výpisu.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F-FI-BAN-BV-010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Tisk zaúčtování výpisu podle typu platby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vytisknutí zaúčtování </w:t>
            </w:r>
            <w:r>
              <w:rPr>
                <w:rFonts w:cs="Arial"/>
                <w:sz w:val="16"/>
                <w:szCs w:val="16"/>
              </w:rPr>
              <w:t>s</w:t>
            </w:r>
            <w:r w:rsidRPr="008515D4">
              <w:rPr>
                <w:rFonts w:cs="Arial"/>
                <w:sz w:val="16"/>
                <w:szCs w:val="16"/>
              </w:rPr>
              <w:t>párování bankovního výpisu s členěním položek dle typu platby.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VAK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Zpracování úhrad složenkami - VAKUS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FI-BAN-VAK, požadavky popsány v FI-BAN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F-FI-BAN-VAK-001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Položka na bank</w:t>
            </w:r>
            <w:r>
              <w:rPr>
                <w:rFonts w:cs="Arial"/>
                <w:sz w:val="16"/>
                <w:szCs w:val="16"/>
              </w:rPr>
              <w:t xml:space="preserve">ovním </w:t>
            </w:r>
            <w:r w:rsidRPr="008515D4">
              <w:rPr>
                <w:rFonts w:cs="Arial"/>
                <w:sz w:val="16"/>
                <w:szCs w:val="16"/>
              </w:rPr>
              <w:t xml:space="preserve">výpise - platba v rámci VAKUS 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zaúčtování položky bankovního výpisu na partnera "VAKUS".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F-FI-BAN-VAK-002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Načtení soupisky plateb z VAKUS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načtení zaslané soupisky s rozpadem plateb z VAKUS.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F-FI-BAN-VAK-003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Rozpad hromadné položky na jednotlivé platby dle soupisky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rozúčtování platby partnera "VAKUS" na jednotlivé dílčí platby dle soupisky.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F-FI-BAN-VAK-004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Standardní zpracování v</w:t>
            </w:r>
            <w:r w:rsidR="002056BD">
              <w:rPr>
                <w:rFonts w:cs="Arial"/>
                <w:sz w:val="16"/>
                <w:szCs w:val="16"/>
              </w:rPr>
              <w:t xml:space="preserve"> </w:t>
            </w:r>
            <w:r w:rsidRPr="008515D4">
              <w:rPr>
                <w:rFonts w:cs="Arial"/>
                <w:sz w:val="16"/>
                <w:szCs w:val="16"/>
              </w:rPr>
              <w:t>rámci bankovního výpisu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standardní zpracování plateb z bankovního výpisu.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lastRenderedPageBreak/>
              <w:t>HP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Zpracování hotovostních plateb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FI-BAN-HP,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F-FI-BAN-HP-001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Vytvoření soup</w:t>
            </w:r>
            <w:r>
              <w:rPr>
                <w:rFonts w:cs="Arial"/>
                <w:sz w:val="16"/>
                <w:szCs w:val="16"/>
              </w:rPr>
              <w:t>isu</w:t>
            </w:r>
            <w:r w:rsidRPr="008515D4">
              <w:rPr>
                <w:rFonts w:cs="Arial"/>
                <w:sz w:val="16"/>
                <w:szCs w:val="16"/>
              </w:rPr>
              <w:t xml:space="preserve"> osob pro hotov</w:t>
            </w:r>
            <w:r>
              <w:rPr>
                <w:rFonts w:cs="Arial"/>
                <w:sz w:val="16"/>
                <w:szCs w:val="16"/>
              </w:rPr>
              <w:t>ostní</w:t>
            </w:r>
            <w:r w:rsidRPr="008515D4">
              <w:rPr>
                <w:rFonts w:cs="Arial"/>
                <w:sz w:val="16"/>
                <w:szCs w:val="16"/>
              </w:rPr>
              <w:t xml:space="preserve"> platby dle údajů z výd</w:t>
            </w:r>
            <w:r>
              <w:rPr>
                <w:rFonts w:cs="Arial"/>
                <w:sz w:val="16"/>
                <w:szCs w:val="16"/>
              </w:rPr>
              <w:t>ajové</w:t>
            </w:r>
            <w:r w:rsidRPr="008515D4">
              <w:rPr>
                <w:rFonts w:cs="Arial"/>
                <w:sz w:val="16"/>
                <w:szCs w:val="16"/>
              </w:rPr>
              <w:t xml:space="preserve"> části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vytvoření soupisky osob pro hotovostní platby, na základě údajů převzatých z výdajové části.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F-FI-BAN-HP-002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Hromadná hotovost</w:t>
            </w:r>
            <w:r>
              <w:rPr>
                <w:rFonts w:cs="Arial"/>
                <w:sz w:val="16"/>
                <w:szCs w:val="16"/>
              </w:rPr>
              <w:t>ní</w:t>
            </w:r>
            <w:r w:rsidRPr="008515D4">
              <w:rPr>
                <w:rFonts w:cs="Arial"/>
                <w:sz w:val="16"/>
                <w:szCs w:val="16"/>
              </w:rPr>
              <w:t xml:space="preserve"> platba včetně poplatků - příkaz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provedení hromadné hotovostní platby (dle soupisky) v rámci standardního bankovního příkazu.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F-FI-BAN-HP-003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úhradu poplatků za provedené hotovostní platby v rámci standardního bankovního příkazu.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F-FI-BAN-HP-004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Odeslání bankovního příkazu a předání soupisky osob bance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export bankovního příkazu pro provedení hotovostních plateb.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F-FI-BAN-HP-005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předání soupisky bance pro provedení hotovostních plateb.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VHP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Vratky hotovostních plateb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FI-BAN-VHP,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F-FI-BAN-VHP-001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Import souboru z banky - nedoručené hotovostní platby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import souboru nedoručených hotovostních plateb z banky.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F-FI-BAN-VHP-002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Změna způsobu úhrady u položek předpisů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změnit způsob úhrady položek předpisů hotovostních plateb při nedoručení, pro možnost opakované výplaty hotovostní platby.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F-FI-BAN-VHP-003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2056B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Párování nedoruč</w:t>
            </w:r>
            <w:r w:rsidR="002056BD">
              <w:rPr>
                <w:rFonts w:cs="Arial"/>
                <w:sz w:val="16"/>
                <w:szCs w:val="16"/>
              </w:rPr>
              <w:t>ených</w:t>
            </w:r>
            <w:r w:rsidRPr="008515D4">
              <w:rPr>
                <w:rFonts w:cs="Arial"/>
                <w:sz w:val="16"/>
                <w:szCs w:val="16"/>
              </w:rPr>
              <w:t xml:space="preserve"> plate</w:t>
            </w:r>
            <w:r w:rsidR="002056BD">
              <w:rPr>
                <w:rFonts w:cs="Arial"/>
                <w:sz w:val="16"/>
                <w:szCs w:val="16"/>
              </w:rPr>
              <w:t>b a </w:t>
            </w:r>
            <w:r w:rsidRPr="008515D4">
              <w:rPr>
                <w:rFonts w:cs="Arial"/>
                <w:sz w:val="16"/>
                <w:szCs w:val="16"/>
              </w:rPr>
              <w:t>zrušení proplacení závazků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párování nedoručených hotovostních plateb a zrušení proplacení závazků.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SEK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Zpracování šeků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FI-BAN-SEK,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F-FI-BAN-SEK-001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Návrh z produktové části - výplata šekem (včetně oprav)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návrh seznamu osob (soupisky) pro výplatu šeků ve výdajové části.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F-FI-BAN-SEK-002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Soubor z produktové části - soupis osob pro výplatu šeků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vytvoření soupisky osob pro výplatu šeků, na základě údajů převzatých z výdajové části.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F-FI-BAN-SEK-003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Bankovní příkaz pro výplatu šeků včetně poplatků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provedení hromadné platby pro výplatu šeků (dle soupisky) v rámci standardního bankovního příkazu.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F-FI-BAN-SEK-004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provedení platby poplatků za vyplacené šeky (dle soupisky) v rámci standardního bankovního příkazu.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F-FI-BAN-SEK-005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Export hromadného příkazu a soupisky osob - šeky 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export hromadného bankovního příkazu pro výplatu šeků.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F-FI-BAN-SEK-006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předání soupisky osob bance pro výplatu šeků.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VS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Vratky šeků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FI-BAN-VS, požadavky popsány v FI-BAN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F-FI-BAN-VS-001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Import souboru z banky - nevyzvednuté šeky - vratky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import souboru nevyzvednutých šeků (vratek) z banky.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F-FI-BAN-VS-002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Změna způsobu úhrady u položek předpisů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změnu způsobu úhrady položek šeků při nevyzvednutí klientem, pro možnost opakované výplaty šeků.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F-FI-BAN-VS-003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Párování nedoruč</w:t>
            </w:r>
            <w:r>
              <w:rPr>
                <w:rFonts w:cs="Arial"/>
                <w:sz w:val="16"/>
                <w:szCs w:val="16"/>
              </w:rPr>
              <w:t>itelných</w:t>
            </w:r>
            <w:r w:rsidRPr="008515D4">
              <w:rPr>
                <w:rFonts w:cs="Arial"/>
                <w:sz w:val="16"/>
                <w:szCs w:val="16"/>
              </w:rPr>
              <w:t xml:space="preserve"> šeků a</w:t>
            </w:r>
            <w:r>
              <w:rPr>
                <w:rFonts w:cs="Arial"/>
                <w:sz w:val="16"/>
                <w:szCs w:val="16"/>
              </w:rPr>
              <w:t> </w:t>
            </w:r>
            <w:r w:rsidRPr="008515D4">
              <w:rPr>
                <w:rFonts w:cs="Arial"/>
                <w:sz w:val="16"/>
                <w:szCs w:val="16"/>
              </w:rPr>
              <w:t>zrušení proplacení závazků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párování nedoručených šeků.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F-FI-BAN-VS-004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zrušení proplacení závazků v případě nevyzvednutých šeků.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IP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Interní převody finančních prostředků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FI-BAN-IP,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F-FI-BAN-IP-001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Schválení záměru převedení finančních prostředků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schválení převodu finančních prostředků mezi vlastními bankovními účty a fondy.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F-FI-BAN-IP-002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2056B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Vytvoření závazku k převáděným fin</w:t>
            </w:r>
            <w:r w:rsidR="002056BD">
              <w:rPr>
                <w:rFonts w:cs="Arial"/>
                <w:sz w:val="16"/>
                <w:szCs w:val="16"/>
              </w:rPr>
              <w:t>ančním</w:t>
            </w:r>
            <w:r w:rsidRPr="008515D4">
              <w:rPr>
                <w:rFonts w:cs="Arial"/>
                <w:sz w:val="16"/>
                <w:szCs w:val="16"/>
              </w:rPr>
              <w:t xml:space="preserve"> prostředkům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zaúčtování závazku, vytvořeného k převáděným finančním prostředkům mezi bankami a fondy. 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F-FI-BAN-IP-003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Spárování závazku v rámci </w:t>
            </w:r>
            <w:r w:rsidRPr="008515D4">
              <w:rPr>
                <w:rFonts w:cs="Arial"/>
                <w:sz w:val="16"/>
                <w:szCs w:val="16"/>
              </w:rPr>
              <w:lastRenderedPageBreak/>
              <w:t>bankovních operací - příkaz/výpis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lastRenderedPageBreak/>
              <w:t xml:space="preserve">Systém umožní uživateli vyrovnání závazku v rámci standardních </w:t>
            </w:r>
            <w:r w:rsidRPr="008515D4">
              <w:rPr>
                <w:rFonts w:cs="Arial"/>
                <w:sz w:val="16"/>
                <w:szCs w:val="16"/>
              </w:rPr>
              <w:lastRenderedPageBreak/>
              <w:t>bankovních operací - příkaz / výpis.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lastRenderedPageBreak/>
              <w:t>OPZ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Opravy plateb po zaúčtování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FI-BAN-OPZ,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F-FI-BAN-OPZ-001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Zjištění chybného přiřazení/identifikace neznámé platby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2056B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zjištění špatného </w:t>
            </w:r>
            <w:r w:rsidR="002056BD">
              <w:rPr>
                <w:rFonts w:cs="Arial"/>
                <w:sz w:val="16"/>
                <w:szCs w:val="16"/>
              </w:rPr>
              <w:t>s</w:t>
            </w:r>
            <w:r w:rsidRPr="008515D4">
              <w:rPr>
                <w:rFonts w:cs="Arial"/>
                <w:sz w:val="16"/>
                <w:szCs w:val="16"/>
              </w:rPr>
              <w:t>párování úhrady.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F-FI-BAN-OPZ-002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identifikaci neznámé platby.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F-FI-BAN-OPZ-003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Kontrola atributů platby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 xml:space="preserve">Systém umožní uživateli kontrolu veškerých atributů platby v archivovaných bankovních výpisech. 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F-FI-BAN-OPZ-004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Dohledání relevantního předpisu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dohledání správného předpisu pro opravné spárování.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F-FI-BAN-OPZ-005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Přeúčtování platby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zaúčtování nového přiřazení identifikované platby.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F-FI-BAN-OPZ-006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Tisk měsíčního protokolu změn ZFZP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vytvoření a tisk výkazu provedených změn plateb za dané období.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ZFP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Zhodnocování finančních prostředků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8515D4">
              <w:rPr>
                <w:rFonts w:cs="Arial"/>
                <w:b/>
                <w:i/>
                <w:sz w:val="16"/>
                <w:szCs w:val="16"/>
              </w:rPr>
              <w:t>Procesy popsány v FI-BAN-ZFP, požadavky popsány v FI-BAN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F-FI-BAN-ZFP-001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Podpůrné funkce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zjistit, stav dočasně volných finančních prostředků ZP.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F-FI-BAN-ZFP-002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DD034F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Realizace zhodnocení</w:t>
            </w:r>
            <w:r w:rsidR="00DD034F">
              <w:rPr>
                <w:rFonts w:cs="Arial"/>
                <w:sz w:val="16"/>
                <w:szCs w:val="16"/>
              </w:rPr>
              <w:t xml:space="preserve"> </w:t>
            </w:r>
            <w:r w:rsidRPr="008515D4">
              <w:rPr>
                <w:rFonts w:cs="Arial"/>
                <w:sz w:val="16"/>
                <w:szCs w:val="16"/>
              </w:rPr>
              <w:t>-převedení fin</w:t>
            </w:r>
            <w:r w:rsidR="00DD034F">
              <w:rPr>
                <w:rFonts w:cs="Arial"/>
                <w:sz w:val="16"/>
                <w:szCs w:val="16"/>
              </w:rPr>
              <w:t>ančních</w:t>
            </w:r>
            <w:r w:rsidRPr="008515D4">
              <w:rPr>
                <w:rFonts w:cs="Arial"/>
                <w:sz w:val="16"/>
                <w:szCs w:val="16"/>
              </w:rPr>
              <w:t xml:space="preserve"> prostředků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převedení volných finančních prostředků sjednanému subjektu k vyššímu zhodnocení (v rámci standardních bankovních operací - příkaz / výpis).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DD034F" w:rsidRDefault="008515D4" w:rsidP="00DD034F">
            <w:pPr>
              <w:spacing w:before="0"/>
              <w:jc w:val="right"/>
              <w:rPr>
                <w:rFonts w:cs="Arial"/>
                <w:b/>
                <w:sz w:val="16"/>
                <w:szCs w:val="16"/>
              </w:rPr>
            </w:pPr>
            <w:r w:rsidRPr="00DD034F">
              <w:rPr>
                <w:rFonts w:cs="Arial"/>
                <w:b/>
                <w:sz w:val="16"/>
                <w:szCs w:val="16"/>
              </w:rPr>
              <w:t>PRP</w:t>
            </w:r>
          </w:p>
        </w:tc>
        <w:tc>
          <w:tcPr>
            <w:tcW w:w="2551" w:type="dxa"/>
            <w:vAlign w:val="top"/>
          </w:tcPr>
          <w:p w:rsidR="008515D4" w:rsidRPr="00DD034F" w:rsidRDefault="008515D4" w:rsidP="00DD034F">
            <w:pPr>
              <w:spacing w:before="0"/>
              <w:jc w:val="right"/>
              <w:rPr>
                <w:rFonts w:cs="Arial"/>
                <w:b/>
                <w:sz w:val="16"/>
                <w:szCs w:val="16"/>
              </w:rPr>
            </w:pPr>
            <w:r w:rsidRPr="00DD034F">
              <w:rPr>
                <w:rFonts w:cs="Arial"/>
                <w:b/>
                <w:sz w:val="16"/>
                <w:szCs w:val="16"/>
              </w:rPr>
              <w:t>Přerozdělování</w:t>
            </w:r>
          </w:p>
        </w:tc>
        <w:tc>
          <w:tcPr>
            <w:tcW w:w="5074" w:type="dxa"/>
            <w:vAlign w:val="top"/>
          </w:tcPr>
          <w:p w:rsidR="008515D4" w:rsidRPr="00DD034F" w:rsidRDefault="008515D4" w:rsidP="00DD034F">
            <w:pPr>
              <w:spacing w:before="0"/>
              <w:jc w:val="right"/>
              <w:rPr>
                <w:rFonts w:cs="Arial"/>
                <w:b/>
                <w:sz w:val="16"/>
                <w:szCs w:val="16"/>
              </w:rPr>
            </w:pPr>
            <w:r w:rsidRPr="00DD034F">
              <w:rPr>
                <w:rFonts w:cs="Arial"/>
                <w:b/>
                <w:sz w:val="16"/>
                <w:szCs w:val="16"/>
              </w:rPr>
              <w:t>Procesy popsány v FI-BAN-PRP, požadavky popsány v FI-BAN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F-FI-BAN-PRP-001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Vyčíslit hodnotu přijatého pojistného na BÚ a POKL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vyčíslení hodnoty přijatých úhrad pojistného za dané období.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F-FI-BAN-PRP-002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Vyčíslení hodnoty vratek pojistného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vyčíslení hodnoty vratek pojistného za dané období.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F-FI-BAN-PRP-003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Vyčíslení hodnoty měsíčních změn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vyčíslení hodnoty provedených změn úhrad za dané období.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F-FI-BAN-PRP-004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Podpůrné funkce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zpracování Hlášení ZP o přerozdělování s VZP.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F-FI-BAN-PRP-005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Vystavení interního dokladu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zaevidování pohledávky / závazku vůči VZP z titulu přerozdělování, na základě obdrženého protokolu o přerozdělování.</w:t>
            </w:r>
          </w:p>
        </w:tc>
      </w:tr>
      <w:tr w:rsidR="008515D4" w:rsidRPr="001F4B7D" w:rsidTr="0085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F-FI-BAN-PRP-006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Zaúčtování pohledávky nebo závazku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zaúčtování zaevidované pohledávky / závazku.</w:t>
            </w:r>
          </w:p>
        </w:tc>
      </w:tr>
      <w:tr w:rsidR="008515D4" w:rsidRPr="001F4B7D" w:rsidTr="008515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F-FI-BAN-PRP-007</w:t>
            </w:r>
          </w:p>
        </w:tc>
        <w:tc>
          <w:tcPr>
            <w:tcW w:w="2551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Podpůrné funkce</w:t>
            </w:r>
          </w:p>
        </w:tc>
        <w:tc>
          <w:tcPr>
            <w:tcW w:w="5074" w:type="dxa"/>
            <w:vAlign w:val="top"/>
          </w:tcPr>
          <w:p w:rsidR="008515D4" w:rsidRPr="008515D4" w:rsidRDefault="008515D4" w:rsidP="008515D4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515D4">
              <w:rPr>
                <w:rFonts w:cs="Arial"/>
                <w:sz w:val="16"/>
                <w:szCs w:val="16"/>
              </w:rPr>
              <w:t>Systém umožní uživateli úhrada závazku / pohledávky v rámci standardních bankovních operací.</w:t>
            </w:r>
          </w:p>
        </w:tc>
      </w:tr>
    </w:tbl>
    <w:p w:rsidR="008515D4" w:rsidRPr="008515D4" w:rsidRDefault="008515D4" w:rsidP="008515D4"/>
    <w:p w:rsidR="00C80090" w:rsidRDefault="00C80090" w:rsidP="00CD28FD">
      <w:pPr>
        <w:pStyle w:val="Nadpis1"/>
      </w:pPr>
      <w:bookmarkStart w:id="8" w:name="_Toc374093760"/>
      <w:r>
        <w:lastRenderedPageBreak/>
        <w:t>Pokladny</w:t>
      </w:r>
      <w:r w:rsidR="00EE1F81">
        <w:t xml:space="preserve"> (POK)</w:t>
      </w:r>
      <w:bookmarkEnd w:id="8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0651E4" w:rsidRPr="00247618" w:rsidTr="00692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0651E4" w:rsidRPr="00247618" w:rsidRDefault="000651E4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0651E4" w:rsidRDefault="000651E4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0651E4" w:rsidRPr="00247618" w:rsidRDefault="000651E4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0651E4" w:rsidRPr="00247618" w:rsidRDefault="000651E4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HPO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Hlavní pokladna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Procesy popsány v FI-POK-HPO, požadavky popsány v FI-POK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F-FI-POK-HPO-001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Dohledání předpisu a přiřazení platby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dohledání </w:t>
            </w:r>
            <w:r>
              <w:rPr>
                <w:sz w:val="16"/>
                <w:szCs w:val="16"/>
              </w:rPr>
              <w:t>a přiřazení platby v pokladně k </w:t>
            </w:r>
            <w:r w:rsidRPr="000651E4">
              <w:rPr>
                <w:sz w:val="16"/>
                <w:szCs w:val="16"/>
              </w:rPr>
              <w:t>relevantnímu předpisu.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F-FI-POK-HPO-002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Přiřazení platby pouze klientovi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dohledání a přiřazení platby v pokladn</w:t>
            </w:r>
            <w:r>
              <w:rPr>
                <w:sz w:val="16"/>
                <w:szCs w:val="16"/>
              </w:rPr>
              <w:t>ě k </w:t>
            </w:r>
            <w:r w:rsidRPr="000651E4">
              <w:rPr>
                <w:sz w:val="16"/>
                <w:szCs w:val="16"/>
              </w:rPr>
              <w:t>příslušnému subjektu.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F-FI-POK-HPO-003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Vystavení příjmového pokladního dokladu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vystavení příjmového pokladního dokladu k</w:t>
            </w:r>
            <w:r>
              <w:rPr>
                <w:sz w:val="16"/>
                <w:szCs w:val="16"/>
              </w:rPr>
              <w:t> </w:t>
            </w:r>
            <w:r w:rsidRPr="000651E4">
              <w:rPr>
                <w:sz w:val="16"/>
                <w:szCs w:val="16"/>
              </w:rPr>
              <w:t>úhradě.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F-FI-POK-HPO-004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tisk </w:t>
            </w:r>
            <w:r>
              <w:rPr>
                <w:sz w:val="16"/>
                <w:szCs w:val="16"/>
              </w:rPr>
              <w:t>příjmového pokladního dokladu k </w:t>
            </w:r>
            <w:r w:rsidRPr="000651E4">
              <w:rPr>
                <w:sz w:val="16"/>
                <w:szCs w:val="16"/>
              </w:rPr>
              <w:t>úhradě.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F-FI-POK-HPO-005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Vystavení dokladu z platebního terminálu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vystavení </w:t>
            </w:r>
            <w:r>
              <w:rPr>
                <w:sz w:val="16"/>
                <w:szCs w:val="16"/>
              </w:rPr>
              <w:t>příjmového pokladního dokladu z </w:t>
            </w:r>
            <w:r w:rsidRPr="000651E4">
              <w:rPr>
                <w:sz w:val="16"/>
                <w:szCs w:val="16"/>
              </w:rPr>
              <w:t>platebního terminálu při úhradě provedené kartou.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F-FI-POK-HPO-006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tisk </w:t>
            </w:r>
            <w:r>
              <w:rPr>
                <w:sz w:val="16"/>
                <w:szCs w:val="16"/>
              </w:rPr>
              <w:t>příjmového pokladního dokladu z </w:t>
            </w:r>
            <w:r w:rsidRPr="000651E4">
              <w:rPr>
                <w:sz w:val="16"/>
                <w:szCs w:val="16"/>
              </w:rPr>
              <w:t>platebního terminálu při úhradě provedené kartou.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F-FI-POK-HPO-007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Zpracování bankovního výpisu plateb kartou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zaúčtování plateb kartou, provedených na pokladně, v rámci standardních bankovních operací.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F-FI-POK-HPO-008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Dávkové zaúčtování pokladních dokladů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dávkové zaúčtování vystavených pokladních dokladů odpovědnou osobou.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PPO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Provozní pokladna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Procesy popsány v FI-POK-PPO, požadavky popsány v FI-POK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F-FI-POK-PPO-001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Vytvoření a tisk výdajového pokladního dokladu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pořízení </w:t>
            </w:r>
            <w:r>
              <w:rPr>
                <w:sz w:val="16"/>
                <w:szCs w:val="16"/>
              </w:rPr>
              <w:t>výdajového pokladního dokladu v </w:t>
            </w:r>
            <w:r w:rsidRPr="000651E4">
              <w:rPr>
                <w:sz w:val="16"/>
                <w:szCs w:val="16"/>
              </w:rPr>
              <w:t>příslušné pokladně.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F-FI-POK-PPO-002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tisk výdajového pokladního dokladu v příslušné pokladně.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F-FI-POK-PPO-003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Zaúčtování vytvořených pokladních dokladů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zaúčtování výdajového pokladního dokladu odpovědnou osobou.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OPO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Ostatní pokladny - služba pro dceřiné společnosti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Procesy popsány v FI-POK-OPO, požadavky popsány v FI-POK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F-FI-POK-OPO-001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Vytvoření a tisk příjmového pokladního dokladu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zaevidování příjmového pokladního dokladu při přijetí peněz v pokladně.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F-FI-POK-OPO-002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vytisknutí příjmového pokladního dokladu.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F-FI-POK-OPO-003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Hromadné zaúčtování pokladních dokladů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hromadné zaúčtování dávky vytvořených příjmových pokladních dokladů.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ODO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Odvody / Dotace pokladen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Procesy popsány v FI-POK-ODO, požadavky popsány v FI-POK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F-FI-POK-ODO-001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Výdajový pokladní doklad - odvod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pořízení výdajového pokladního do</w:t>
            </w:r>
            <w:r w:rsidR="002056BD">
              <w:rPr>
                <w:sz w:val="16"/>
                <w:szCs w:val="16"/>
              </w:rPr>
              <w:t>kladu s odvodem peněz do banky (</w:t>
            </w:r>
            <w:r w:rsidRPr="000651E4">
              <w:rPr>
                <w:sz w:val="16"/>
                <w:szCs w:val="16"/>
              </w:rPr>
              <w:t xml:space="preserve">v případě zjištění pokladní hotovosti nad limit). 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F-FI-POK-ODO-002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zaúčtování výdajového pokladního dokladu s odvodem peněz do banky.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F-FI-POK-ODO-003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tisk výdajového pokladního dokladu s odvodem peněz do banky. 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F-FI-POK-ODO-004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Příjmový pokladní doklad - dotace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2056BD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pořízení příjmového pokladního dokladu pro dotaci peněz do pokladny (v případě zjištění pokladní hotovosti pod limit). 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F-FI-POK-ODO-005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zaúčtování příjmového pokladního dokladu pro dotaci peněz do pokladny. 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F-FI-POK-ODO-006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 xml:space="preserve">Systém umožní uživateli tisk příjmového pokladního dokladu pro </w:t>
            </w:r>
            <w:r w:rsidRPr="000651E4">
              <w:rPr>
                <w:sz w:val="16"/>
                <w:szCs w:val="16"/>
              </w:rPr>
              <w:lastRenderedPageBreak/>
              <w:t xml:space="preserve">dotaci peněz do pokladny. 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lastRenderedPageBreak/>
              <w:t>PPO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Příjem do pokladen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0651E4">
              <w:rPr>
                <w:b/>
                <w:i/>
                <w:sz w:val="16"/>
                <w:szCs w:val="16"/>
              </w:rPr>
              <w:t>Procesy popsány v FI-POK-PPO, požadavky popsány v FI-POK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F-FI-POK-PPO-001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Pořízení příjmového pokladního dokladu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pořízení příjmového pokladního dokladu v příslušné pokladně.</w:t>
            </w:r>
          </w:p>
        </w:tc>
      </w:tr>
      <w:tr w:rsidR="000651E4" w:rsidRPr="008515D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F-FI-POK-PPO-002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Tisk a zaúčtování pokladního dokladu</w:t>
            </w: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tisk příjmového pokladního dokladu v ICIS.</w:t>
            </w:r>
          </w:p>
        </w:tc>
      </w:tr>
      <w:tr w:rsidR="000651E4" w:rsidRPr="008515D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F-FI-POK-PPO-003</w:t>
            </w:r>
          </w:p>
        </w:tc>
        <w:tc>
          <w:tcPr>
            <w:tcW w:w="2551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0651E4" w:rsidRPr="000651E4" w:rsidRDefault="000651E4" w:rsidP="000651E4">
            <w:pPr>
              <w:spacing w:before="0"/>
              <w:jc w:val="left"/>
              <w:rPr>
                <w:sz w:val="16"/>
                <w:szCs w:val="16"/>
              </w:rPr>
            </w:pPr>
            <w:r w:rsidRPr="000651E4">
              <w:rPr>
                <w:sz w:val="16"/>
                <w:szCs w:val="16"/>
              </w:rPr>
              <w:t>Systém umožní uživateli zaúčtování příjmového pokladního dokladu v ICIS.</w:t>
            </w:r>
          </w:p>
        </w:tc>
      </w:tr>
    </w:tbl>
    <w:p w:rsidR="00C80090" w:rsidRDefault="00C80090" w:rsidP="000013A9"/>
    <w:p w:rsidR="00C80090" w:rsidRDefault="00C80090">
      <w:pPr>
        <w:spacing w:before="0" w:after="200" w:line="276" w:lineRule="auto"/>
        <w:jc w:val="left"/>
      </w:pPr>
      <w:r>
        <w:br w:type="page"/>
      </w:r>
    </w:p>
    <w:p w:rsidR="003B2FC5" w:rsidRDefault="003B2FC5" w:rsidP="00C80090">
      <w:pPr>
        <w:pStyle w:val="Nadpis1"/>
      </w:pPr>
      <w:bookmarkStart w:id="9" w:name="_Toc374093761"/>
      <w:r>
        <w:lastRenderedPageBreak/>
        <w:t>Centrum mezistátních úhrad (CMU)</w:t>
      </w:r>
      <w:bookmarkEnd w:id="9"/>
    </w:p>
    <w:p w:rsidR="003B2FC5" w:rsidRPr="003B2FC5" w:rsidRDefault="003B2FC5" w:rsidP="003B2FC5">
      <w:pPr>
        <w:rPr>
          <w:color w:val="808080" w:themeColor="background1" w:themeShade="80"/>
        </w:rPr>
      </w:pPr>
      <w:r w:rsidRPr="003B2FC5">
        <w:rPr>
          <w:color w:val="808080" w:themeColor="background1" w:themeShade="80"/>
        </w:rPr>
        <w:t>Funkce k této kapitole umístěny z</w:t>
      </w:r>
      <w:r w:rsidR="00D81643">
        <w:rPr>
          <w:color w:val="808080" w:themeColor="background1" w:themeShade="80"/>
        </w:rPr>
        <w:t xml:space="preserve"> důvodu </w:t>
      </w:r>
      <w:r w:rsidRPr="003B2FC5">
        <w:rPr>
          <w:color w:val="808080" w:themeColor="background1" w:themeShade="80"/>
        </w:rPr>
        <w:t>logi</w:t>
      </w:r>
      <w:r w:rsidR="00D81643">
        <w:rPr>
          <w:color w:val="808080" w:themeColor="background1" w:themeShade="80"/>
        </w:rPr>
        <w:t>ckého včlenění</w:t>
      </w:r>
      <w:r w:rsidRPr="003B2FC5">
        <w:rPr>
          <w:color w:val="808080" w:themeColor="background1" w:themeShade="80"/>
        </w:rPr>
        <w:t xml:space="preserve"> do kapitol Pohledávky (POH) a Závazky (ZAV).</w:t>
      </w:r>
    </w:p>
    <w:p w:rsidR="00C80090" w:rsidRDefault="00C80090" w:rsidP="00C80090">
      <w:pPr>
        <w:pStyle w:val="Nadpis1"/>
      </w:pPr>
      <w:bookmarkStart w:id="10" w:name="_Toc374093762"/>
      <w:r>
        <w:lastRenderedPageBreak/>
        <w:t xml:space="preserve">Pohledávky </w:t>
      </w:r>
      <w:r w:rsidR="00EE1F81">
        <w:t xml:space="preserve">resp. </w:t>
      </w:r>
      <w:r>
        <w:t>příjmy</w:t>
      </w:r>
      <w:r w:rsidR="00EE1F81">
        <w:t xml:space="preserve"> (POH)</w:t>
      </w:r>
      <w:bookmarkEnd w:id="10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6928BF" w:rsidRPr="00247618" w:rsidTr="00692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6928BF" w:rsidRPr="00247618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6928BF" w:rsidRPr="00247618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6928BF" w:rsidRPr="00247618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PZF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Pohledávky ZFZP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FI-POH-PZF, požadavky popsány v FI-POH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F-FI-POH-PZF-001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Periodické dávkové vytváření předpisů pro pojištěnce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dávkově vytvoří periodické předpisy pojistného v ICIS.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F-FI-POH-PZF-002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Sledování došlých úhrad k pohledávkám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kontrolu úhrad vygenerovaných předpisů pojistného.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PRE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Pohledávky za regresy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FI-POH-PRE, požadavky popsány v FI-POH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F-FI-POH-PRE-001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Předpis pohledávky na náhradu škody externím subjektem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vytvoření pohledávky za viníkem na náhradu škody, v procesu poskytování zdravotní péče klientovi.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F-FI-POH-PRE-002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Kontrola úhrady pohledávky (náhrady škody)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kontrolu úhrad pohledávek na náhradu škody.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PCM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Pohledávky za CMÚ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FI-POH-PCM, požadavky popsány v FI-CMU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F-FI-POH-PCM-001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Vytvoření pohledávek za CMÚ v daném členění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vytvoření pohledávek za CMÚ v daném členění.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F-FI-POH-PCM-002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Zaúčtování a pohledávek vůči CMÚ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zaúčtování vytvořených pohledávek za CMÚ.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F-FI-POH-PCM-003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 xml:space="preserve">Elektronická žádost o proplacení pohledávek 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elektroni</w:t>
            </w:r>
            <w:r w:rsidR="00AB5BA3">
              <w:rPr>
                <w:sz w:val="16"/>
                <w:szCs w:val="16"/>
              </w:rPr>
              <w:t>cké zaslání pohledávek do CMÚ s </w:t>
            </w:r>
            <w:r w:rsidRPr="006928BF">
              <w:rPr>
                <w:sz w:val="16"/>
                <w:szCs w:val="16"/>
              </w:rPr>
              <w:t>žádostí o proplacení.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F-FI-POH-PCM-004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Kontrola úhrad z CMÚ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kontrolu úhrad pohledávek za CMÚ.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ZPZ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Zdravotní přeplatky - za PZS a pojištěnci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FI-POH-ZPZ, požadavky popsány v FI-POH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F-FI-POH-ZPZ-001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Zjištění přeplatku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zjistit přeplatek vůči PZS nebo za klientem.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F-FI-POH-ZPZ-002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Pořízení pohledávky do ICIS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vytvořit pohledávky ve výši zjištěného přeplatku vůči PZS nebo klientovi.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F-FI-POH-ZPZ-003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 xml:space="preserve">Systém umožní uživateli </w:t>
            </w:r>
            <w:r w:rsidR="00AB5BA3">
              <w:rPr>
                <w:sz w:val="16"/>
                <w:szCs w:val="16"/>
              </w:rPr>
              <w:t>případné započtení pohledávek k </w:t>
            </w:r>
            <w:r w:rsidRPr="006928BF">
              <w:rPr>
                <w:sz w:val="16"/>
                <w:szCs w:val="16"/>
              </w:rPr>
              <w:t xml:space="preserve">přeplatkům se závazky za vykázané zdravotní výkony. 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F-FI-POH-ZPZ-004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Kontrola úhrady pohledávky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 xml:space="preserve">Systém umožní uživateli kontrolu </w:t>
            </w:r>
            <w:r w:rsidR="00AB5BA3">
              <w:rPr>
                <w:sz w:val="16"/>
                <w:szCs w:val="16"/>
              </w:rPr>
              <w:t>úhrad pohledávek, vytvořených z </w:t>
            </w:r>
            <w:r w:rsidRPr="006928BF">
              <w:rPr>
                <w:sz w:val="16"/>
                <w:szCs w:val="16"/>
              </w:rPr>
              <w:t>titulu přeplatku.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PFP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Pohledávky fondu prevence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FI-POH-PFP, požadavky popsány v FI-POH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F-FI-POH-PFP-001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Periodické dávkové vytváření předpisů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dávkově vytvoří periodické předpisy pokut a penále v ICIS.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F-FI-POH-PFP-002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Sledování došlých úhrad k pohledávkám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kontrolu úhrad vygenerovaných předpisů pokut a penále.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POF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Pohledávky ostatních fondů a OZČ (mimo ZFZP a FP)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FI-POH-POF, požadavky popsány v FI-POH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F-FI-POH-POF-001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 xml:space="preserve">Ruční / automatické pořízení dokladu do systému 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zaevidování pohledávek na základě podkladů k fakturaci, předaných ostatními útvary ZP.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F-FI-POH-POF-002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Tisk, kontrola a zaúčtování pořízených dokladů</w:t>
            </w: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kontrolu pohledávek.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F-FI-POH-POF-003</w:t>
            </w:r>
          </w:p>
        </w:tc>
        <w:tc>
          <w:tcPr>
            <w:tcW w:w="2551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6928BF" w:rsidRPr="006928BF" w:rsidRDefault="006928BF" w:rsidP="006928BF">
            <w:pPr>
              <w:spacing w:before="0"/>
              <w:jc w:val="left"/>
              <w:rPr>
                <w:sz w:val="16"/>
                <w:szCs w:val="16"/>
              </w:rPr>
            </w:pPr>
            <w:r w:rsidRPr="006928BF">
              <w:rPr>
                <w:sz w:val="16"/>
                <w:szCs w:val="16"/>
              </w:rPr>
              <w:t>Systém umožní uživateli zaúčtování pohledávek.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F-FI-POH-POF-004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vytisknutí zaúčtovaných pohledávek.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F-FI-POH-POF-005</w:t>
            </w:r>
          </w:p>
        </w:tc>
        <w:tc>
          <w:tcPr>
            <w:tcW w:w="2551" w:type="dxa"/>
            <w:vAlign w:val="top"/>
          </w:tcPr>
          <w:p w:rsidR="006928BF" w:rsidRPr="00AB5BA3" w:rsidRDefault="00AB5BA3" w:rsidP="00AB5BA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Sledování došlých úhrad k </w:t>
            </w:r>
            <w:r w:rsidR="006928BF" w:rsidRPr="00AB5BA3">
              <w:rPr>
                <w:sz w:val="16"/>
                <w:szCs w:val="16"/>
              </w:rPr>
              <w:t xml:space="preserve">pohledávkám 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kontrolu úhrad zaúčtovaných pohledávek.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PPO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Postoupené pohledávky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FI-POH-PPO, požadavky popsány v FI-POH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lastRenderedPageBreak/>
              <w:t>F-FI-POH-PPO-001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Výběr dlužných pohledávek vhodných pro postoupení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provést výběr pohledávek, vhodných k postoupení.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F-FI-POH-PPO-002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označit pohledávky, vhodné k postoupení.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F-FI-POH-PPO-003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Postoupení dávky pohledávek smluvnímu partnerovi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předání vybraných pohledávek smluvnímu partnerovi k proplacení.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F-FI-POH-PPO-004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Přijetí úhrady pohledávek přes bankovní účet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přijetí částečné úhrady postoupených pohledávek od smluvního partnera.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F-FI-POH-PPO-005</w:t>
            </w:r>
          </w:p>
        </w:tc>
        <w:tc>
          <w:tcPr>
            <w:tcW w:w="2551" w:type="dxa"/>
            <w:vAlign w:val="top"/>
          </w:tcPr>
          <w:p w:rsidR="006928BF" w:rsidRPr="00AB5BA3" w:rsidRDefault="00683942" w:rsidP="006839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Zaúčtování částečné úhrady k </w:t>
            </w:r>
            <w:r w:rsidR="006928BF" w:rsidRPr="00AB5BA3">
              <w:rPr>
                <w:sz w:val="16"/>
                <w:szCs w:val="16"/>
              </w:rPr>
              <w:t>postoup</w:t>
            </w:r>
            <w:r>
              <w:rPr>
                <w:sz w:val="16"/>
                <w:szCs w:val="16"/>
              </w:rPr>
              <w:t>eným</w:t>
            </w:r>
            <w:r w:rsidR="006928BF" w:rsidRPr="00AB5BA3">
              <w:rPr>
                <w:sz w:val="16"/>
                <w:szCs w:val="16"/>
              </w:rPr>
              <w:t xml:space="preserve"> pohledávkám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 xml:space="preserve">Systém umožní uživateli zaúčtování přijaté úhrady k postoupeným pohledávkám. 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F-FI-POH-PPO-006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 xml:space="preserve">Systém umožní uživateli spárování přijatých úhrad s relevantními pohledávkami. 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F-FI-POH-PPO-007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Předložení zbylé části pohledávek k odpisu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 xml:space="preserve">Systém umožní uživateli provést odepsání zbylé neuhrazené části pohledávek (po schválení). 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F-FI-POH-PPO-008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Zaúčtování poplatku za postoupení pohledávek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zaúčtování poplatku, hrazeného smluvnímu partnerovi, za postoupené pohledávky.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ODP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Odpisy dlužných pohledávek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B5BA3">
              <w:rPr>
                <w:b/>
                <w:i/>
                <w:sz w:val="16"/>
                <w:szCs w:val="16"/>
              </w:rPr>
              <w:t>Procesy popsány v FI-POH-ODP, požadavky popsány v FI-POH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F-FI-POH-ODP-001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Výběr dlužných pohledávek k odpisu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provést výběr dlužných pohledávek, vhodných k odpisu.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F-FI-POH-ODP-002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Návrh na odpis pohledávek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vytvořit návrh na odpis pohledávek.</w:t>
            </w:r>
          </w:p>
        </w:tc>
      </w:tr>
      <w:tr w:rsidR="006928BF" w:rsidRPr="000651E4" w:rsidTr="00692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F-FI-POH-ODP-003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Protokol o odepsání dluhu (členění pohledávek)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vytvoření Protokol o odepsání dluhu, ve kterém jsou pohledávky členěny dle typu a jeho schválení.</w:t>
            </w:r>
          </w:p>
        </w:tc>
      </w:tr>
      <w:tr w:rsidR="006928BF" w:rsidRPr="000651E4" w:rsidTr="0069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F-FI-POH-ODP-004</w:t>
            </w:r>
          </w:p>
        </w:tc>
        <w:tc>
          <w:tcPr>
            <w:tcW w:w="2551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Zaúčtování odpisů dlužných pohledávek</w:t>
            </w:r>
          </w:p>
        </w:tc>
        <w:tc>
          <w:tcPr>
            <w:tcW w:w="5074" w:type="dxa"/>
            <w:vAlign w:val="top"/>
          </w:tcPr>
          <w:p w:rsidR="006928BF" w:rsidRPr="00AB5BA3" w:rsidRDefault="006928BF" w:rsidP="00AB5BA3">
            <w:pPr>
              <w:spacing w:before="0"/>
              <w:jc w:val="left"/>
              <w:rPr>
                <w:sz w:val="16"/>
                <w:szCs w:val="16"/>
              </w:rPr>
            </w:pPr>
            <w:r w:rsidRPr="00AB5BA3">
              <w:rPr>
                <w:sz w:val="16"/>
                <w:szCs w:val="16"/>
              </w:rPr>
              <w:t>Systém umožní uživateli zaúčtování odpisů dlužných pohledávek dle schváleného Protokolu o odepsání dluhu.</w:t>
            </w:r>
          </w:p>
        </w:tc>
      </w:tr>
    </w:tbl>
    <w:p w:rsidR="00C80090" w:rsidRDefault="00C80090" w:rsidP="000013A9"/>
    <w:p w:rsidR="00C80090" w:rsidRDefault="00C80090">
      <w:pPr>
        <w:spacing w:before="0" w:after="200" w:line="276" w:lineRule="auto"/>
        <w:jc w:val="left"/>
      </w:pPr>
      <w:r>
        <w:br w:type="page"/>
      </w:r>
    </w:p>
    <w:p w:rsidR="00C80090" w:rsidRDefault="00C80090" w:rsidP="00575415">
      <w:pPr>
        <w:pStyle w:val="Nadpis1"/>
        <w:ind w:left="567" w:hanging="567"/>
      </w:pPr>
      <w:bookmarkStart w:id="11" w:name="_Toc374093763"/>
      <w:r>
        <w:lastRenderedPageBreak/>
        <w:t xml:space="preserve">Závazky </w:t>
      </w:r>
      <w:r w:rsidR="00EE1F81">
        <w:t xml:space="preserve">resp. </w:t>
      </w:r>
      <w:r>
        <w:t>výdaje</w:t>
      </w:r>
      <w:r w:rsidR="00EE1F81">
        <w:t xml:space="preserve"> (ZAV)</w:t>
      </w:r>
      <w:bookmarkEnd w:id="11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DF7802" w:rsidRPr="00247618" w:rsidTr="00944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</w:tcPr>
          <w:p w:rsidR="00DF7802" w:rsidRPr="00247618" w:rsidRDefault="00DF7802" w:rsidP="00944B17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2551" w:type="dxa"/>
          </w:tcPr>
          <w:p w:rsidR="00DF7802" w:rsidRDefault="00DF7802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DF7802" w:rsidRPr="00247618" w:rsidRDefault="00DF7802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</w:tcPr>
          <w:p w:rsidR="00DF7802" w:rsidRPr="00247618" w:rsidRDefault="00DF7802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ZZF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Závazky za ZFZP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FI-ZAV-ZZF, požadavky popsány v FI-ZAV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Dáv.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přenos,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nač.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záv., kon.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nesp.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plátce a aut.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zaúčt. z výd.</w:t>
            </w:r>
            <w:r w:rsidR="002056BD"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části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dávkový přenos závazků základního fondu z výdajové části do účetnictví.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provedení kontroly dodavatele na nespolehlivého plátce.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provést dávkové automatické zaúčtování závazků.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F-FI-ZAV-ZZF-004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Vytvoření a tisk protokolu o přenosu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vytvoření a tisk protokolu o provedeném dávkovém přenosu závazků.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F-FI-ZAV-ZZF-005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Ruční pořízení schváleného závazku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ruční pořízení závazku do ICIS.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F-FI-ZAV-ZZF-006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Kontrola evidence, nespol. plátce a zaúčtování faktury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provedení kontroly dodavatele na nespolehlivého plátce u ručně pořízených závazků.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F-FI-ZAV-ZZF-007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zaúčtování závazků u ručně pořízených závazků.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F-FI-ZAV-ZZF-008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Úhrada závazků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uhrazení závazků v rámci standardních bankovních operací - bankovní příkaz / výpis.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F-FI-ZAV-ZZF-009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Přenos informace o úhradě do výdajové části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přenese informaci o úhradě závazků základního fondu zpět do výdajové části.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ZCM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Závazky za CMÚ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FI-ZAV-ZCM, požadavky popsány v FI-CMU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Načtení závazkových dokladů z CMÚ do externí aplikace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dávkové načtení závazkových dokladů z CMÚ k proplacení do výdajové části.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056BD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Vrácení odmítnuté dávky závazkových dokladů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odmítnutí zaslané dávky závazkových dokladů, v případě výskytu chyb.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Přenos dokladů do knihy závazků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importovat dávku závazků (za CMÚ) z výdajové části do knihy závazků.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F-FI-ZAV-ZCM-004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kontrolu importované dávky závazků za CMÚ dle částky a pojištěnce.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F-FI-ZAV-ZCM-005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Automatické zaúčtování dávky závazkových dokladů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automatické zaúčtování dávky závazkových dokladů za CMÚ.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F-FI-ZAV-ZCM-006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Podpůrné funkce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úhradu závazků za CMÚ v rámci standardních bankovních operací (bankovní příkaz / výpis).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F-FI-ZAV-ZCM-007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Podpůrné funkce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přenos informace o úhradě závazků zpět do výdajové části.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VPO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Vratky pojistného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FI-ZAV-VPO, požadavky popsány v FI-ZAV</w:t>
            </w:r>
          </w:p>
        </w:tc>
      </w:tr>
      <w:tr w:rsidR="0025604A" w:rsidRPr="006928BF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F-FI-ZAV-VPO-001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Pořízení vratky / závazku vůči subjektu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vytvoření závazku (vratky) do ICIS na základě Přehledu ročního zúčtování.</w:t>
            </w:r>
          </w:p>
        </w:tc>
      </w:tr>
      <w:tr w:rsidR="0025604A" w:rsidRPr="006928BF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F-FI-ZAV-VPO-002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vytvoření závazku (vratky) do ICIS na základě Žádosti o vrácení přeplatku.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F-FI-ZAV-VPO-003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vytvoření závazku (vratky) do ICIS na základě Žádosti o vrácení mylné platby.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F-FI-ZAV-VPO-004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Úhrada závazku v rámci bankovních operací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úhradu závazku (vratky) v rámci standardních bankovních operací (bankovní příkaz / výpis).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F-FI-ZAV-VPO-005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přenos informace o úhradě závazku zpět do výdajové části.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lastRenderedPageBreak/>
              <w:t>RPL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Regulační poplatky nad limit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FI-ZAV-RPL, požadavky popsány v FI-ZAV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F-FI-ZAV-RPL-001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Evidence závazku vůči klientovi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 xml:space="preserve">Systém umožní uživateli pořízení závazku vůči klientovi, pokud je u něj zjištěna úhrada regulačních poplatků nad zákonem stanovený limit. 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F-FI-ZAV-RPL-002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Úhrada závazku klientovi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úhradu závazku za klientem v rámci standardních bankovních operací (bankovní příkaz / výpis).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F-FI-ZAV-RPL-003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Přenos informací o úhradě do výdajové části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přenos informace o úhradě závazku zpět do výdajové části.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ZFP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Závazky fondu prevence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FI-ZAV-ZFP, požadavky popsány v FI-ZAV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Dáv.</w:t>
            </w:r>
            <w:r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přenos,</w:t>
            </w:r>
            <w:r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nač. záv., kontr.</w:t>
            </w:r>
            <w:r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nesp.</w:t>
            </w:r>
            <w:r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plátce a aut. zaúčt. z výd.</w:t>
            </w:r>
            <w:r>
              <w:rPr>
                <w:sz w:val="16"/>
                <w:szCs w:val="16"/>
              </w:rPr>
              <w:t xml:space="preserve"> </w:t>
            </w:r>
            <w:r w:rsidRPr="0025604A">
              <w:rPr>
                <w:sz w:val="16"/>
                <w:szCs w:val="16"/>
              </w:rPr>
              <w:t>části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dávkový přenos závazků fondu prevence z výdajové části do účetnictví.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provedení kontroly dodavatelů na nespolehlivého plátce.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automatické zaúčtování závazků.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F-FI-ZAV-ZFP-004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Vytvoření a tisk protokolu o přenosu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vytvoření protokolu o provedeném dávkovém přenosu závazků.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F-FI-ZAV-ZFP-005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tisk protokolu o provedeném dávkovém přenosu závazků.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F-FI-ZAV-ZFP-006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Ruční pořízení schváleného závazku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ruční pořízení závazku do ICIS.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F-FI-ZAV-ZFP-007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Kontrola evidence, nespol. plátce a zaúčtování faktury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provedení kontroly na nespolehlivého plátce u ručně pořízených závazků.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F-FI-ZAV-ZFP-008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zaúčtování ručně pořízených závazků.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F-FI-ZAV-ZFP-009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Úhrada závazků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uhrazení závazků v rámci standardních bankovních operací - bankovní příkaz / výpis.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F-FI-ZAV-ZFP-010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Přenos informace o úhradě do výdajové části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přenesení informace o úhradě závazků fondu prevence zpět do výdajové části.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ZOF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Závazky ostatních fondů a OZČ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FI-ZAV-ZOF, požadavky popsány v FI-ZAV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F-FI-ZAV-ZOF-001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Smlouva / Objednávka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zaevidování Smlouvy s dodavatelem na dodání sjednaného zboží nebo služby.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F-FI-ZAV-ZOF-002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vystavení Objednávky dodavateli na dodání sjednaného zboží nebo služby.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F-FI-ZAV-ZOF-003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Kontrola (vč. nespol. plátce), evidence a zaúčtování faktury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zaevidování přijaté faktury (za dodání zboží nebo služby).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F-FI-ZAV-ZOF-004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provedení kontroly dodavatele z titulu nespolehlivého plátce.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F-FI-ZAV-ZOF-005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zaúčtování přijaté faktury.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ZIP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Závazky - interní předpisy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25604A">
              <w:rPr>
                <w:b/>
                <w:i/>
                <w:sz w:val="16"/>
                <w:szCs w:val="16"/>
              </w:rPr>
              <w:t>Procesy popsány v FI-ZAV-ZIP, požadavky popsány v FI-ZAV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F-FI-ZAV-ZIP-001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Ruční pořízení, kont. nespol. plátce a zaúčtování závazku</w:t>
            </w: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ruční pořízení závazku do ICIS.</w:t>
            </w:r>
          </w:p>
        </w:tc>
      </w:tr>
      <w:tr w:rsidR="0025604A" w:rsidRPr="00AB5BA3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F-FI-ZAV-ZIP-002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provedení kontroly dodavatele z titulu nespolehlivého plátce.</w:t>
            </w:r>
          </w:p>
        </w:tc>
      </w:tr>
      <w:tr w:rsidR="0025604A" w:rsidRPr="00AB5BA3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F-FI-ZAV-ZIP-003</w:t>
            </w:r>
          </w:p>
        </w:tc>
        <w:tc>
          <w:tcPr>
            <w:tcW w:w="2551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vAlign w:val="top"/>
          </w:tcPr>
          <w:p w:rsidR="0025604A" w:rsidRPr="0025604A" w:rsidRDefault="0025604A" w:rsidP="0025604A">
            <w:pPr>
              <w:spacing w:before="0"/>
              <w:jc w:val="left"/>
              <w:rPr>
                <w:sz w:val="16"/>
                <w:szCs w:val="16"/>
              </w:rPr>
            </w:pPr>
            <w:r w:rsidRPr="0025604A">
              <w:rPr>
                <w:sz w:val="16"/>
                <w:szCs w:val="16"/>
              </w:rPr>
              <w:t>Systém umožní uživateli zaúčtování závazku.</w:t>
            </w:r>
          </w:p>
        </w:tc>
      </w:tr>
    </w:tbl>
    <w:p w:rsidR="00C80090" w:rsidRDefault="00C80090" w:rsidP="000013A9"/>
    <w:p w:rsidR="00C80090" w:rsidRDefault="00C80090" w:rsidP="00575415">
      <w:pPr>
        <w:pStyle w:val="Nadpis1"/>
        <w:ind w:left="567" w:hanging="567"/>
      </w:pPr>
      <w:bookmarkStart w:id="12" w:name="_Toc374093764"/>
      <w:r>
        <w:lastRenderedPageBreak/>
        <w:t>Ostatní</w:t>
      </w:r>
      <w:r w:rsidR="00EE1F81">
        <w:t xml:space="preserve"> (OST)</w:t>
      </w:r>
      <w:bookmarkEnd w:id="12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531"/>
        <w:gridCol w:w="1843"/>
        <w:gridCol w:w="5924"/>
      </w:tblGrid>
      <w:tr w:rsidR="0032421A" w:rsidRPr="00247618" w:rsidTr="00324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531" w:type="dxa"/>
          </w:tcPr>
          <w:p w:rsidR="0032421A" w:rsidRPr="00247618" w:rsidRDefault="0032421A" w:rsidP="00944B17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1843" w:type="dxa"/>
          </w:tcPr>
          <w:p w:rsidR="0032421A" w:rsidRDefault="0032421A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32421A" w:rsidRPr="00247618" w:rsidRDefault="0032421A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924" w:type="dxa"/>
          </w:tcPr>
          <w:p w:rsidR="0032421A" w:rsidRPr="00247618" w:rsidRDefault="0032421A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32421A" w:rsidRPr="0025604A" w:rsidTr="0032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F-FI-OST-001</w:t>
            </w:r>
          </w:p>
        </w:tc>
        <w:tc>
          <w:tcPr>
            <w:tcW w:w="1843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Evidence smluv</w:t>
            </w:r>
          </w:p>
        </w:tc>
        <w:tc>
          <w:tcPr>
            <w:tcW w:w="5924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Systém umožní uživateli vést evidenci smluv včetně doplňujících informací - pořadového čísla, smluvních partnerů, způsobu výběrového řízení, čísla finančního příslibu, fondu, oprávnění podpisu apod.</w:t>
            </w:r>
          </w:p>
        </w:tc>
      </w:tr>
      <w:tr w:rsidR="0032421A" w:rsidRPr="0025604A" w:rsidTr="00324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F-FI-OST-002</w:t>
            </w:r>
          </w:p>
        </w:tc>
        <w:tc>
          <w:tcPr>
            <w:tcW w:w="1843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924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Systém umožní uživateli sledovat a kontrolovat čerpání ročního finančního limitu smlouvy.</w:t>
            </w:r>
          </w:p>
        </w:tc>
      </w:tr>
      <w:tr w:rsidR="0032421A" w:rsidRPr="0025604A" w:rsidTr="0032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F-FI-OST-003</w:t>
            </w:r>
          </w:p>
        </w:tc>
        <w:tc>
          <w:tcPr>
            <w:tcW w:w="1843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924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Systém umožní uživateli sledovat a kontrolovat čerpání celkového finančního limitu smlouvy.</w:t>
            </w:r>
          </w:p>
        </w:tc>
      </w:tr>
      <w:tr w:rsidR="0032421A" w:rsidRPr="0025604A" w:rsidTr="00324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F-FI-OST-004</w:t>
            </w:r>
          </w:p>
        </w:tc>
        <w:tc>
          <w:tcPr>
            <w:tcW w:w="1843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Evidence objednávek</w:t>
            </w:r>
          </w:p>
        </w:tc>
        <w:tc>
          <w:tcPr>
            <w:tcW w:w="5924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Systém umožní uživateli evidovat objednávky včetně doplňujících informací - pořadového čísla, smluvních partnerů, způsobu výběrového řízení, čísla finančního příslibu, fondu, oprávnění podpisu apod.</w:t>
            </w:r>
          </w:p>
        </w:tc>
      </w:tr>
      <w:tr w:rsidR="0032421A" w:rsidRPr="0025604A" w:rsidTr="0032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F-FI-OST-005</w:t>
            </w:r>
          </w:p>
        </w:tc>
        <w:tc>
          <w:tcPr>
            <w:tcW w:w="1843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924" w:type="dxa"/>
            <w:vAlign w:val="top"/>
          </w:tcPr>
          <w:p w:rsidR="0032421A" w:rsidRPr="0032421A" w:rsidRDefault="0032421A" w:rsidP="0032421A">
            <w:pPr>
              <w:spacing w:before="0"/>
              <w:jc w:val="left"/>
              <w:rPr>
                <w:sz w:val="16"/>
                <w:szCs w:val="16"/>
              </w:rPr>
            </w:pPr>
            <w:r w:rsidRPr="0032421A">
              <w:rPr>
                <w:sz w:val="16"/>
                <w:szCs w:val="16"/>
              </w:rPr>
              <w:t>Systém umožní uživateli sledovat a kontrolovat čerpání celkového finančního limitu objednávky.</w:t>
            </w:r>
          </w:p>
        </w:tc>
      </w:tr>
    </w:tbl>
    <w:p w:rsidR="00C80090" w:rsidRDefault="00C80090" w:rsidP="000013A9"/>
    <w:p w:rsidR="00C80090" w:rsidRDefault="00C80090" w:rsidP="00EE1F81">
      <w:pPr>
        <w:pStyle w:val="Nadpis1"/>
        <w:ind w:left="567" w:hanging="567"/>
      </w:pPr>
      <w:bookmarkStart w:id="13" w:name="_Toc374093765"/>
      <w:r>
        <w:lastRenderedPageBreak/>
        <w:t>Číselníky</w:t>
      </w:r>
      <w:r w:rsidR="00EE1F81">
        <w:t xml:space="preserve"> (CIS)</w:t>
      </w:r>
      <w:bookmarkEnd w:id="13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531"/>
        <w:gridCol w:w="1843"/>
        <w:gridCol w:w="5924"/>
      </w:tblGrid>
      <w:tr w:rsidR="008E5F4C" w:rsidRPr="00247618" w:rsidTr="00944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531" w:type="dxa"/>
          </w:tcPr>
          <w:p w:rsidR="008E5F4C" w:rsidRPr="00247618" w:rsidRDefault="008E5F4C" w:rsidP="00944B17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  <w:r>
              <w:rPr>
                <w:sz w:val="16"/>
                <w:szCs w:val="16"/>
              </w:rPr>
              <w:t xml:space="preserve"> oblasti / procesu / funkce</w:t>
            </w:r>
          </w:p>
        </w:tc>
        <w:tc>
          <w:tcPr>
            <w:tcW w:w="1843" w:type="dxa"/>
          </w:tcPr>
          <w:p w:rsidR="008E5F4C" w:rsidRDefault="008E5F4C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8E5F4C" w:rsidRPr="00247618" w:rsidRDefault="008E5F4C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924" w:type="dxa"/>
          </w:tcPr>
          <w:p w:rsidR="008E5F4C" w:rsidRPr="00247618" w:rsidRDefault="008E5F4C" w:rsidP="00944B1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8E5F4C" w:rsidRPr="0025604A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F-FI-CIS-001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Účtový rozvrh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evidenci směrné účtové osnovy, syntetických i analytických účtů v maximální celkové délce 10 znaků.</w:t>
            </w:r>
          </w:p>
        </w:tc>
      </w:tr>
      <w:tr w:rsidR="008E5F4C" w:rsidRPr="0025604A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F-FI-CIS-002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Deníky / Knihy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vést deníky / knihy s kódovým značením maximálně 3</w:t>
            </w:r>
            <w:r>
              <w:rPr>
                <w:sz w:val="16"/>
                <w:szCs w:val="16"/>
              </w:rPr>
              <w:t> </w:t>
            </w:r>
            <w:r w:rsidRPr="008E5F4C">
              <w:rPr>
                <w:sz w:val="16"/>
                <w:szCs w:val="16"/>
              </w:rPr>
              <w:t>znaky.</w:t>
            </w:r>
          </w:p>
        </w:tc>
      </w:tr>
      <w:tr w:rsidR="008E5F4C" w:rsidRPr="0025604A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F-FI-CIS-003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Střediska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evidovat střediska (organizační jednotky) s kódovým značením maximálně 5 znaků.</w:t>
            </w:r>
          </w:p>
        </w:tc>
      </w:tr>
      <w:tr w:rsidR="008E5F4C" w:rsidRPr="0025604A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F-FI-CIS-004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Zakázky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evidovat zakázky s kódovým značením maximálně 10</w:t>
            </w:r>
            <w:r>
              <w:rPr>
                <w:sz w:val="16"/>
                <w:szCs w:val="16"/>
              </w:rPr>
              <w:t> </w:t>
            </w:r>
            <w:r w:rsidRPr="008E5F4C">
              <w:rPr>
                <w:sz w:val="16"/>
                <w:szCs w:val="16"/>
              </w:rPr>
              <w:t>znaků.</w:t>
            </w:r>
          </w:p>
        </w:tc>
      </w:tr>
      <w:tr w:rsidR="008E5F4C" w:rsidRPr="0025604A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F-FI-CIS-005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Činnosti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rozlišení na základní a ostatní zdaňovanou činnost, s</w:t>
            </w:r>
            <w:r>
              <w:rPr>
                <w:sz w:val="16"/>
                <w:szCs w:val="16"/>
              </w:rPr>
              <w:t> </w:t>
            </w:r>
            <w:r w:rsidRPr="008E5F4C">
              <w:rPr>
                <w:sz w:val="16"/>
                <w:szCs w:val="16"/>
              </w:rPr>
              <w:t>kódovým značením maximálně 1 znak.</w:t>
            </w:r>
          </w:p>
        </w:tc>
      </w:tr>
      <w:tr w:rsidR="008E5F4C" w:rsidRPr="0025604A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F-FI-CIS-006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Fondy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evidenci fondů dle platných právních předpisů.</w:t>
            </w:r>
          </w:p>
        </w:tc>
      </w:tr>
      <w:tr w:rsidR="008E5F4C" w:rsidRPr="0025604A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F-FI-CIS-007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KS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vést evidenci konstantních symbolů s délkou maximálně 4 znaky.</w:t>
            </w:r>
          </w:p>
        </w:tc>
      </w:tr>
      <w:tr w:rsidR="008E5F4C" w:rsidRPr="0025604A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F-FI-CIS-008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SS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vést evidenci specifických symbolů s délkou maximálně 10 znaků.</w:t>
            </w:r>
          </w:p>
        </w:tc>
      </w:tr>
      <w:tr w:rsidR="008E5F4C" w:rsidRPr="0025604A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F-FI-CIS-009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Nastavení způsobu úhrady závazků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vést evidenci způsobů úhrady závazků.</w:t>
            </w:r>
          </w:p>
        </w:tc>
      </w:tr>
      <w:tr w:rsidR="008E5F4C" w:rsidRPr="0025604A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F-FI-CIS-010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Nastavení pro automatické účtování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nastavení závazkových a pohledávkových účtů pro automatické účtování.</w:t>
            </w:r>
          </w:p>
        </w:tc>
      </w:tr>
      <w:tr w:rsidR="008E5F4C" w:rsidRPr="0025604A" w:rsidTr="0094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F-FI-CIS-011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Pokladní operace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přednastavení používaných pokladních operací s kódovým označením maximálně 3 znaky.</w:t>
            </w:r>
          </w:p>
        </w:tc>
      </w:tr>
      <w:tr w:rsidR="008E5F4C" w:rsidRPr="0025604A" w:rsidTr="00944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531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F-FI-CIS-012</w:t>
            </w:r>
          </w:p>
        </w:tc>
        <w:tc>
          <w:tcPr>
            <w:tcW w:w="1843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Typy pohledávek</w:t>
            </w:r>
          </w:p>
        </w:tc>
        <w:tc>
          <w:tcPr>
            <w:tcW w:w="5924" w:type="dxa"/>
            <w:vAlign w:val="top"/>
          </w:tcPr>
          <w:p w:rsidR="008E5F4C" w:rsidRPr="008E5F4C" w:rsidRDefault="008E5F4C" w:rsidP="008E5F4C">
            <w:pPr>
              <w:spacing w:before="0"/>
              <w:jc w:val="left"/>
              <w:rPr>
                <w:sz w:val="16"/>
                <w:szCs w:val="16"/>
              </w:rPr>
            </w:pPr>
            <w:r w:rsidRPr="008E5F4C">
              <w:rPr>
                <w:sz w:val="16"/>
                <w:szCs w:val="16"/>
              </w:rPr>
              <w:t>Systém umožní uživateli rozlišení pohledáve</w:t>
            </w:r>
            <w:r>
              <w:rPr>
                <w:sz w:val="16"/>
                <w:szCs w:val="16"/>
              </w:rPr>
              <w:t>k podle příslušnosti k fondu, s </w:t>
            </w:r>
            <w:r w:rsidRPr="008E5F4C">
              <w:rPr>
                <w:sz w:val="16"/>
                <w:szCs w:val="16"/>
              </w:rPr>
              <w:t>kódovým označením maximálně 2 znaky (návaznost na fondy a pohledávkové účty).</w:t>
            </w:r>
          </w:p>
        </w:tc>
      </w:tr>
    </w:tbl>
    <w:p w:rsidR="00C80090" w:rsidRDefault="00C80090" w:rsidP="000013A9"/>
    <w:sectPr w:rsidR="00C80090" w:rsidSect="000013A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BD" w:rsidRDefault="00CA44BD" w:rsidP="000013A9">
      <w:pPr>
        <w:spacing w:before="0"/>
      </w:pPr>
      <w:r>
        <w:separator/>
      </w:r>
    </w:p>
  </w:endnote>
  <w:endnote w:type="continuationSeparator" w:id="0">
    <w:p w:rsidR="00CA44BD" w:rsidRDefault="00CA44BD" w:rsidP="000013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17" w:rsidRDefault="00944B17" w:rsidP="000013A9">
    <w:pPr>
      <w:pStyle w:val="Zpat"/>
      <w:tabs>
        <w:tab w:val="clear" w:pos="4536"/>
        <w:tab w:val="clear" w:pos="9072"/>
        <w:tab w:val="left" w:pos="7513"/>
        <w:tab w:val="right" w:pos="9423"/>
      </w:tabs>
      <w:jc w:val="center"/>
      <w:rPr>
        <w:rFonts w:cs="Arial"/>
        <w:sz w:val="18"/>
        <w:szCs w:val="18"/>
      </w:rPr>
    </w:pPr>
  </w:p>
  <w:p w:rsidR="00944B17" w:rsidRDefault="00944B17" w:rsidP="000013A9">
    <w:pPr>
      <w:pStyle w:val="Zpat"/>
      <w:tabs>
        <w:tab w:val="clear" w:pos="4536"/>
        <w:tab w:val="clear" w:pos="9072"/>
        <w:tab w:val="center" w:pos="4253"/>
        <w:tab w:val="right" w:pos="8505"/>
      </w:tabs>
      <w:jc w:val="center"/>
      <w:rPr>
        <w:rFonts w:cs="Arial"/>
        <w:b/>
        <w:color w:val="E60019"/>
        <w:sz w:val="18"/>
        <w:szCs w:val="18"/>
      </w:rPr>
    </w:pPr>
    <w:r>
      <w:rPr>
        <w:rFonts w:cs="Arial"/>
        <w:b/>
        <w:color w:val="E60019"/>
        <w:sz w:val="18"/>
        <w:szCs w:val="18"/>
      </w:rPr>
      <w:tab/>
    </w:r>
    <w:r>
      <w:rPr>
        <w:rFonts w:cs="Arial"/>
        <w:b/>
        <w:color w:val="E60019"/>
        <w:sz w:val="18"/>
        <w:szCs w:val="18"/>
      </w:rPr>
      <w:tab/>
    </w:r>
    <w:r w:rsidRPr="00914AE2">
      <w:rPr>
        <w:rFonts w:cs="Arial"/>
        <w:sz w:val="18"/>
        <w:szCs w:val="18"/>
      </w:rPr>
      <w:fldChar w:fldCharType="begin"/>
    </w:r>
    <w:r w:rsidRPr="00914AE2">
      <w:rPr>
        <w:rFonts w:cs="Arial"/>
        <w:sz w:val="18"/>
        <w:szCs w:val="18"/>
      </w:rPr>
      <w:instrText xml:space="preserve"> PAGE  \* Arabic  \* MERGEFORMAT </w:instrText>
    </w:r>
    <w:r w:rsidRPr="00914AE2">
      <w:rPr>
        <w:rFonts w:cs="Arial"/>
        <w:sz w:val="18"/>
        <w:szCs w:val="18"/>
      </w:rPr>
      <w:fldChar w:fldCharType="separate"/>
    </w:r>
    <w:r w:rsidR="00ED600C">
      <w:rPr>
        <w:rFonts w:cs="Arial"/>
        <w:noProof/>
        <w:sz w:val="18"/>
        <w:szCs w:val="18"/>
      </w:rPr>
      <w:t>4</w:t>
    </w:r>
    <w:r w:rsidRPr="00914AE2"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z </w:t>
    </w:r>
    <w:fldSimple w:instr=" NUMPAGES  \* Arabic  \* MERGEFORMAT ">
      <w:r w:rsidR="00ED600C" w:rsidRPr="00ED600C">
        <w:rPr>
          <w:rFonts w:cs="Arial"/>
          <w:noProof/>
          <w:sz w:val="18"/>
          <w:szCs w:val="18"/>
        </w:rPr>
        <w:t>20</w:t>
      </w:r>
    </w:fldSimple>
  </w:p>
  <w:p w:rsidR="00944B17" w:rsidRDefault="00944B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BD" w:rsidRDefault="00CA44BD" w:rsidP="000013A9">
      <w:pPr>
        <w:spacing w:before="0"/>
      </w:pPr>
      <w:r>
        <w:separator/>
      </w:r>
    </w:p>
  </w:footnote>
  <w:footnote w:type="continuationSeparator" w:id="0">
    <w:p w:rsidR="00CA44BD" w:rsidRDefault="00CA44BD" w:rsidP="000013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1686"/>
      <w:gridCol w:w="8379"/>
    </w:tblGrid>
    <w:tr w:rsidR="00944B17" w:rsidTr="00AB746C">
      <w:trPr>
        <w:trHeight w:val="454"/>
      </w:trPr>
      <w:tc>
        <w:tcPr>
          <w:tcW w:w="1686" w:type="dxa"/>
          <w:vMerge w:val="restart"/>
        </w:tcPr>
        <w:p w:rsidR="00944B17" w:rsidRDefault="00944B17" w:rsidP="00AB78E8"/>
      </w:tc>
      <w:tc>
        <w:tcPr>
          <w:tcW w:w="8379" w:type="dxa"/>
          <w:tcBorders>
            <w:bottom w:val="single" w:sz="12" w:space="0" w:color="E20025"/>
          </w:tcBorders>
          <w:vAlign w:val="bottom"/>
        </w:tcPr>
        <w:p w:rsidR="00944B17" w:rsidRPr="00302A9A" w:rsidRDefault="00944B17" w:rsidP="00AB78E8">
          <w:pPr>
            <w:pStyle w:val="Zhlav"/>
            <w:spacing w:after="60"/>
            <w:jc w:val="right"/>
            <w:rPr>
              <w:sz w:val="16"/>
              <w:szCs w:val="16"/>
            </w:rPr>
          </w:pPr>
        </w:p>
      </w:tc>
    </w:tr>
    <w:tr w:rsidR="00944B17" w:rsidTr="00AB746C">
      <w:trPr>
        <w:trHeight w:val="780"/>
      </w:trPr>
      <w:tc>
        <w:tcPr>
          <w:tcW w:w="1686" w:type="dxa"/>
          <w:vMerge/>
        </w:tcPr>
        <w:p w:rsidR="00944B17" w:rsidRPr="007F06F7" w:rsidRDefault="00944B17" w:rsidP="00AB78E8">
          <w:pPr>
            <w:pStyle w:val="Zhlav"/>
          </w:pPr>
        </w:p>
      </w:tc>
      <w:tc>
        <w:tcPr>
          <w:tcW w:w="8379" w:type="dxa"/>
          <w:tcBorders>
            <w:top w:val="single" w:sz="12" w:space="0" w:color="E20025"/>
            <w:bottom w:val="single" w:sz="12" w:space="0" w:color="E20025"/>
          </w:tcBorders>
          <w:vAlign w:val="center"/>
        </w:tcPr>
        <w:p w:rsidR="00944B17" w:rsidRPr="00302A9A" w:rsidRDefault="00944B17" w:rsidP="00AB78E8">
          <w:pPr>
            <w:pStyle w:val="Zhlav"/>
            <w:jc w:val="right"/>
            <w:rPr>
              <w:sz w:val="36"/>
              <w:szCs w:val="36"/>
            </w:rPr>
          </w:pPr>
          <w:r w:rsidRPr="00302A9A">
            <w:rPr>
              <w:sz w:val="36"/>
              <w:szCs w:val="36"/>
            </w:rPr>
            <w:t>Studie proveditelnosti ICIS</w:t>
          </w:r>
        </w:p>
      </w:tc>
    </w:tr>
    <w:tr w:rsidR="00944B17" w:rsidTr="00AB746C">
      <w:trPr>
        <w:trHeight w:val="431"/>
      </w:trPr>
      <w:tc>
        <w:tcPr>
          <w:tcW w:w="1686" w:type="dxa"/>
          <w:vMerge/>
        </w:tcPr>
        <w:p w:rsidR="00944B17" w:rsidRPr="007F06F7" w:rsidRDefault="00944B17" w:rsidP="00AB78E8">
          <w:pPr>
            <w:pStyle w:val="Zhlav"/>
          </w:pPr>
        </w:p>
      </w:tc>
      <w:tc>
        <w:tcPr>
          <w:tcW w:w="8379" w:type="dxa"/>
          <w:tcBorders>
            <w:top w:val="single" w:sz="12" w:space="0" w:color="E20025"/>
          </w:tcBorders>
        </w:tcPr>
        <w:p w:rsidR="00944B17" w:rsidRPr="007F06F7" w:rsidRDefault="00944B17" w:rsidP="00AB78E8">
          <w:pPr>
            <w:pStyle w:val="Zhlav"/>
          </w:pPr>
        </w:p>
      </w:tc>
    </w:tr>
  </w:tbl>
  <w:p w:rsidR="00944B17" w:rsidRDefault="00944B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DBA"/>
    <w:multiLevelType w:val="multilevel"/>
    <w:tmpl w:val="016E105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EC"/>
    <w:rsid w:val="000013A9"/>
    <w:rsid w:val="00024A49"/>
    <w:rsid w:val="00061BCC"/>
    <w:rsid w:val="000651E4"/>
    <w:rsid w:val="000847E4"/>
    <w:rsid w:val="00186A10"/>
    <w:rsid w:val="00194F17"/>
    <w:rsid w:val="0019518F"/>
    <w:rsid w:val="001F4B7D"/>
    <w:rsid w:val="002056BD"/>
    <w:rsid w:val="00247618"/>
    <w:rsid w:val="002479AF"/>
    <w:rsid w:val="0025604A"/>
    <w:rsid w:val="002757D0"/>
    <w:rsid w:val="002775A3"/>
    <w:rsid w:val="00286E13"/>
    <w:rsid w:val="00293508"/>
    <w:rsid w:val="002A762E"/>
    <w:rsid w:val="0032421A"/>
    <w:rsid w:val="0032585E"/>
    <w:rsid w:val="00352591"/>
    <w:rsid w:val="00361069"/>
    <w:rsid w:val="00367FC8"/>
    <w:rsid w:val="003B2FC5"/>
    <w:rsid w:val="0042290E"/>
    <w:rsid w:val="0043528F"/>
    <w:rsid w:val="00473D9F"/>
    <w:rsid w:val="00496ABD"/>
    <w:rsid w:val="004971B6"/>
    <w:rsid w:val="004B17EC"/>
    <w:rsid w:val="004B4BC5"/>
    <w:rsid w:val="005162FF"/>
    <w:rsid w:val="00575415"/>
    <w:rsid w:val="005C267A"/>
    <w:rsid w:val="005D4F16"/>
    <w:rsid w:val="005E292F"/>
    <w:rsid w:val="005F3A32"/>
    <w:rsid w:val="00632FA5"/>
    <w:rsid w:val="0064536F"/>
    <w:rsid w:val="00677F5A"/>
    <w:rsid w:val="00683942"/>
    <w:rsid w:val="0068501D"/>
    <w:rsid w:val="006928BF"/>
    <w:rsid w:val="00723AD3"/>
    <w:rsid w:val="00795F16"/>
    <w:rsid w:val="007B1C04"/>
    <w:rsid w:val="007C3FE6"/>
    <w:rsid w:val="007E47CC"/>
    <w:rsid w:val="007F4C3F"/>
    <w:rsid w:val="00823A3D"/>
    <w:rsid w:val="0083467B"/>
    <w:rsid w:val="008515D4"/>
    <w:rsid w:val="00852EEC"/>
    <w:rsid w:val="0085424E"/>
    <w:rsid w:val="0086765D"/>
    <w:rsid w:val="00881AEC"/>
    <w:rsid w:val="008D2200"/>
    <w:rsid w:val="008E4454"/>
    <w:rsid w:val="008E5F4C"/>
    <w:rsid w:val="008E7E4E"/>
    <w:rsid w:val="00944B17"/>
    <w:rsid w:val="0096077C"/>
    <w:rsid w:val="00964573"/>
    <w:rsid w:val="009842ED"/>
    <w:rsid w:val="009A0D1C"/>
    <w:rsid w:val="009D509D"/>
    <w:rsid w:val="00A15628"/>
    <w:rsid w:val="00A519F2"/>
    <w:rsid w:val="00A85AB4"/>
    <w:rsid w:val="00AB5BA3"/>
    <w:rsid w:val="00AB746C"/>
    <w:rsid w:val="00AB78E8"/>
    <w:rsid w:val="00B31C44"/>
    <w:rsid w:val="00BC74C0"/>
    <w:rsid w:val="00BF7938"/>
    <w:rsid w:val="00C25365"/>
    <w:rsid w:val="00C705AC"/>
    <w:rsid w:val="00C80090"/>
    <w:rsid w:val="00CA44BD"/>
    <w:rsid w:val="00CC2AC3"/>
    <w:rsid w:val="00CC5D02"/>
    <w:rsid w:val="00CD28FD"/>
    <w:rsid w:val="00CE471D"/>
    <w:rsid w:val="00D81643"/>
    <w:rsid w:val="00DC1A7D"/>
    <w:rsid w:val="00DD034F"/>
    <w:rsid w:val="00DD3126"/>
    <w:rsid w:val="00DE380B"/>
    <w:rsid w:val="00DF7802"/>
    <w:rsid w:val="00E30BC5"/>
    <w:rsid w:val="00E3368C"/>
    <w:rsid w:val="00E86E7E"/>
    <w:rsid w:val="00ED600C"/>
    <w:rsid w:val="00EE1F81"/>
    <w:rsid w:val="00F9654D"/>
    <w:rsid w:val="00FA7E18"/>
    <w:rsid w:val="00FB16F2"/>
    <w:rsid w:val="00FE413E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3A9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3A9"/>
    <w:pPr>
      <w:keepNext/>
      <w:pageBreakBefore/>
      <w:numPr>
        <w:numId w:val="1"/>
      </w:numPr>
      <w:spacing w:after="12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13A9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013A9"/>
    <w:pPr>
      <w:keepNext/>
      <w:numPr>
        <w:ilvl w:val="2"/>
        <w:numId w:val="1"/>
      </w:numPr>
      <w:spacing w:before="80" w:after="120"/>
      <w:jc w:val="left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013A9"/>
    <w:pPr>
      <w:keepNext/>
      <w:numPr>
        <w:ilvl w:val="3"/>
        <w:numId w:val="1"/>
      </w:numPr>
      <w:spacing w:before="60" w:after="60"/>
      <w:jc w:val="left"/>
      <w:outlineLvl w:val="3"/>
    </w:pPr>
    <w:rPr>
      <w:rFonts w:eastAsia="Times New Roman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0013A9"/>
    <w:pPr>
      <w:numPr>
        <w:ilvl w:val="4"/>
        <w:numId w:val="1"/>
      </w:numPr>
      <w:spacing w:before="60" w:after="60"/>
      <w:jc w:val="left"/>
      <w:outlineLvl w:val="4"/>
    </w:pPr>
    <w:rPr>
      <w:rFonts w:eastAsia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013A9"/>
    <w:pPr>
      <w:numPr>
        <w:ilvl w:val="5"/>
        <w:numId w:val="1"/>
      </w:numPr>
      <w:spacing w:before="60" w:after="60"/>
      <w:jc w:val="left"/>
      <w:outlineLvl w:val="5"/>
    </w:pPr>
    <w:rPr>
      <w:rFonts w:eastAsia="Times New Roman"/>
      <w:bCs/>
      <w:sz w:val="24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0013A9"/>
    <w:pPr>
      <w:numPr>
        <w:ilvl w:val="6"/>
        <w:numId w:val="1"/>
      </w:numPr>
      <w:spacing w:before="60" w:after="60"/>
      <w:jc w:val="left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0013A9"/>
    <w:pPr>
      <w:numPr>
        <w:ilvl w:val="7"/>
        <w:numId w:val="1"/>
      </w:numPr>
      <w:spacing w:before="60" w:after="60"/>
      <w:jc w:val="left"/>
      <w:outlineLvl w:val="7"/>
    </w:pPr>
    <w:rPr>
      <w:rFonts w:eastAsia="Times New Roman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0013A9"/>
    <w:pPr>
      <w:numPr>
        <w:ilvl w:val="8"/>
        <w:numId w:val="1"/>
      </w:numPr>
      <w:spacing w:before="60" w:after="60"/>
      <w:jc w:val="left"/>
      <w:outlineLvl w:val="8"/>
    </w:pPr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186A10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0013A9"/>
    <w:pPr>
      <w:ind w:left="200"/>
    </w:pPr>
  </w:style>
  <w:style w:type="character" w:styleId="Hypertextovodkaz">
    <w:name w:val="Hyperlink"/>
    <w:uiPriority w:val="99"/>
    <w:unhideWhenUsed/>
    <w:rsid w:val="000013A9"/>
    <w:rPr>
      <w:color w:val="0000FF"/>
      <w:u w:val="single"/>
    </w:rPr>
  </w:style>
  <w:style w:type="paragraph" w:customStyle="1" w:styleId="Titulnstrana">
    <w:name w:val="Titulní strana"/>
    <w:basedOn w:val="Normln"/>
    <w:rsid w:val="000013A9"/>
    <w:pPr>
      <w:jc w:val="center"/>
    </w:pPr>
  </w:style>
  <w:style w:type="paragraph" w:styleId="Obsah3">
    <w:name w:val="toc 3"/>
    <w:basedOn w:val="Normln"/>
    <w:next w:val="Normln"/>
    <w:uiPriority w:val="39"/>
    <w:rsid w:val="000013A9"/>
    <w:pPr>
      <w:widowControl w:val="0"/>
      <w:autoSpaceDE w:val="0"/>
      <w:autoSpaceDN w:val="0"/>
      <w:adjustRightInd w:val="0"/>
      <w:spacing w:before="0"/>
      <w:ind w:left="360"/>
      <w:jc w:val="left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3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3A9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3A9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13A9"/>
    <w:rPr>
      <w:rFonts w:ascii="Arial" w:eastAsia="Times New Roman" w:hAnsi="Arial" w:cs="Times New Roman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13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013A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013A9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0013A9"/>
    <w:rPr>
      <w:rFonts w:ascii="Arial" w:eastAsia="Times New Roman" w:hAnsi="Arial" w:cs="Times New Roman"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013A9"/>
    <w:rPr>
      <w:rFonts w:ascii="Arial" w:eastAsia="Times New Roman" w:hAnsi="Arial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013A9"/>
    <w:rPr>
      <w:rFonts w:ascii="Arial" w:eastAsia="Times New Roman" w:hAnsi="Arial" w:cs="Times New Roman"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013A9"/>
    <w:rPr>
      <w:rFonts w:ascii="Arial" w:eastAsia="Times New Roman" w:hAnsi="Arial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3A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3A9"/>
    <w:rPr>
      <w:rFonts w:ascii="Arial" w:eastAsia="Calibri" w:hAnsi="Arial" w:cs="Times New Roman"/>
      <w:sz w:val="20"/>
    </w:rPr>
  </w:style>
  <w:style w:type="paragraph" w:styleId="Obsah4">
    <w:name w:val="toc 4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5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5">
    <w:name w:val="toc 5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72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6">
    <w:name w:val="toc 6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90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7">
    <w:name w:val="toc 7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08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8">
    <w:name w:val="toc 8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26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9">
    <w:name w:val="toc 9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4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881AEC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881AEC"/>
    <w:rPr>
      <w:rFonts w:ascii="Arial" w:eastAsiaTheme="minorEastAsia" w:hAnsi="Arial" w:cs="Arial"/>
      <w:b/>
      <w:bCs/>
      <w:color w:val="000000"/>
      <w:sz w:val="32"/>
      <w:szCs w:val="32"/>
      <w:lang w:val="en-AU" w:eastAsia="cs-CZ"/>
    </w:rPr>
  </w:style>
  <w:style w:type="paragraph" w:customStyle="1" w:styleId="NumberedList">
    <w:name w:val="Number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BulletedList">
    <w:name w:val="Bullet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styleId="Zkladntext">
    <w:name w:val="Body Text"/>
    <w:basedOn w:val="Normln"/>
    <w:next w:val="Normln"/>
    <w:link w:val="Zkladntext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rsid w:val="00881AEC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Theme="minorEastAsia" w:hAnsi="Times New Roman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81AEC"/>
    <w:rPr>
      <w:rFonts w:ascii="Times New Roman" w:eastAsiaTheme="minorEastAsia" w:hAnsi="Times New Roman" w:cs="Times New Roman"/>
      <w:color w:val="000000"/>
      <w:sz w:val="18"/>
      <w:szCs w:val="18"/>
      <w:lang w:val="en-AU" w:eastAsia="cs-CZ"/>
    </w:rPr>
  </w:style>
  <w:style w:type="paragraph" w:styleId="Zkladntext3">
    <w:name w:val="Body Text 3"/>
    <w:basedOn w:val="Normln"/>
    <w:next w:val="Normln"/>
    <w:link w:val="Zkladntext3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 w:val="16"/>
      <w:szCs w:val="16"/>
      <w:shd w:val="clear" w:color="auto" w:fill="FFFFFF"/>
      <w:lang w:val="en-AU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81AEC"/>
    <w:rPr>
      <w:rFonts w:ascii="Times New Roman" w:eastAsiaTheme="minorEastAsia" w:hAnsi="Times New Roman" w:cs="Times New Roman"/>
      <w:color w:val="000000"/>
      <w:sz w:val="16"/>
      <w:szCs w:val="16"/>
      <w:lang w:val="en-AU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Courier New" w:eastAsiaTheme="minorEastAsia" w:hAnsi="Courier New" w:cs="Courier New"/>
      <w:color w:val="000000"/>
      <w:szCs w:val="20"/>
      <w:shd w:val="clear" w:color="auto" w:fill="FFFFFF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81AEC"/>
    <w:rPr>
      <w:rFonts w:ascii="Courier New" w:eastAsiaTheme="minorEastAsia" w:hAnsi="Courier New" w:cs="Courier New"/>
      <w:color w:val="000000"/>
      <w:sz w:val="20"/>
      <w:szCs w:val="20"/>
      <w:lang w:val="en-AU" w:eastAsia="cs-CZ"/>
    </w:rPr>
  </w:style>
  <w:style w:type="character" w:styleId="Siln">
    <w:name w:val="Strong"/>
    <w:basedOn w:val="Standardnpsmoodstavce"/>
    <w:uiPriority w:val="99"/>
    <w:qFormat/>
    <w:rsid w:val="00881AEC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Zvraznn">
    <w:name w:val="Emphasis"/>
    <w:basedOn w:val="Standardnpsmoodstavce"/>
    <w:uiPriority w:val="99"/>
    <w:qFormat/>
    <w:rsid w:val="00881AEC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FieldLabel">
    <w:name w:val="Field Label"/>
    <w:uiPriority w:val="99"/>
    <w:rsid w:val="00881AEC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881AEC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881AEC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81AEC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cs-CZ"/>
    </w:rPr>
  </w:style>
  <w:style w:type="character" w:customStyle="1" w:styleId="Psmovtabulcenormln">
    <w:name w:val="Písmo v tabulce normální"/>
    <w:uiPriority w:val="99"/>
    <w:rsid w:val="00881AEC"/>
    <w:rPr>
      <w:rFonts w:ascii="Tahoma" w:hAnsi="Tahoma" w:cs="Tahoma"/>
      <w:sz w:val="20"/>
      <w:szCs w:val="20"/>
    </w:rPr>
  </w:style>
  <w:style w:type="character" w:customStyle="1" w:styleId="SSTemplateField">
    <w:name w:val="SSTemplateField"/>
    <w:uiPriority w:val="99"/>
    <w:rsid w:val="00881AEC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aliases w:val="Moje tabulka"/>
    <w:basedOn w:val="Normlntabulka"/>
    <w:uiPriority w:val="59"/>
    <w:rsid w:val="00247618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3A9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3A9"/>
    <w:pPr>
      <w:keepNext/>
      <w:pageBreakBefore/>
      <w:numPr>
        <w:numId w:val="1"/>
      </w:numPr>
      <w:spacing w:after="12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13A9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013A9"/>
    <w:pPr>
      <w:keepNext/>
      <w:numPr>
        <w:ilvl w:val="2"/>
        <w:numId w:val="1"/>
      </w:numPr>
      <w:spacing w:before="80" w:after="120"/>
      <w:jc w:val="left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013A9"/>
    <w:pPr>
      <w:keepNext/>
      <w:numPr>
        <w:ilvl w:val="3"/>
        <w:numId w:val="1"/>
      </w:numPr>
      <w:spacing w:before="60" w:after="60"/>
      <w:jc w:val="left"/>
      <w:outlineLvl w:val="3"/>
    </w:pPr>
    <w:rPr>
      <w:rFonts w:eastAsia="Times New Roman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0013A9"/>
    <w:pPr>
      <w:numPr>
        <w:ilvl w:val="4"/>
        <w:numId w:val="1"/>
      </w:numPr>
      <w:spacing w:before="60" w:after="60"/>
      <w:jc w:val="left"/>
      <w:outlineLvl w:val="4"/>
    </w:pPr>
    <w:rPr>
      <w:rFonts w:eastAsia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013A9"/>
    <w:pPr>
      <w:numPr>
        <w:ilvl w:val="5"/>
        <w:numId w:val="1"/>
      </w:numPr>
      <w:spacing w:before="60" w:after="60"/>
      <w:jc w:val="left"/>
      <w:outlineLvl w:val="5"/>
    </w:pPr>
    <w:rPr>
      <w:rFonts w:eastAsia="Times New Roman"/>
      <w:bCs/>
      <w:sz w:val="24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0013A9"/>
    <w:pPr>
      <w:numPr>
        <w:ilvl w:val="6"/>
        <w:numId w:val="1"/>
      </w:numPr>
      <w:spacing w:before="60" w:after="60"/>
      <w:jc w:val="left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0013A9"/>
    <w:pPr>
      <w:numPr>
        <w:ilvl w:val="7"/>
        <w:numId w:val="1"/>
      </w:numPr>
      <w:spacing w:before="60" w:after="60"/>
      <w:jc w:val="left"/>
      <w:outlineLvl w:val="7"/>
    </w:pPr>
    <w:rPr>
      <w:rFonts w:eastAsia="Times New Roman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0013A9"/>
    <w:pPr>
      <w:numPr>
        <w:ilvl w:val="8"/>
        <w:numId w:val="1"/>
      </w:numPr>
      <w:spacing w:before="60" w:after="60"/>
      <w:jc w:val="left"/>
      <w:outlineLvl w:val="8"/>
    </w:pPr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186A10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0013A9"/>
    <w:pPr>
      <w:ind w:left="200"/>
    </w:pPr>
  </w:style>
  <w:style w:type="character" w:styleId="Hypertextovodkaz">
    <w:name w:val="Hyperlink"/>
    <w:uiPriority w:val="99"/>
    <w:unhideWhenUsed/>
    <w:rsid w:val="000013A9"/>
    <w:rPr>
      <w:color w:val="0000FF"/>
      <w:u w:val="single"/>
    </w:rPr>
  </w:style>
  <w:style w:type="paragraph" w:customStyle="1" w:styleId="Titulnstrana">
    <w:name w:val="Titulní strana"/>
    <w:basedOn w:val="Normln"/>
    <w:rsid w:val="000013A9"/>
    <w:pPr>
      <w:jc w:val="center"/>
    </w:pPr>
  </w:style>
  <w:style w:type="paragraph" w:styleId="Obsah3">
    <w:name w:val="toc 3"/>
    <w:basedOn w:val="Normln"/>
    <w:next w:val="Normln"/>
    <w:uiPriority w:val="39"/>
    <w:rsid w:val="000013A9"/>
    <w:pPr>
      <w:widowControl w:val="0"/>
      <w:autoSpaceDE w:val="0"/>
      <w:autoSpaceDN w:val="0"/>
      <w:adjustRightInd w:val="0"/>
      <w:spacing w:before="0"/>
      <w:ind w:left="360"/>
      <w:jc w:val="left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3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3A9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3A9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13A9"/>
    <w:rPr>
      <w:rFonts w:ascii="Arial" w:eastAsia="Times New Roman" w:hAnsi="Arial" w:cs="Times New Roman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13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013A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013A9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0013A9"/>
    <w:rPr>
      <w:rFonts w:ascii="Arial" w:eastAsia="Times New Roman" w:hAnsi="Arial" w:cs="Times New Roman"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013A9"/>
    <w:rPr>
      <w:rFonts w:ascii="Arial" w:eastAsia="Times New Roman" w:hAnsi="Arial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013A9"/>
    <w:rPr>
      <w:rFonts w:ascii="Arial" w:eastAsia="Times New Roman" w:hAnsi="Arial" w:cs="Times New Roman"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013A9"/>
    <w:rPr>
      <w:rFonts w:ascii="Arial" w:eastAsia="Times New Roman" w:hAnsi="Arial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3A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3A9"/>
    <w:rPr>
      <w:rFonts w:ascii="Arial" w:eastAsia="Calibri" w:hAnsi="Arial" w:cs="Times New Roman"/>
      <w:sz w:val="20"/>
    </w:rPr>
  </w:style>
  <w:style w:type="paragraph" w:styleId="Obsah4">
    <w:name w:val="toc 4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5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5">
    <w:name w:val="toc 5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72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6">
    <w:name w:val="toc 6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90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7">
    <w:name w:val="toc 7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08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8">
    <w:name w:val="toc 8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26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9">
    <w:name w:val="toc 9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4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881AEC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881AEC"/>
    <w:rPr>
      <w:rFonts w:ascii="Arial" w:eastAsiaTheme="minorEastAsia" w:hAnsi="Arial" w:cs="Arial"/>
      <w:b/>
      <w:bCs/>
      <w:color w:val="000000"/>
      <w:sz w:val="32"/>
      <w:szCs w:val="32"/>
      <w:lang w:val="en-AU" w:eastAsia="cs-CZ"/>
    </w:rPr>
  </w:style>
  <w:style w:type="paragraph" w:customStyle="1" w:styleId="NumberedList">
    <w:name w:val="Number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BulletedList">
    <w:name w:val="Bullet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styleId="Zkladntext">
    <w:name w:val="Body Text"/>
    <w:basedOn w:val="Normln"/>
    <w:next w:val="Normln"/>
    <w:link w:val="Zkladntext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rsid w:val="00881AEC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Theme="minorEastAsia" w:hAnsi="Times New Roman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81AEC"/>
    <w:rPr>
      <w:rFonts w:ascii="Times New Roman" w:eastAsiaTheme="minorEastAsia" w:hAnsi="Times New Roman" w:cs="Times New Roman"/>
      <w:color w:val="000000"/>
      <w:sz w:val="18"/>
      <w:szCs w:val="18"/>
      <w:lang w:val="en-AU" w:eastAsia="cs-CZ"/>
    </w:rPr>
  </w:style>
  <w:style w:type="paragraph" w:styleId="Zkladntext3">
    <w:name w:val="Body Text 3"/>
    <w:basedOn w:val="Normln"/>
    <w:next w:val="Normln"/>
    <w:link w:val="Zkladntext3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 w:val="16"/>
      <w:szCs w:val="16"/>
      <w:shd w:val="clear" w:color="auto" w:fill="FFFFFF"/>
      <w:lang w:val="en-AU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81AEC"/>
    <w:rPr>
      <w:rFonts w:ascii="Times New Roman" w:eastAsiaTheme="minorEastAsia" w:hAnsi="Times New Roman" w:cs="Times New Roman"/>
      <w:color w:val="000000"/>
      <w:sz w:val="16"/>
      <w:szCs w:val="16"/>
      <w:lang w:val="en-AU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Courier New" w:eastAsiaTheme="minorEastAsia" w:hAnsi="Courier New" w:cs="Courier New"/>
      <w:color w:val="000000"/>
      <w:szCs w:val="20"/>
      <w:shd w:val="clear" w:color="auto" w:fill="FFFFFF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81AEC"/>
    <w:rPr>
      <w:rFonts w:ascii="Courier New" w:eastAsiaTheme="minorEastAsia" w:hAnsi="Courier New" w:cs="Courier New"/>
      <w:color w:val="000000"/>
      <w:sz w:val="20"/>
      <w:szCs w:val="20"/>
      <w:lang w:val="en-AU" w:eastAsia="cs-CZ"/>
    </w:rPr>
  </w:style>
  <w:style w:type="character" w:styleId="Siln">
    <w:name w:val="Strong"/>
    <w:basedOn w:val="Standardnpsmoodstavce"/>
    <w:uiPriority w:val="99"/>
    <w:qFormat/>
    <w:rsid w:val="00881AEC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Zvraznn">
    <w:name w:val="Emphasis"/>
    <w:basedOn w:val="Standardnpsmoodstavce"/>
    <w:uiPriority w:val="99"/>
    <w:qFormat/>
    <w:rsid w:val="00881AEC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FieldLabel">
    <w:name w:val="Field Label"/>
    <w:uiPriority w:val="99"/>
    <w:rsid w:val="00881AEC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881AEC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881AEC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81AEC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cs-CZ"/>
    </w:rPr>
  </w:style>
  <w:style w:type="character" w:customStyle="1" w:styleId="Psmovtabulcenormln">
    <w:name w:val="Písmo v tabulce normální"/>
    <w:uiPriority w:val="99"/>
    <w:rsid w:val="00881AEC"/>
    <w:rPr>
      <w:rFonts w:ascii="Tahoma" w:hAnsi="Tahoma" w:cs="Tahoma"/>
      <w:sz w:val="20"/>
      <w:szCs w:val="20"/>
    </w:rPr>
  </w:style>
  <w:style w:type="character" w:customStyle="1" w:styleId="SSTemplateField">
    <w:name w:val="SSTemplateField"/>
    <w:uiPriority w:val="99"/>
    <w:rsid w:val="00881AEC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aliases w:val="Moje tabulka"/>
    <w:basedOn w:val="Normlntabulka"/>
    <w:uiPriority w:val="59"/>
    <w:rsid w:val="00247618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okumenty\OZP\STUDIE_II_ETAPA\pripominky_20130926\OZP_studie_II_etapa_procesy_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ADA134FF601E4092E52961AD08E1F2" ma:contentTypeVersion="" ma:contentTypeDescription="Vytvoří nový dokument" ma:contentTypeScope="" ma:versionID="b64f73600a53c5fcdb0600085cd83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9cb45cd4af63b81dfea945bea43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A1D9-7E04-4B65-8BCC-1A175C0D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E4F7A-D172-4998-AE8A-FF0288268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624C2-A8B6-4CB7-880B-F6E67FCDF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1C1BC1-B372-475A-9FCC-A9254A78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OZP_studie_II_etapa_procesy_I.dotx</Template>
  <TotalTime>81</TotalTime>
  <Pages>20</Pages>
  <Words>5684</Words>
  <Characters>33542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Winklerová</dc:creator>
  <cp:lastModifiedBy>Jindra</cp:lastModifiedBy>
  <cp:revision>32</cp:revision>
  <cp:lastPrinted>2013-12-06T10:48:00Z</cp:lastPrinted>
  <dcterms:created xsi:type="dcterms:W3CDTF">2013-12-06T09:50:00Z</dcterms:created>
  <dcterms:modified xsi:type="dcterms:W3CDTF">2014-04-25T11:48:00Z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0x01010041ADA134FF601E4092E52961AD08E1F2</vt:lpwstr>
  </property>
</Properties>
</file>